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</w:t>
      </w:r>
      <w:r w:rsidR="008D61E1">
        <w:lastRenderedPageBreak/>
        <w:t xml:space="preserve">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257FD47D" w14:textId="1293A3B1" w:rsidR="006E534E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 xml:space="preserve">env = </w:t>
            </w:r>
            <w:proofErr w:type="spellStart"/>
            <w:r>
              <w:t>FrozenLakeEnv</w:t>
            </w:r>
            <w:proofErr w:type="spellEnd"/>
            <w:r>
              <w:t>(</w:t>
            </w:r>
            <w:proofErr w:type="spellStart"/>
            <w:r>
              <w:t>desc</w:t>
            </w:r>
            <w:proofErr w:type="spellEnd"/>
            <w:r>
              <w:t>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D79A674" w:rsidR="006E534E" w:rsidRDefault="006E534E" w:rsidP="006E534E">
      <w:pPr>
        <w:pStyle w:val="Quote"/>
      </w:pPr>
      <w:r>
        <w:t xml:space="preserve">Таблица 6.2.1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lastRenderedPageBreak/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1C526C78" w:rsidR="00275814" w:rsidRDefault="00275814" w:rsidP="00275814">
      <w:pPr>
        <w:pStyle w:val="Quote"/>
      </w:pPr>
      <w:r>
        <w:t>Фиг. 6.2.4 Междинен резултат от конзолата от обучението.</w:t>
      </w:r>
    </w:p>
    <w:p w14:paraId="211801A0" w14:textId="0D468423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 xml:space="preserve">()“. След това на фигурата се вижда текстова репрезентация от средата, като червената клетка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385FBC9B" w:rsidR="00A97DBC" w:rsidRDefault="00A97DBC" w:rsidP="00A97DBC">
      <w:pPr>
        <w:pStyle w:val="Quote"/>
      </w:pPr>
      <w:r>
        <w:t>Таблица 6.2.2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lastRenderedPageBreak/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59143AFA" w:rsidR="00AA1868" w:rsidRDefault="00F73E8E" w:rsidP="00F73E8E">
      <w:pPr>
        <w:pStyle w:val="Quote"/>
      </w:pPr>
      <w:r>
        <w:t>Фиг.6.2.5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00418D24" w:rsidR="00386737" w:rsidRDefault="00904CB3" w:rsidP="00904CB3">
      <w:pPr>
        <w:pStyle w:val="Quote"/>
      </w:pPr>
      <w:r>
        <w:t>Фиг.6.2.6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lastRenderedPageBreak/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3DA7A26D" w:rsidR="008566DD" w:rsidRPr="008566DD" w:rsidRDefault="008566DD" w:rsidP="008566DD">
      <w:pPr>
        <w:pStyle w:val="Quote"/>
      </w:pPr>
      <w:r>
        <w:t xml:space="preserve">Фиг.6.2.7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3E549EB6" w:rsidR="00AC629B" w:rsidRPr="00003152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</w:t>
      </w:r>
      <w:r w:rsidR="00455DE4">
        <w:lastRenderedPageBreak/>
        <w:t>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3ABB6274" w14:textId="77777777" w:rsidR="00904CB3" w:rsidRPr="00904CB3" w:rsidRDefault="00904CB3" w:rsidP="00904CB3"/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8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9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5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51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F945F" w14:textId="77777777" w:rsidR="00A453EA" w:rsidRDefault="00A453EA" w:rsidP="00DF27E6">
      <w:pPr>
        <w:spacing w:after="0" w:line="240" w:lineRule="auto"/>
      </w:pPr>
      <w:r>
        <w:separator/>
      </w:r>
    </w:p>
  </w:endnote>
  <w:endnote w:type="continuationSeparator" w:id="0">
    <w:p w14:paraId="7E7BAAD7" w14:textId="77777777" w:rsidR="00A453EA" w:rsidRDefault="00A453EA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63BB5" w14:textId="77777777" w:rsidR="00A453EA" w:rsidRDefault="00A453EA" w:rsidP="00DF27E6">
      <w:pPr>
        <w:spacing w:after="0" w:line="240" w:lineRule="auto"/>
      </w:pPr>
      <w:r>
        <w:separator/>
      </w:r>
    </w:p>
  </w:footnote>
  <w:footnote w:type="continuationSeparator" w:id="0">
    <w:p w14:paraId="71D8A156" w14:textId="77777777" w:rsidR="00A453EA" w:rsidRDefault="00A453EA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453EA"/>
    <w:rsid w:val="00A553B6"/>
    <w:rsid w:val="00A70A26"/>
    <w:rsid w:val="00A7688F"/>
    <w:rsid w:val="00A77EEC"/>
    <w:rsid w:val="00A811E3"/>
    <w:rsid w:val="00A856B5"/>
    <w:rsid w:val="00A86A21"/>
    <w:rsid w:val="00A96271"/>
    <w:rsid w:val="00A97DBC"/>
    <w:rsid w:val="00AA1868"/>
    <w:rsid w:val="00AB204B"/>
    <w:rsid w:val="00AC423A"/>
    <w:rsid w:val="00AC629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neuronaldynamics.epfl.ch/online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ccnlab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rl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izhikevich.org/publications/ds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4611</Words>
  <Characters>26284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227</cp:revision>
  <cp:lastPrinted>2022-06-16T16:09:00Z</cp:lastPrinted>
  <dcterms:created xsi:type="dcterms:W3CDTF">2021-10-29T05:33:00Z</dcterms:created>
  <dcterms:modified xsi:type="dcterms:W3CDTF">2023-02-10T23:38:00Z</dcterms:modified>
</cp:coreProperties>
</file>