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52AE" w14:textId="77777777" w:rsidR="006E25B7" w:rsidRPr="006E25B7" w:rsidRDefault="006E25B7" w:rsidP="006E2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E25B7">
        <w:rPr>
          <w:rFonts w:ascii="Arial" w:eastAsia="Times New Roman" w:hAnsi="Arial" w:cs="Times New Roman"/>
          <w:kern w:val="0"/>
          <w:sz w:val="26"/>
          <w:szCs w:val="26"/>
          <w:shd w:val="clear" w:color="auto" w:fill="FFFFFF"/>
          <w14:ligatures w14:val="none"/>
        </w:rPr>
        <w:t>DutyGuard</w:t>
      </w:r>
      <w:proofErr w:type="spellEnd"/>
      <w:r w:rsidRPr="006E25B7">
        <w:rPr>
          <w:rFonts w:ascii="Arial" w:eastAsia="Times New Roman" w:hAnsi="Arial" w:cs="Times New Roman"/>
          <w:kern w:val="0"/>
          <w:sz w:val="26"/>
          <w:szCs w:val="26"/>
          <w:shd w:val="clear" w:color="auto" w:fill="FFFFFF"/>
          <w14:ligatures w14:val="none"/>
        </w:rPr>
        <w:t xml:space="preserve"> AI – First Customer Pitch Pack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1) Positioning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proofErr w:type="spellStart"/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DutyGuard</w:t>
      </w:r>
      <w:proofErr w:type="spellEnd"/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 xml:space="preserve"> helps importers identify recoverable overpaid duties, prioritize claims by impact, and route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high-risk decisions to human review.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2) The Offer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Free 50–100 entry tariff leakage assessment, then paid pilot with contingency-based economics tied to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validated recovery outcomes.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3) What to Say on Calls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We provide a transparent, auditable workflow: confidence scores, review reasons, legal citations, and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claim-ready packets. High-risk items are never auto-finalized.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4) What to Demo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Onboard entries, show Top 10 recoverable opportunities, open review queue, classification report,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claim packet export, and metrics dashboard.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5) 2-Week Sprint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Week 1: trust and safety controls. Week 2: pilot execution, prioritized opportunities, and proof artifacts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with before/after deltas.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6) Legal Guardrails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Decision support only. Final customs/legal determinations require qualified human professionals.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7) Practical Close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Ask for one warm intro, run free audit, present ranked opportunities, convert to 30–</w:t>
      </w:r>
      <w:proofErr w:type="gramStart"/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60 day</w:t>
      </w:r>
      <w:proofErr w:type="gramEnd"/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 xml:space="preserve"> pilot, and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convert results into first case study.</w:t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E25B7">
        <w:rPr>
          <w:rFonts w:ascii="Arial" w:eastAsia="Times New Roman" w:hAnsi="Arial" w:cs="Arial"/>
          <w:kern w:val="0"/>
          <w:sz w:val="26"/>
          <w:szCs w:val="26"/>
          <w14:ligatures w14:val="none"/>
        </w:rPr>
        <w:lastRenderedPageBreak/>
        <w:br/>
      </w:r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 xml:space="preserve">Generated by </w:t>
      </w:r>
      <w:proofErr w:type="spellStart"/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>DutyGuard</w:t>
      </w:r>
      <w:proofErr w:type="spellEnd"/>
      <w:r w:rsidRPr="006E25B7">
        <w:rPr>
          <w:rFonts w:ascii="Arial" w:eastAsia="Times New Roman" w:hAnsi="Arial" w:cs="Arial"/>
          <w:kern w:val="0"/>
          <w:sz w:val="26"/>
          <w:szCs w:val="26"/>
          <w:shd w:val="clear" w:color="auto" w:fill="FFFFFF"/>
          <w14:ligatures w14:val="none"/>
        </w:rPr>
        <w:t xml:space="preserve"> AI scripts/generate_customer_pitch_pdf.py</w:t>
      </w:r>
    </w:p>
    <w:p w14:paraId="3BD6B8E0" w14:textId="77777777" w:rsidR="006D1EAD" w:rsidRPr="006E25B7" w:rsidRDefault="006D1EAD">
      <w:pPr>
        <w:rPr>
          <w:sz w:val="26"/>
          <w:szCs w:val="26"/>
        </w:rPr>
      </w:pPr>
    </w:p>
    <w:sectPr w:rsidR="006D1EAD" w:rsidRPr="006E2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B7"/>
    <w:rsid w:val="001940A3"/>
    <w:rsid w:val="003F7BE0"/>
    <w:rsid w:val="00496E83"/>
    <w:rsid w:val="006D1EAD"/>
    <w:rsid w:val="006E25B7"/>
    <w:rsid w:val="00916EB4"/>
    <w:rsid w:val="009213A4"/>
    <w:rsid w:val="00A546A6"/>
    <w:rsid w:val="00AF0C8B"/>
    <w:rsid w:val="00AF2A87"/>
    <w:rsid w:val="00D96FC5"/>
    <w:rsid w:val="00E8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9CAE7"/>
  <w15:chartTrackingRefBased/>
  <w15:docId w15:val="{44FFCC76-C8D4-7149-BFB3-28A04EC4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Knight, Brice</dc:creator>
  <cp:keywords/>
  <dc:description/>
  <cp:lastModifiedBy>Knight, Brice</cp:lastModifiedBy>
  <cp:revision>2</cp:revision>
  <dcterms:created xsi:type="dcterms:W3CDTF">2026-02-12T14:49:00Z</dcterms:created>
  <dcterms:modified xsi:type="dcterms:W3CDTF">2026-02-12T21:34:00Z</dcterms:modified>
</cp:coreProperties>
</file>