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МИНИСТЕРСТВО НАУКИ И ВЫСШЕГО ОБРАЗОВАНИЯ</w:t>
        <w:br/>
        <w:t xml:space="preserve">РОССИЙСКОЙ ФЕДЕРАЦИИ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НОВОСИБИРСКИЙ НАЦИОНАЛЬНЫЙ ИССЛЕДОВАТЕЛЬСКИЙ ГОСУДАРСТВЕННЫЙ УНИВЕРСИТЕТ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jc w:val="center"/>
        <w:spacing w:before="60" w:after="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Факультет информационных технологий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Кафедра параллельных вычислений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ОТЧЕТ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 ВЫПОЛНЕНИИ ЛАБОРАТОРНОЙ РАБОТЫ 3</w:t>
      </w:r>
      <w:r/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rtl w:val="false"/>
        </w:rPr>
        <w:t xml:space="preserve">студента x</w:t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Новосибирск, 2022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Цель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Научиться оптимизировать использование памяти в простых программах численного моделирования.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Задание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Решение волнового уравнения методом конечных объёмов</w:t>
      </w:r>
      <w:r>
        <w:rPr>
          <w:rFonts w:ascii="Times New Roman" w:hAnsi="Times New Roman" w:cs="Times New Roman" w:eastAsia="Times New Roman"/>
          <w:sz w:val="28"/>
        </w:rPr>
        <w:t xml:space="preserve">. В качестве типов данных нужно использовать double.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Алгоритм моделирует распространение волны в двумерной области, инициированной импульсом из заданного узла сетки. В начальный момент времени значения искомой функции U на сетке инициализируются нулями. На каждом шаге моделирования значения искомой функции п</w:t>
      </w:r>
      <w:r>
        <w:rPr>
          <w:rFonts w:ascii="Times New Roman" w:hAnsi="Times New Roman" w:cs="Times New Roman" w:eastAsia="Times New Roman"/>
          <w:sz w:val="28"/>
        </w:rPr>
        <w:t xml:space="preserve">ересчитываются по заданной формуле.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Входные данные: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Nx=Ny=20000, Nt=120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Процессор: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Intel(R) Xeon(R) Gold 6128 CPU @ 3.40GHz</w:t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Ход работы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Времена замеров</w:t>
      </w:r>
      <w:r>
        <w:rPr>
          <w:rFonts w:ascii="Times New Roman" w:hAnsi="Times New Roman" w:cs="Times New Roman" w:eastAsia="Times New Roman"/>
        </w:rPr>
      </w:r>
      <w:r/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>
        <w:trPr/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Оптимизации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Время, сек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AVX2-лаб2 </w:t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155,3</w:t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AVX512-лаб2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146,1</w:t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AVX2</w:t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136,7</w:t>
            </w:r>
            <w:r/>
          </w:p>
        </w:tc>
      </w:tr>
      <w:tr>
        <w:trPr/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AVX512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93,6</w:t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Графики времени для параметра группировки итераций:</w:t>
      </w:r>
      <w:r/>
    </w:p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drawing>
          <wp:inline distT="0" distB="0" distL="0" distR="0">
            <wp:extent cx="5471999" cy="3203999"/>
            <wp:effectExtent l="0" t="0" r="0" b="0"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shd w:val="nil" w:color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Выводы:</w:t>
      </w:r>
      <w:r>
        <w:rPr>
          <w:b/>
          <w:sz w:val="24"/>
        </w:rPr>
      </w:r>
      <w:r/>
    </w:p>
    <w:p>
      <w:pPr>
        <w:pStyle w:val="844"/>
        <w:numPr>
          <w:ilvl w:val="0"/>
          <w:numId w:val="15"/>
        </w:num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Реорганизация операций дает прирост производительности, но ухудшает читаемость кода.</w:t>
      </w:r>
      <w:r/>
    </w:p>
    <w:p>
      <w:pPr>
        <w:pStyle w:val="844"/>
        <w:numPr>
          <w:ilvl w:val="0"/>
          <w:numId w:val="15"/>
        </w:num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Параметр итерации зависит от многих переменных, в частности от процессора и размеров его кешей и размеров массивов алгоритма. При их изменении нужно будет пересчитывать данный параметр, что может потребовать больших затрат времени.</w:t>
        <w:br w:type="page"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Характе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ристика варианта с AVX2</w:t>
      </w:r>
      <w:r/>
    </w:p>
    <w:p>
      <w:pPr>
        <w:ind w:left="0" w:right="0" w:firstLine="0"/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6658" cy="610481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7835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36658" cy="6104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8.7pt;height:480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0"/>
          <w:sz w:val="28"/>
        </w:rPr>
        <w:t xml:space="preserve">Характе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ристика варианта с AVX512</w:t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1008" cy="615243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3508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61007" cy="6152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8.5pt;height:484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граничения варианта с AVX2</w:t>
        <w:tab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ind w:left="0" w:right="0" w:firstLine="0"/>
        <w:jc w:val="left"/>
        <w:rPr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1923" cy="320286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827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41922" cy="3202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2.1pt;height:252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jc w:val="left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Ограничения варианта с AVX512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jc w:val="left"/>
        <w:shd w:val="nil" w:color="auto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9578" cy="286498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1756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49578" cy="2864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0.6pt;height:225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Roofline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варианта с AVX2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0019" cy="242816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7781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40018" cy="242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5.6pt;height:19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ind w:left="0" w:right="0" w:firstLine="0"/>
        <w:jc w:val="left"/>
        <w:spacing w:line="24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Roofline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 AVX512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0019" cy="243831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752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040018" cy="2438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5.6pt;height:19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418" w:bottom="1134" w:left="155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hart" Target="charts/chart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58709999999999998"/>
          <c:y val="0.0511"/>
          <c:w val="0.89602000000000004"/>
          <c:h val="0.790769999999999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AVX2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15</c:v>
                </c:pt>
                <c:pt idx="11">
                  <c:v>20</c:v>
                </c:pt>
                <c:pt idx="12">
                  <c:v>24</c:v>
                </c:pt>
                <c:pt idx="13">
                  <c:v>30</c:v>
                </c:pt>
                <c:pt idx="14">
                  <c:v>40</c:v>
                </c:pt>
                <c:pt idx="15">
                  <c:v>60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139.695</c:v>
                </c:pt>
                <c:pt idx="1">
                  <c:v>161.314</c:v>
                </c:pt>
                <c:pt idx="2">
                  <c:v>162.072</c:v>
                </c:pt>
                <c:pt idx="3">
                  <c:v>157.77</c:v>
                </c:pt>
                <c:pt idx="4">
                  <c:v>149.953</c:v>
                </c:pt>
                <c:pt idx="5">
                  <c:v>148.161</c:v>
                </c:pt>
                <c:pt idx="6">
                  <c:v>148.363</c:v>
                </c:pt>
                <c:pt idx="7">
                  <c:v>152.433</c:v>
                </c:pt>
                <c:pt idx="8">
                  <c:v>147.683</c:v>
                </c:pt>
                <c:pt idx="9">
                  <c:v>143.003</c:v>
                </c:pt>
                <c:pt idx="10">
                  <c:v>142.111</c:v>
                </c:pt>
                <c:pt idx="11">
                  <c:v>132.026</c:v>
                </c:pt>
                <c:pt idx="12">
                  <c:v>126.541</c:v>
                </c:pt>
                <c:pt idx="13">
                  <c:v>130.252</c:v>
                </c:pt>
                <c:pt idx="14">
                  <c:v>132.079</c:v>
                </c:pt>
                <c:pt idx="15">
                  <c:v>138.257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AVX512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15</c:v>
                </c:pt>
                <c:pt idx="11">
                  <c:v>20</c:v>
                </c:pt>
                <c:pt idx="12">
                  <c:v>24</c:v>
                </c:pt>
                <c:pt idx="13">
                  <c:v>30</c:v>
                </c:pt>
                <c:pt idx="14">
                  <c:v>40</c:v>
                </c:pt>
                <c:pt idx="15">
                  <c:v>60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110.802</c:v>
                </c:pt>
                <c:pt idx="1">
                  <c:v>122.552</c:v>
                </c:pt>
                <c:pt idx="2">
                  <c:v>114.952</c:v>
                </c:pt>
                <c:pt idx="3">
                  <c:v>107.337</c:v>
                </c:pt>
                <c:pt idx="4">
                  <c:v>105.405</c:v>
                </c:pt>
                <c:pt idx="5">
                  <c:v>98.6593</c:v>
                </c:pt>
                <c:pt idx="6">
                  <c:v>97.4688</c:v>
                </c:pt>
                <c:pt idx="7">
                  <c:v>97.1776</c:v>
                </c:pt>
                <c:pt idx="8">
                  <c:v>97.2047</c:v>
                </c:pt>
                <c:pt idx="9">
                  <c:v>95.9235</c:v>
                </c:pt>
                <c:pt idx="10">
                  <c:v>82.8621</c:v>
                </c:pt>
                <c:pt idx="11">
                  <c:v>77.0672</c:v>
                </c:pt>
                <c:pt idx="12">
                  <c:v>73.7324</c:v>
                </c:pt>
                <c:pt idx="13">
                  <c:v>65.0578</c:v>
                </c:pt>
                <c:pt idx="14">
                  <c:v>70.1559</c:v>
                </c:pt>
                <c:pt idx="15">
                  <c:v>91.5952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1"/>
        <c:axId val="511721972"/>
      </c:lineChart>
      <c:catAx>
        <c:axId val="51172197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72"/>
        <c:crosses val="autoZero"/>
        <c:auto val="1"/>
        <c:lblAlgn val="ctr"/>
        <c:lblOffset val="100"/>
        <c:noMultiLvlLbl val="0"/>
      </c:catAx>
      <c:valAx>
        <c:axId val="51172197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7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8" cy="32039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2022-05-03T13:21:01Z</dcterms:modified>
</cp:coreProperties>
</file>