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  <w:sz w:val="44"/>
        </w:rPr>
        <w:t>Area 51 Information Technology Services</w:t>
      </w:r>
    </w:p>
    <w:p>
      <w:r>
        <w:rPr>
          <w:b/>
          <w:color w:val="000000"/>
          <w:sz w:val="32"/>
        </w:rPr>
        <w:t>Progress Report</w:t>
      </w:r>
    </w:p>
    <w:p>
      <w:r>
        <w:rPr>
          <w:color w:val="000000"/>
          <w:sz w:val="20"/>
        </w:rPr>
        <w:t>Date: 10 August 2026  ·  Client: Assumption College of Davao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</w:tcPr>
          <w:p>
            <w:r>
              <w:rPr>
                <w:b/>
                <w:color w:val="000000"/>
                <w:sz w:val="20"/>
              </w:rPr>
              <w:t>No.</w:t>
            </w:r>
          </w:p>
        </w:tc>
        <w:tc>
          <w:tcPr>
            <w:tcW w:type="dxa" w:w="2592"/>
          </w:tcPr>
          <w:p>
            <w:r>
              <w:rPr>
                <w:b/>
                <w:color w:val="000000"/>
                <w:sz w:val="20"/>
              </w:rPr>
              <w:t>Module / Feature</w:t>
            </w:r>
          </w:p>
        </w:tc>
        <w:tc>
          <w:tcPr>
            <w:tcW w:type="dxa" w:w="5760"/>
          </w:tcPr>
          <w:p>
            <w:r>
              <w:rPr>
                <w:b/>
                <w:color w:val="000000"/>
                <w:sz w:val="20"/>
              </w:rPr>
              <w:t>Description / Accomplishment</w:t>
            </w:r>
          </w:p>
        </w:tc>
        <w:tc>
          <w:tcPr>
            <w:tcW w:type="dxa" w:w="1584"/>
          </w:tcPr>
          <w:p>
            <w:r>
              <w:rPr>
                <w:b/>
                <w:color w:val="000000"/>
                <w:sz w:val="20"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rPr>
                <w:color w:val="000000"/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b/>
                <w:color w:val="000000"/>
                <w:sz w:val="20"/>
              </w:rPr>
              <w:t>Dual SF2 Excel (K–10 &amp; SHS)</w:t>
            </w:r>
          </w:p>
        </w:tc>
        <w:tc>
          <w:tcPr>
            <w:tcW w:type="dxa" w:w="5760"/>
          </w:tcPr>
          <w:p>
            <w:r>
              <w:rPr>
                <w:color w:val="000000"/>
                <w:sz w:val="20"/>
              </w:rPr>
              <w:t>K–10 and Senior High use separate SF2 Excel templates. Holiday fills as a merged holiday column. Summary counts and ADA fixed (ceil, no empty-row inflation).</w:t>
            </w:r>
          </w:p>
        </w:tc>
        <w:tc>
          <w:tcPr>
            <w:tcW w:type="dxa" w:w="1584"/>
          </w:tcPr>
          <w:p>
            <w:r>
              <w:rPr>
                <w:b/>
                <w:color w:val="000000"/>
                <w:sz w:val="20"/>
              </w:rPr>
              <w:t>✓  Completed</w:t>
            </w:r>
          </w:p>
        </w:tc>
      </w:tr>
      <w:tr>
        <w:tc>
          <w:tcPr>
            <w:tcW w:type="dxa" w:w="720"/>
          </w:tcPr>
          <w:p>
            <w:r>
              <w:rPr>
                <w:color w:val="000000"/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b/>
                <w:color w:val="000000"/>
                <w:sz w:val="20"/>
              </w:rPr>
              <w:t>Half-day Attendance on SF2</w:t>
            </w:r>
          </w:p>
        </w:tc>
        <w:tc>
          <w:tcPr>
            <w:tcW w:type="dxa" w:w="5760"/>
          </w:tcPr>
          <w:p>
            <w:r>
              <w:rPr>
                <w:color w:val="000000"/>
                <w:sz w:val="20"/>
              </w:rPr>
              <w:t>Afternoon-only first IN maps as half-day (0.5). Stored half_day_dates; SF2 grid/UI/Excel support half-day marks.</w:t>
            </w:r>
          </w:p>
        </w:tc>
        <w:tc>
          <w:tcPr>
            <w:tcW w:type="dxa" w:w="1584"/>
          </w:tcPr>
          <w:p>
            <w:r>
              <w:rPr>
                <w:b/>
                <w:color w:val="000000"/>
                <w:sz w:val="20"/>
              </w:rPr>
              <w:t>✓  Completed</w:t>
            </w:r>
          </w:p>
        </w:tc>
      </w:tr>
      <w:tr>
        <w:tc>
          <w:tcPr>
            <w:tcW w:type="dxa" w:w="720"/>
          </w:tcPr>
          <w:p>
            <w:r>
              <w:rPr>
                <w:color w:val="000000"/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b/>
                <w:color w:val="000000"/>
                <w:sz w:val="20"/>
              </w:rPr>
              <w:t>Grade-band Admin Roles</w:t>
            </w:r>
          </w:p>
        </w:tc>
        <w:tc>
          <w:tcPr>
            <w:tcW w:type="dxa" w:w="5760"/>
          </w:tcPr>
          <w:p>
            <w:r>
              <w:rPr>
                <w:color w:val="000000"/>
                <w:sz w:val="20"/>
              </w:rPr>
              <w:t>Roles: superadmin, SHS Admin (G11–12), K–10 Admin (Kinder–G10). Seeded demo accounts; superadmin-only account management.</w:t>
            </w:r>
          </w:p>
        </w:tc>
        <w:tc>
          <w:tcPr>
            <w:tcW w:type="dxa" w:w="1584"/>
          </w:tcPr>
          <w:p>
            <w:r>
              <w:rPr>
                <w:b/>
                <w:color w:val="000000"/>
                <w:sz w:val="20"/>
              </w:rPr>
              <w:t>✓  Completed</w:t>
            </w:r>
          </w:p>
        </w:tc>
      </w:tr>
      <w:tr>
        <w:tc>
          <w:tcPr>
            <w:tcW w:type="dxa" w:w="720"/>
          </w:tcPr>
          <w:p>
            <w:r>
              <w:rPr>
                <w:color w:val="000000"/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b/>
                <w:color w:val="000000"/>
                <w:sz w:val="20"/>
              </w:rPr>
              <w:t>Module Keyholing</w:t>
            </w:r>
          </w:p>
        </w:tc>
        <w:tc>
          <w:tcPr>
            <w:tcW w:type="dxa" w:w="5760"/>
          </w:tcPr>
          <w:p>
            <w:r>
              <w:rPr>
                <w:color w:val="000000"/>
                <w:sz w:val="20"/>
              </w:rPr>
              <w:t>Students, SF2, logs, SMS blast, school setup, imports, face/ID, and patron reports scoped by grade band or faculty class.</w:t>
            </w:r>
          </w:p>
        </w:tc>
        <w:tc>
          <w:tcPr>
            <w:tcW w:type="dxa" w:w="1584"/>
          </w:tcPr>
          <w:p>
            <w:r>
              <w:rPr>
                <w:b/>
                <w:color w:val="000000"/>
                <w:sz w:val="20"/>
              </w:rPr>
              <w:t>✓  Completed</w:t>
            </w:r>
          </w:p>
        </w:tc>
      </w:tr>
      <w:tr>
        <w:tc>
          <w:tcPr>
            <w:tcW w:type="dxa" w:w="720"/>
          </w:tcPr>
          <w:p>
            <w:r>
              <w:rPr>
                <w:color w:val="000000"/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b/>
                <w:color w:val="000000"/>
                <w:sz w:val="20"/>
              </w:rPr>
              <w:t>Attendance Policy &amp; Gate SMS Scope</w:t>
            </w:r>
          </w:p>
        </w:tc>
        <w:tc>
          <w:tcPr>
            <w:tcW w:type="dxa" w:w="5760"/>
          </w:tcPr>
          <w:p>
            <w:r>
              <w:rPr>
                <w:color w:val="000000"/>
                <w:sz w:val="20"/>
              </w:rPr>
              <w:t>Band admins edit only their schedule / gate SMS templates; shared grace, streak thresholds, and alert wording remain super/staff.</w:t>
            </w:r>
          </w:p>
        </w:tc>
        <w:tc>
          <w:tcPr>
            <w:tcW w:type="dxa" w:w="1584"/>
          </w:tcPr>
          <w:p>
            <w:r>
              <w:rPr>
                <w:b/>
                <w:color w:val="000000"/>
                <w:sz w:val="20"/>
              </w:rPr>
              <w:t>✓  Completed</w:t>
            </w:r>
          </w:p>
        </w:tc>
      </w:tr>
      <w:tr>
        <w:tc>
          <w:tcPr>
            <w:tcW w:type="dxa" w:w="720"/>
          </w:tcPr>
          <w:p>
            <w:r>
              <w:rPr>
                <w:color w:val="000000"/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b/>
                <w:color w:val="000000"/>
                <w:sz w:val="20"/>
              </w:rPr>
              <w:t>Activity Log (Scoped Access)</w:t>
            </w:r>
          </w:p>
        </w:tc>
        <w:tc>
          <w:tcPr>
            <w:tcW w:type="dxa" w:w="5760"/>
          </w:tcPr>
          <w:p>
            <w:r>
              <w:rPr>
                <w:color w:val="000000"/>
                <w:sz w:val="20"/>
              </w:rPr>
              <w:t>Restored for school ops and faculty. Super/staff: all; SHS/K–10 admin: self + department faculty; faculty: own actions only.</w:t>
            </w:r>
          </w:p>
        </w:tc>
        <w:tc>
          <w:tcPr>
            <w:tcW w:type="dxa" w:w="1584"/>
          </w:tcPr>
          <w:p>
            <w:r>
              <w:rPr>
                <w:b/>
                <w:color w:val="000000"/>
                <w:sz w:val="20"/>
              </w:rPr>
              <w:t>✓  Completed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