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7D24" w14:textId="18533D9D" w:rsidR="006D1CF5" w:rsidRDefault="008C6966" w:rsidP="008C6966">
      <w:pPr>
        <w:pStyle w:val="Tytu"/>
      </w:pPr>
      <w:r>
        <w:t>Projektowanie instalacji elektrycznych – kolokwium</w:t>
      </w:r>
    </w:p>
    <w:p w14:paraId="57893308" w14:textId="0915C668" w:rsidR="008C6966" w:rsidRDefault="008C6966" w:rsidP="008C6966">
      <w:pPr>
        <w:pStyle w:val="Podtytu"/>
      </w:pPr>
      <w:r>
        <w:t>Kacper Borucki 245365</w:t>
      </w:r>
    </w:p>
    <w:p w14:paraId="23693D1A" w14:textId="65CF2CD6" w:rsidR="008C6966" w:rsidRDefault="008C6966" w:rsidP="008C6966">
      <w:pPr>
        <w:pStyle w:val="Nagwek1"/>
      </w:pPr>
      <w:r>
        <w:t>Omówić wymagania prawne dotyczące instalacji elektroenergetycznych</w:t>
      </w:r>
    </w:p>
    <w:p w14:paraId="5FC0BACE" w14:textId="08C6F0F8" w:rsidR="006C4CD0" w:rsidRDefault="008F313D" w:rsidP="008C6966">
      <w:r>
        <w:t xml:space="preserve">Podstawowymi </w:t>
      </w:r>
      <w:r w:rsidR="0017793A">
        <w:t>przepisami określającymi wymagania prawne dotyczące instalacji</w:t>
      </w:r>
      <w:r w:rsidR="002A51E9">
        <w:t xml:space="preserve"> elektroenergetycznych</w:t>
      </w:r>
      <w:r w:rsidR="0017793A">
        <w:t xml:space="preserve"> są</w:t>
      </w:r>
      <w:r w:rsidR="002A51E9">
        <w:t>:</w:t>
      </w:r>
      <w:r w:rsidR="0017793A">
        <w:t xml:space="preserve"> prawo budowlane, prawo energetyczne oraz ustawa o normalizacji. </w:t>
      </w:r>
      <w:r w:rsidR="002C57F2">
        <w:t xml:space="preserve">Uzupełnieniami tych przepisów są różne, wydane na przestrzeni lat, rozporządzenia </w:t>
      </w:r>
      <w:r w:rsidR="002C3417">
        <w:t xml:space="preserve">– np. w sprawach warunków technicznych budynków, bezpieczeństwa i higieny pracy przy urządzeniach i instalacjach energetycznych czy </w:t>
      </w:r>
      <w:r w:rsidR="00A152D0">
        <w:t xml:space="preserve">ochrony przeciwpożarowej budynków. Istnieje </w:t>
      </w:r>
      <w:r w:rsidR="006C4CD0">
        <w:t xml:space="preserve">także </w:t>
      </w:r>
      <w:r w:rsidR="00A152D0">
        <w:t xml:space="preserve">wiele norm </w:t>
      </w:r>
      <w:r w:rsidR="006C4CD0">
        <w:t>stawiających wymagania różnym elementom instalacji oraz urządzeń elektrycznych.</w:t>
      </w:r>
    </w:p>
    <w:p w14:paraId="7CA6F4AE" w14:textId="1DC83DA7" w:rsidR="00A152D0" w:rsidRDefault="00572027" w:rsidP="008C6966">
      <w:r w:rsidRPr="00572027">
        <w:rPr>
          <w:b/>
          <w:bCs/>
        </w:rPr>
        <w:t xml:space="preserve">Prawo budowlane </w:t>
      </w:r>
      <w:r w:rsidR="00514067">
        <w:t xml:space="preserve">jest ustawą określającą przede wszystkim </w:t>
      </w:r>
      <w:r w:rsidR="00590563">
        <w:t>wymagania podstawowe, które powinien spełniać budynek</w:t>
      </w:r>
      <w:r w:rsidR="002A51E9">
        <w:t xml:space="preserve"> i jego instalacje</w:t>
      </w:r>
      <w:r w:rsidR="00590563">
        <w:t xml:space="preserve">. Odnosi się to do m.in. bezpieczeństwa pożarowego, </w:t>
      </w:r>
      <w:r w:rsidR="00FB4C0D">
        <w:t xml:space="preserve">bezpieczeństwa użytkowania, ochrony przed hałasem i drganiami oraz charakterystyki energetycznej budynku. </w:t>
      </w:r>
    </w:p>
    <w:p w14:paraId="425EABAF" w14:textId="16197913" w:rsidR="00A213FC" w:rsidRDefault="00FB4C0D" w:rsidP="00A213FC">
      <w:r>
        <w:t xml:space="preserve">Ustawa ta określa również </w:t>
      </w:r>
      <w:r w:rsidR="002D3E45">
        <w:t xml:space="preserve">uprawnienia, które powinny mieć poszczególne osoby związane </w:t>
      </w:r>
      <w:r w:rsidR="00ED0218">
        <w:t xml:space="preserve">z poszczególnymi funkcjami technicznymi w budownictwie, określając m.in. rodzaje </w:t>
      </w:r>
      <w:r w:rsidR="00EE123F">
        <w:t xml:space="preserve">udzielanych </w:t>
      </w:r>
      <w:r w:rsidR="00ED0218">
        <w:t xml:space="preserve">uprawnień budowlanych </w:t>
      </w:r>
      <w:r w:rsidR="00EE123F">
        <w:t>w różnych specjalizacjach, włączając w to również uprawnienia dotyczące instalacji elektrycznych i elektroenergetycznych.</w:t>
      </w:r>
      <w:r w:rsidR="00ED0218">
        <w:t xml:space="preserve"> </w:t>
      </w:r>
    </w:p>
    <w:p w14:paraId="6A468AAB" w14:textId="305907ED" w:rsidR="00A213FC" w:rsidRDefault="00A213FC" w:rsidP="00A213FC">
      <w:r>
        <w:rPr>
          <w:b/>
          <w:bCs/>
        </w:rPr>
        <w:t xml:space="preserve">Prawo energetyczne </w:t>
      </w:r>
      <w:r>
        <w:t>jest ustawą określającą warunki, którym instalacje elektryczne w budynkach podlegają ze względu na politykę energetyczną państwa</w:t>
      </w:r>
      <w:r w:rsidR="00773BBF">
        <w:t xml:space="preserve"> i </w:t>
      </w:r>
      <w:r w:rsidR="004C3AC7">
        <w:t xml:space="preserve">bezpieczeństwo energetyczne </w:t>
      </w:r>
      <w:r w:rsidR="00773BBF">
        <w:t xml:space="preserve">kraju. Ustawa ta klasyfikuje instalacje elektryczne </w:t>
      </w:r>
      <w:r w:rsidR="00333A97">
        <w:t xml:space="preserve">ze względu na pobieraną moc oraz napięcia znamionowe a także narzuca wymagania i warunki </w:t>
      </w:r>
      <w:r w:rsidR="00A93999">
        <w:t>dotyczące przyłączania instalacji elektrycznej do sieci elektroenergetycznej.</w:t>
      </w:r>
    </w:p>
    <w:p w14:paraId="6291CB57" w14:textId="5F8EEB5D" w:rsidR="00A93999" w:rsidRDefault="00A93999" w:rsidP="00A213FC">
      <w:r>
        <w:rPr>
          <w:b/>
          <w:bCs/>
        </w:rPr>
        <w:t>Ustawa o normalizacji</w:t>
      </w:r>
      <w:r>
        <w:t xml:space="preserve"> określa funkcję i zakres stosowania norm</w:t>
      </w:r>
      <w:r w:rsidR="000B4382">
        <w:t xml:space="preserve"> a także funkcje Polskiego Komitetu Normalizacyjnego</w:t>
      </w:r>
      <w:r w:rsidR="00127590">
        <w:t xml:space="preserve"> oraz komitetów technicznych PKN</w:t>
      </w:r>
      <w:r w:rsidR="000B4382">
        <w:t xml:space="preserve">. </w:t>
      </w:r>
      <w:r w:rsidR="00127590">
        <w:t>Poza tym, stanowi</w:t>
      </w:r>
      <w:r w:rsidR="000B4382">
        <w:t xml:space="preserve"> ona </w:t>
      </w:r>
      <w:r w:rsidR="00975736">
        <w:t>podstawę prawną do stosowania Polskich Norm oraz norm europejskich przyjętych w kraju.</w:t>
      </w:r>
    </w:p>
    <w:p w14:paraId="08E83F2E" w14:textId="3D57A7F1" w:rsidR="00975736" w:rsidRDefault="001A7E05" w:rsidP="00A213FC">
      <w:r>
        <w:t xml:space="preserve">Na mocy wymienionych praw różnego rodzaju instalacjom stawia się określone oczekiwania i wymagania wynikające m.in. z norm czy prawa budowlanego. </w:t>
      </w:r>
    </w:p>
    <w:p w14:paraId="66D2ABE7" w14:textId="64FAC3C0" w:rsidR="001A7E05" w:rsidRPr="00507794" w:rsidRDefault="00507794" w:rsidP="00A213FC">
      <w:pPr>
        <w:rPr>
          <w:b/>
          <w:bCs/>
        </w:rPr>
      </w:pPr>
      <w:r w:rsidRPr="00507794">
        <w:rPr>
          <w:b/>
          <w:bCs/>
        </w:rPr>
        <w:t xml:space="preserve">Wymagania stawiane instalacjom elektroenergetycznym: </w:t>
      </w:r>
    </w:p>
    <w:p w14:paraId="323D017D" w14:textId="21600AE8" w:rsidR="006D7DED" w:rsidRDefault="00507794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Dostarczenie energii elektrycznej do odbiorników o odpowiednich parametrach</w:t>
      </w:r>
    </w:p>
    <w:p w14:paraId="7C8F32DB" w14:textId="2F1CC4A0" w:rsidR="00507794" w:rsidRDefault="00507794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Przetwarzanie energii elektrycznej</w:t>
      </w:r>
    </w:p>
    <w:p w14:paraId="7DAFFC46" w14:textId="767FAA9B" w:rsidR="00507794" w:rsidRDefault="00507794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Rozdzielanie energii elektrycznej</w:t>
      </w:r>
    </w:p>
    <w:p w14:paraId="1AC0F193" w14:textId="26A9FEF3" w:rsidR="00507794" w:rsidRDefault="00CD407B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 xml:space="preserve">Ochrona przed porażeniem prądem </w:t>
      </w:r>
      <w:r w:rsidR="006D21DE">
        <w:rPr>
          <w:rFonts w:eastAsiaTheme="majorEastAsia"/>
        </w:rPr>
        <w:t>elektrycznym</w:t>
      </w:r>
    </w:p>
    <w:p w14:paraId="145C347F" w14:textId="149BF039" w:rsidR="00CD407B" w:rsidRDefault="00CD407B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Ochrona przed przepięciami łączeniowymi i atmosferycznymi</w:t>
      </w:r>
    </w:p>
    <w:p w14:paraId="3D5B79B9" w14:textId="275F7920" w:rsidR="00CD407B" w:rsidRDefault="00CD407B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Ochrona przed wybuchem i powstawaniem pożaru</w:t>
      </w:r>
    </w:p>
    <w:p w14:paraId="14B68CD4" w14:textId="2813B3F0" w:rsidR="00CD407B" w:rsidRDefault="00CD407B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Ochrona przed oddziaływaniem pola elektromagnetycznego</w:t>
      </w:r>
    </w:p>
    <w:p w14:paraId="16EAD256" w14:textId="73D8ED42" w:rsidR="00CD407B" w:rsidRPr="00507794" w:rsidRDefault="00CD407B" w:rsidP="00507794">
      <w:pPr>
        <w:pStyle w:val="Akapitzlist"/>
        <w:numPr>
          <w:ilvl w:val="0"/>
          <w:numId w:val="17"/>
        </w:numPr>
        <w:rPr>
          <w:rFonts w:eastAsiaTheme="majorEastAsia"/>
        </w:rPr>
      </w:pPr>
      <w:r>
        <w:rPr>
          <w:rFonts w:eastAsiaTheme="majorEastAsia"/>
        </w:rPr>
        <w:t>Ochrona przed emisją drgań i hałasu</w:t>
      </w:r>
    </w:p>
    <w:p w14:paraId="0B3A95B9" w14:textId="038C2390" w:rsidR="008C6966" w:rsidRDefault="008C6966" w:rsidP="008C6966">
      <w:pPr>
        <w:pStyle w:val="Nagwek1"/>
      </w:pPr>
      <w:r>
        <w:lastRenderedPageBreak/>
        <w:t>Środki ochrony przeciwporażeniowej w instalacjach elektrycznych</w:t>
      </w:r>
    </w:p>
    <w:p w14:paraId="57D9A098" w14:textId="77777777" w:rsidR="005A32DF" w:rsidRDefault="009C48A8">
      <w:r>
        <w:t xml:space="preserve">Środki ochrony przeciwporażeniowej w instalacjach elektrycznych mają na celu </w:t>
      </w:r>
      <w:r w:rsidR="00F02904">
        <w:t xml:space="preserve">zmniejszenie ryzyka porażenia prądem elektrycznym użytkownika korzystającego z urządzeń podłączonych do tej instalacji. </w:t>
      </w:r>
    </w:p>
    <w:p w14:paraId="41EEDC74" w14:textId="50EBB0E2" w:rsidR="006D7DED" w:rsidRDefault="00DE2D34">
      <w:r>
        <w:t>Ochronę przeciwporażeniową zapewnia się przez zastosowanie kombinacji środka ochrony podstawowej oraz niezależnego środka ochrony dodatkowej</w:t>
      </w:r>
      <w:r w:rsidR="00B94ECA">
        <w:t xml:space="preserve"> lub zastosowanie środka ochrony wzmocnionej. Ponadto,</w:t>
      </w:r>
      <w:r w:rsidR="005A32DF">
        <w:t xml:space="preserve"> w sytuacjach zwiększonego zagrożenia porażeniem należy stosować środki uzupełniającej ochrony przeciwporażeniowej.</w:t>
      </w:r>
      <w:r w:rsidR="00B94ECA">
        <w:t xml:space="preserve"> </w:t>
      </w:r>
    </w:p>
    <w:p w14:paraId="28D360A7" w14:textId="55FB0A19" w:rsidR="00680562" w:rsidRDefault="00AA489C">
      <w:r>
        <w:rPr>
          <w:b/>
          <w:bCs/>
        </w:rPr>
        <w:t xml:space="preserve">Ochrona podstawowa (przed dotykiem bezpośrednim) </w:t>
      </w:r>
      <w:r>
        <w:t xml:space="preserve">ma na celu </w:t>
      </w:r>
      <w:r w:rsidR="00A13AA9">
        <w:t xml:space="preserve">zapewnienie, by części przewodzące będące pod napięciem w trakcie normalnej pracy urządzeń były niedostępne dla człowieka </w:t>
      </w:r>
      <w:r w:rsidR="00BB458E">
        <w:t>a części przewodzące dostępne nie znajdowały się pod wyczuwalnym napięciem względem ziemi.</w:t>
      </w:r>
      <w:r w:rsidR="0062642A">
        <w:t xml:space="preserve"> Środkami ochrony podstawowej są</w:t>
      </w:r>
      <w:r w:rsidR="00A54ACD">
        <w:t xml:space="preserve"> m.in.: </w:t>
      </w:r>
    </w:p>
    <w:p w14:paraId="4A5BB051" w14:textId="77777777" w:rsidR="00680562" w:rsidRDefault="00A54ACD" w:rsidP="00680562">
      <w:pPr>
        <w:pStyle w:val="Akapitzlist"/>
        <w:numPr>
          <w:ilvl w:val="0"/>
          <w:numId w:val="13"/>
        </w:numPr>
      </w:pPr>
      <w:r>
        <w:t xml:space="preserve">stosowanie izolacji </w:t>
      </w:r>
      <w:r w:rsidR="004D227B">
        <w:t xml:space="preserve">podstawowej zabezpieczającej przed dostępem do części czynnych, </w:t>
      </w:r>
    </w:p>
    <w:p w14:paraId="0BD4194F" w14:textId="77777777" w:rsidR="00680562" w:rsidRDefault="004D227B" w:rsidP="00680562">
      <w:pPr>
        <w:pStyle w:val="Akapitzlist"/>
        <w:numPr>
          <w:ilvl w:val="0"/>
          <w:numId w:val="13"/>
        </w:numPr>
      </w:pPr>
      <w:r>
        <w:t>stosowanie obudów urządzeń</w:t>
      </w:r>
      <w:r w:rsidR="00A618E4">
        <w:t xml:space="preserve"> osłaniających części czynne urządzeń</w:t>
      </w:r>
      <w:r>
        <w:t xml:space="preserve">, </w:t>
      </w:r>
    </w:p>
    <w:p w14:paraId="2E50D51E" w14:textId="77777777" w:rsidR="00680562" w:rsidRDefault="004D227B" w:rsidP="00680562">
      <w:pPr>
        <w:pStyle w:val="Akapitzlist"/>
        <w:numPr>
          <w:ilvl w:val="0"/>
          <w:numId w:val="13"/>
        </w:numPr>
      </w:pPr>
      <w:r>
        <w:t xml:space="preserve">stosowanie ogrodzeń </w:t>
      </w:r>
      <w:r w:rsidR="00555A0B">
        <w:t xml:space="preserve">w określonej odległości od części czynnych urządzeń </w:t>
      </w:r>
    </w:p>
    <w:p w14:paraId="7CEDA790" w14:textId="2003012D" w:rsidR="00AA489C" w:rsidRDefault="00CF71E7" w:rsidP="00680562">
      <w:pPr>
        <w:pStyle w:val="Akapitzlist"/>
        <w:numPr>
          <w:ilvl w:val="0"/>
          <w:numId w:val="13"/>
        </w:numPr>
      </w:pPr>
      <w:r>
        <w:t>umieszczanie części czynnych urządzeń poza zasięgiem dłoni.</w:t>
      </w:r>
    </w:p>
    <w:p w14:paraId="124B066F" w14:textId="6E0CBB75" w:rsidR="00CF71E7" w:rsidRDefault="00CF71E7">
      <w:r>
        <w:rPr>
          <w:b/>
          <w:bCs/>
        </w:rPr>
        <w:t xml:space="preserve">Ochrona dodatkowa (przy dotyku pośrednim) </w:t>
      </w:r>
      <w:r>
        <w:t>ma</w:t>
      </w:r>
      <w:r w:rsidR="00AE2DB1">
        <w:t xml:space="preserve"> zapewnić ochronę przeciwporażeniową w przypadku uszkodzenia izolacji lub przy dotyku pośrednim</w:t>
      </w:r>
      <w:r w:rsidR="00C14479">
        <w:t xml:space="preserve">, niezależnie od warunków zewnętrznych. Aby zapewnić ochronę dodatkową, stosuje się </w:t>
      </w:r>
      <w:r w:rsidR="00680562">
        <w:t>takie środki jak:</w:t>
      </w:r>
    </w:p>
    <w:p w14:paraId="580AF8FE" w14:textId="38646B9D" w:rsidR="002265C5" w:rsidRDefault="0060686D" w:rsidP="00680562">
      <w:pPr>
        <w:pStyle w:val="Akapitzlist"/>
        <w:numPr>
          <w:ilvl w:val="0"/>
          <w:numId w:val="14"/>
        </w:numPr>
      </w:pPr>
      <w:r>
        <w:t xml:space="preserve">Samoczynne wyłączenie zasilania </w:t>
      </w:r>
      <w:r w:rsidR="002265C5">
        <w:t>np. przez zastosowanie wyłączników nadprądowych</w:t>
      </w:r>
    </w:p>
    <w:p w14:paraId="374844BC" w14:textId="77777777" w:rsidR="002265C5" w:rsidRDefault="002265C5" w:rsidP="00680562">
      <w:pPr>
        <w:pStyle w:val="Akapitzlist"/>
        <w:numPr>
          <w:ilvl w:val="0"/>
          <w:numId w:val="14"/>
        </w:numPr>
      </w:pPr>
      <w:r>
        <w:t>Stosowanie urządzeń o II klasie ochronności</w:t>
      </w:r>
    </w:p>
    <w:p w14:paraId="2D069531" w14:textId="77777777" w:rsidR="000224F8" w:rsidRDefault="000224F8" w:rsidP="00680562">
      <w:pPr>
        <w:pStyle w:val="Akapitzlist"/>
        <w:numPr>
          <w:ilvl w:val="0"/>
          <w:numId w:val="14"/>
        </w:numPr>
      </w:pPr>
      <w:r>
        <w:t>Separację elektryczną zasilania odbiorników</w:t>
      </w:r>
    </w:p>
    <w:p w14:paraId="7980765B" w14:textId="3254F674" w:rsidR="00680562" w:rsidRDefault="000224F8" w:rsidP="00680562">
      <w:pPr>
        <w:pStyle w:val="Akapitzlist"/>
        <w:numPr>
          <w:ilvl w:val="0"/>
          <w:numId w:val="14"/>
        </w:numPr>
      </w:pPr>
      <w:r>
        <w:t>Stosowanie nieuziemionych połączeń wyrównawczych</w:t>
      </w:r>
    </w:p>
    <w:p w14:paraId="007F7C9D" w14:textId="1681921B" w:rsidR="000224F8" w:rsidRDefault="000224F8" w:rsidP="00680562">
      <w:pPr>
        <w:pStyle w:val="Akapitzlist"/>
        <w:numPr>
          <w:ilvl w:val="0"/>
          <w:numId w:val="14"/>
        </w:numPr>
      </w:pPr>
      <w:r>
        <w:t>Izolowanie stanowisk pracy</w:t>
      </w:r>
    </w:p>
    <w:p w14:paraId="0CE159DA" w14:textId="4DE772CD" w:rsidR="00794518" w:rsidRDefault="0072529D" w:rsidP="007B3E27">
      <w:r>
        <w:rPr>
          <w:b/>
          <w:bCs/>
        </w:rPr>
        <w:t xml:space="preserve">Ochrona uzupełniająca </w:t>
      </w:r>
      <w:r>
        <w:t xml:space="preserve">jest stosowana </w:t>
      </w:r>
      <w:r w:rsidR="0048696F">
        <w:t xml:space="preserve">w sytuacjach zwiększonego zagrożenia porażeniem. Konieczność jej stosowania jest narzucana normą. </w:t>
      </w:r>
      <w:r w:rsidR="00794518">
        <w:t>Ten typ ochrony uzupełnia zarówno ochronę podstawową jak i dodatkową. Środkami ochrony uzupełniającej są:</w:t>
      </w:r>
    </w:p>
    <w:p w14:paraId="432C02E8" w14:textId="01B3B644" w:rsidR="00794518" w:rsidRDefault="00616586" w:rsidP="00794518">
      <w:pPr>
        <w:pStyle w:val="Akapitzlist"/>
        <w:numPr>
          <w:ilvl w:val="0"/>
          <w:numId w:val="15"/>
        </w:numPr>
      </w:pPr>
      <w:r>
        <w:t>Wyłączniki różnicowoprądowe</w:t>
      </w:r>
    </w:p>
    <w:p w14:paraId="6663F2D1" w14:textId="7F8144BE" w:rsidR="00616586" w:rsidRDefault="00616586" w:rsidP="00794518">
      <w:pPr>
        <w:pStyle w:val="Akapitzlist"/>
        <w:numPr>
          <w:ilvl w:val="0"/>
          <w:numId w:val="15"/>
        </w:numPr>
      </w:pPr>
      <w:r>
        <w:t>Miejscowe połączenia wyrównawcze ochronne</w:t>
      </w:r>
    </w:p>
    <w:p w14:paraId="1D371DA5" w14:textId="7E69C79C" w:rsidR="003C3715" w:rsidRPr="003C3715" w:rsidRDefault="003C3715" w:rsidP="003C3715">
      <w:r>
        <w:rPr>
          <w:b/>
          <w:bCs/>
        </w:rPr>
        <w:t xml:space="preserve">Ochrona wzmocniona </w:t>
      </w:r>
      <w:r>
        <w:t xml:space="preserve">jest ochroną </w:t>
      </w:r>
      <w:r w:rsidR="003F6578">
        <w:t>zarówno przy dotyku pośrednim jak i bezpośrednim. Najczęściej realizuje się ją przez wykonanie instalacji elektrycznej o bardzo niskim napięciu, np. typu SELV, PELV lub FELV.</w:t>
      </w:r>
    </w:p>
    <w:p w14:paraId="4E1C37A9" w14:textId="77777777" w:rsidR="002A51E9" w:rsidRPr="0072529D" w:rsidRDefault="002A51E9" w:rsidP="002A51E9"/>
    <w:p w14:paraId="174691A8" w14:textId="77777777" w:rsidR="00680562" w:rsidRPr="00CF71E7" w:rsidRDefault="00680562">
      <w:pPr>
        <w:rPr>
          <w:rFonts w:asciiTheme="majorHAnsi" w:eastAsiaTheme="majorEastAsia" w:hAnsiTheme="majorHAnsi" w:cstheme="majorBidi"/>
          <w:smallCaps/>
          <w:color w:val="000000" w:themeColor="text1"/>
          <w:sz w:val="36"/>
          <w:szCs w:val="36"/>
        </w:rPr>
      </w:pPr>
    </w:p>
    <w:p w14:paraId="77B74B89" w14:textId="77777777" w:rsidR="005A32DF" w:rsidRDefault="005A32D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F02C4FF" w14:textId="5062C1F2" w:rsidR="008C6966" w:rsidRDefault="008C6966" w:rsidP="008C6966">
      <w:pPr>
        <w:pStyle w:val="Nagwek1"/>
      </w:pPr>
      <w:r>
        <w:lastRenderedPageBreak/>
        <w:t>Rodzaje instalacji elektrycznych</w:t>
      </w:r>
    </w:p>
    <w:p w14:paraId="20D0D9AF" w14:textId="714AC281" w:rsidR="008C6966" w:rsidRDefault="008C6966" w:rsidP="008C6966">
      <w:r>
        <w:t xml:space="preserve">Rodzaje instalacji elektrycznych wyróżnia się ze względu na różne </w:t>
      </w:r>
      <w:r w:rsidR="00A06F65">
        <w:t>konfiguracje odpowiednio zależności między punktem neutralnym układu sieci a ziemią oraz zależności między częściami przewodzącymi urządzeń a ziemią. Podstawowe rodzaje sieci opisuje się dwuliterowym kodem, przy czym instalacje TN dzieli się na pomniejsze kategorie zależne od układu przewodów neutralnego i ochronnego.</w:t>
      </w:r>
    </w:p>
    <w:p w14:paraId="5C14CDF1" w14:textId="25A1021B" w:rsidR="00A06F65" w:rsidRDefault="00A06F65" w:rsidP="008C6966">
      <w:r>
        <w:t>Podstawowymi rodzajami instalacji elektrycznych są:</w:t>
      </w:r>
    </w:p>
    <w:p w14:paraId="0675FBE1" w14:textId="2E48BF0E" w:rsidR="00A06F65" w:rsidRDefault="00A06F65" w:rsidP="00A06F65">
      <w:pPr>
        <w:pStyle w:val="Akapitzlist"/>
        <w:numPr>
          <w:ilvl w:val="0"/>
          <w:numId w:val="12"/>
        </w:numPr>
      </w:pPr>
      <w:r w:rsidRPr="00E8567A">
        <w:rPr>
          <w:b/>
          <w:bCs/>
        </w:rPr>
        <w:t>TN</w:t>
      </w:r>
      <w:r>
        <w:t xml:space="preserve"> – układ, w którym punkt neutralny sieci jest bezpośrednio połączony z ziemią, z kolei części przewodzące dostępne urządzeń połączone są z uziemionym punktem neutralnym. Układ TN jest układem najczęściej stosowanym w instalacjach elektrycznych w Polsce. Dodatkowy podział sieci TN wyróżnia się ze względu na konfigurację przewodów ochronnego i neutralnego:</w:t>
      </w:r>
    </w:p>
    <w:p w14:paraId="77839999" w14:textId="1CF299FC" w:rsidR="00A06F65" w:rsidRDefault="00A06F65" w:rsidP="00A06F65">
      <w:pPr>
        <w:pStyle w:val="Akapitzlist"/>
        <w:numPr>
          <w:ilvl w:val="1"/>
          <w:numId w:val="12"/>
        </w:numPr>
      </w:pPr>
      <w:r w:rsidRPr="00E8567A">
        <w:rPr>
          <w:b/>
          <w:bCs/>
        </w:rPr>
        <w:t>TN-C</w:t>
      </w:r>
      <w:r>
        <w:t xml:space="preserve"> – jest siecią z jednym przewodem neutralno-ochronnym PEN</w:t>
      </w:r>
    </w:p>
    <w:p w14:paraId="220A2C3E" w14:textId="1111FD3D" w:rsidR="00A06F65" w:rsidRDefault="00A06F65" w:rsidP="00A06F65">
      <w:pPr>
        <w:pStyle w:val="Akapitzlist"/>
        <w:numPr>
          <w:ilvl w:val="1"/>
          <w:numId w:val="12"/>
        </w:numPr>
      </w:pPr>
      <w:r w:rsidRPr="00E8567A">
        <w:rPr>
          <w:b/>
          <w:bCs/>
        </w:rPr>
        <w:t>TN-S</w:t>
      </w:r>
      <w:r>
        <w:t xml:space="preserve"> – jest siecią, w której przewody neutralny i ochronny są osobnymi przewodami N i PE</w:t>
      </w:r>
    </w:p>
    <w:p w14:paraId="7A2CD6F6" w14:textId="1F8C6406" w:rsidR="00A06F65" w:rsidRDefault="00A06F65" w:rsidP="00A06F65">
      <w:pPr>
        <w:pStyle w:val="Akapitzlist"/>
        <w:numPr>
          <w:ilvl w:val="1"/>
          <w:numId w:val="12"/>
        </w:numPr>
      </w:pPr>
      <w:r w:rsidRPr="00E8567A">
        <w:rPr>
          <w:b/>
          <w:bCs/>
        </w:rPr>
        <w:t>TN-C-S</w:t>
      </w:r>
      <w:r>
        <w:t xml:space="preserve"> – jest siecią, w której w różnych częściach układu </w:t>
      </w:r>
      <w:r w:rsidR="006D7DED">
        <w:t>istnieją różne konfiguracje przewodów neutralnego i ochronnego; np. w instalacji budynku mieszkalnego układem sieci jest TN-S, ale mimo tego jest ona podłączona do zewnętrznej sieci TN-C a punkt rozdziału przewodu PEN na przewody PE oraz N znajduje się w złączu lub rozdzielnicy głównej budynku</w:t>
      </w:r>
    </w:p>
    <w:p w14:paraId="68A4D6C4" w14:textId="77777777" w:rsidR="006D7DED" w:rsidRDefault="006D7DED" w:rsidP="006D7DED">
      <w:pPr>
        <w:pStyle w:val="Akapitzlist"/>
      </w:pPr>
    </w:p>
    <w:p w14:paraId="2CBC5F1A" w14:textId="226C8753" w:rsidR="006D7DED" w:rsidRDefault="006D7DED" w:rsidP="006D7DED">
      <w:pPr>
        <w:pStyle w:val="Akapitzlist"/>
        <w:numPr>
          <w:ilvl w:val="0"/>
          <w:numId w:val="12"/>
        </w:numPr>
      </w:pPr>
      <w:r w:rsidRPr="00B66EB9">
        <w:rPr>
          <w:b/>
          <w:bCs/>
        </w:rPr>
        <w:t>TT</w:t>
      </w:r>
      <w:r>
        <w:t xml:space="preserve"> – układ, w którym punkt neutralny sieci jest bezpośrednio połączony z ziemią, a części przewodzące urządzeń podlegających ochronie są połączone z ziemią niezależnie od uziemienia punktu neutralnego sieci;</w:t>
      </w:r>
    </w:p>
    <w:p w14:paraId="5942EA36" w14:textId="2029194B" w:rsidR="006D7DED" w:rsidRDefault="006D7DED" w:rsidP="006D7DED">
      <w:pPr>
        <w:pStyle w:val="Akapitzlist"/>
        <w:numPr>
          <w:ilvl w:val="0"/>
          <w:numId w:val="12"/>
        </w:numPr>
      </w:pPr>
      <w:r w:rsidRPr="00B66EB9">
        <w:rPr>
          <w:b/>
          <w:bCs/>
        </w:rPr>
        <w:t>IT</w:t>
      </w:r>
      <w:r>
        <w:t xml:space="preserve"> – układ, którego wszystkie części będące pod napięciem są izolowane od ziemi (punkt neutralny może być połączony z ziemią przez impedancję o dużej wartości), a dostępne części przewodzące urządzeń podlegających ochronie są połączone z ziemią niezależnie od punktu neutralnego sieci.</w:t>
      </w:r>
    </w:p>
    <w:p w14:paraId="2CDA9C94" w14:textId="290D8361" w:rsidR="00A06F65" w:rsidRPr="008C6966" w:rsidRDefault="00A06F65" w:rsidP="008C6966">
      <w:r>
        <w:t xml:space="preserve"> </w:t>
      </w:r>
    </w:p>
    <w:p w14:paraId="5C709F8A" w14:textId="77777777" w:rsidR="006D7DED" w:rsidRDefault="006D7DE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3DE3B17" w14:textId="74C9F701" w:rsidR="008C6966" w:rsidRDefault="008C6966" w:rsidP="008C6966">
      <w:pPr>
        <w:pStyle w:val="Nagwek1"/>
      </w:pPr>
      <w:r>
        <w:lastRenderedPageBreak/>
        <w:t>Przewody i kable elektroenergetyczne – zasady doboru</w:t>
      </w:r>
    </w:p>
    <w:p w14:paraId="1FD2CA9E" w14:textId="37F44DA5" w:rsidR="00A951E0" w:rsidRDefault="00AC34F9" w:rsidP="00EC0D82">
      <w:r>
        <w:t xml:space="preserve">Algorytm doboru przewodów i kabli elektroenergetycznych </w:t>
      </w:r>
      <w:r w:rsidR="00654DB9">
        <w:t>ma na celu zapewnienie, by dobrane przewody miały jednocześnie możliwie minimalny przekrój – co jest uzasadnione względami ekonomicznymi – a także zapewniały prawidłową pracę wszystkich zabezpieczeń przeciwporażeniowych</w:t>
      </w:r>
      <w:r w:rsidR="00A951E0">
        <w:t xml:space="preserve">. Etapami doboru przekrojów przewodów są: </w:t>
      </w:r>
    </w:p>
    <w:p w14:paraId="32538AC2" w14:textId="3203EF7C" w:rsidR="00EC0D82" w:rsidRPr="007579D6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Obciążalność długotrwała</w:t>
      </w:r>
    </w:p>
    <w:p w14:paraId="5C07269C" w14:textId="4285A14C" w:rsidR="00DE4664" w:rsidRDefault="00DE4664" w:rsidP="00DE4664">
      <w:pPr>
        <w:pStyle w:val="Akapitzlist"/>
      </w:pPr>
      <w:r>
        <w:t xml:space="preserve">Dobiera się najmniejszy przekrój, którego obciążalność długotrwała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jest większa od prądu obliczeniowego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1B89C4CB" w14:textId="0B3FCD6B" w:rsidR="00DE4664" w:rsidRPr="00187B3E" w:rsidRDefault="00187B3E" w:rsidP="00DE4664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</m:oMath>
      </m:oMathPara>
    </w:p>
    <w:p w14:paraId="29B82A7C" w14:textId="42749FB8" w:rsidR="00187B3E" w:rsidRDefault="00187B3E" w:rsidP="00DE4664">
      <w:pPr>
        <w:pStyle w:val="Akapitzlist"/>
      </w:pPr>
      <w:r>
        <w:t>Gdzie:</w:t>
      </w:r>
    </w:p>
    <w:p w14:paraId="2E53085D" w14:textId="77777777" w:rsidR="007579D6" w:rsidRDefault="007579D6" w:rsidP="00DE4664">
      <w:pPr>
        <w:pStyle w:val="Akapitzlist"/>
      </w:pPr>
    </w:p>
    <w:p w14:paraId="2CE5C40A" w14:textId="1D6BCF62" w:rsidR="00187B3E" w:rsidRDefault="00406B0E" w:rsidP="007579D6">
      <w:pPr>
        <w:pStyle w:val="Akapitzlist"/>
      </w:pPr>
      <w:r>
        <w:t xml:space="preserve">Dla układu </w:t>
      </w:r>
      <w:r w:rsidR="007579D6">
        <w:t>3</w:t>
      </w:r>
      <w:r>
        <w:t>-fazowego:</w:t>
      </w:r>
      <w:r w:rsidR="007579D6">
        <w:tab/>
      </w:r>
      <w:r w:rsidR="007579D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  <m:r>
              <w:rPr>
                <w:rFonts w:ascii="Cambria Math" w:hAnsi="Cambria Math"/>
              </w:rPr>
              <m:t>cosφ</m:t>
            </m:r>
          </m:den>
        </m:f>
      </m:oMath>
      <w:r>
        <w:t xml:space="preserve"> </w:t>
      </w:r>
    </w:p>
    <w:p w14:paraId="4903D1F3" w14:textId="5E4BCFB2" w:rsidR="00406B0E" w:rsidRDefault="00406B0E" w:rsidP="007579D6">
      <w:pPr>
        <w:pStyle w:val="Akapitzlist"/>
      </w:pPr>
      <w:r>
        <w:t xml:space="preserve">Dla układu </w:t>
      </w:r>
      <w:r w:rsidR="007579D6">
        <w:t>1</w:t>
      </w:r>
      <w:r>
        <w:t xml:space="preserve">-fazowego: </w:t>
      </w:r>
      <w:r w:rsidR="007579D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φ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0F15EF4F" w14:textId="3A1E6385" w:rsidR="007579D6" w:rsidRDefault="007579D6" w:rsidP="007579D6">
      <w:pPr>
        <w:ind w:left="705"/>
      </w:pPr>
      <w:r>
        <w:t xml:space="preserve">Oraz: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współczynnik temperaturowy;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– współczynnik ułożenia przewodów;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t xml:space="preserve"> – prąd dopuszczalnie długotrwały dla danego przewodu, podany przez producenta</w:t>
      </w:r>
    </w:p>
    <w:p w14:paraId="0B672703" w14:textId="3ADCBB7C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Dopuszczalny spadek napięcia</w:t>
      </w:r>
    </w:p>
    <w:p w14:paraId="4111598A" w14:textId="16BA6B08" w:rsidR="007579D6" w:rsidRDefault="00806B0B" w:rsidP="007579D6">
      <w:pPr>
        <w:pStyle w:val="Akapitzlist"/>
      </w:pPr>
      <w:r>
        <w:t xml:space="preserve">Łączny spadek napięcia między złączami instalacji i urządzeniami odbiorczymi nie może przekroczyć 4% napięcia znamionowego: </w:t>
      </w:r>
    </w:p>
    <w:p w14:paraId="08A8CE74" w14:textId="54A13DFF" w:rsidR="00806B0B" w:rsidRPr="00935551" w:rsidRDefault="00806B0B" w:rsidP="007579D6">
      <w:pPr>
        <w:pStyle w:val="Akapitzlis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obl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dop</m:t>
              </m:r>
            </m:sub>
          </m:sSub>
        </m:oMath>
      </m:oMathPara>
    </w:p>
    <w:p w14:paraId="4A171226" w14:textId="77777777" w:rsidR="00AE4BD0" w:rsidRDefault="00935551" w:rsidP="007579D6">
      <w:pPr>
        <w:pStyle w:val="Akapitzlist"/>
      </w:pPr>
      <w:r>
        <w:t>Gdzie</w:t>
      </w:r>
      <w:r w:rsidR="00AE4BD0">
        <w:t>:</w:t>
      </w:r>
    </w:p>
    <w:p w14:paraId="04F2F4B5" w14:textId="31028E3A" w:rsidR="00AE4BD0" w:rsidRDefault="00935551" w:rsidP="007579D6">
      <w:pPr>
        <w:pStyle w:val="Akapitzlist"/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obl</m:t>
            </m:r>
          </m:sub>
        </m:sSub>
      </m:oMath>
      <w:r>
        <w:t xml:space="preserve"> – obliczony spadek napięcia; </w:t>
      </w:r>
    </w:p>
    <w:p w14:paraId="39458A6C" w14:textId="3BB95C79" w:rsidR="007579D6" w:rsidRDefault="00935551" w:rsidP="00AE4BD0">
      <w:pPr>
        <w:pStyle w:val="Akapitzlist"/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dop</m:t>
            </m:r>
          </m:sub>
        </m:sSub>
      </m:oMath>
      <w:r>
        <w:t xml:space="preserve"> – dopuszczalny spadek napięcia (</w:t>
      </w:r>
      <m:oMath>
        <m:r>
          <w:rPr>
            <w:rFonts w:ascii="Cambria Math" w:hAnsi="Cambria Math"/>
          </w:rPr>
          <m:t>±10%</m:t>
        </m:r>
      </m:oMath>
      <w:r w:rsidR="00AE4BD0">
        <w:t xml:space="preserve"> dla urządzeń elektrycznych, </w:t>
      </w:r>
      <m:oMath>
        <m:r>
          <w:rPr>
            <w:rFonts w:ascii="Cambria Math" w:hAnsi="Cambria Math"/>
          </w:rPr>
          <m:t>±5%</m:t>
        </m:r>
      </m:oMath>
      <w:r w:rsidR="00AE4BD0">
        <w:t xml:space="preserve"> dla oświetlenia)</w:t>
      </w:r>
    </w:p>
    <w:p w14:paraId="511D4F98" w14:textId="77777777" w:rsidR="00AE4BD0" w:rsidRPr="00AE4BD0" w:rsidRDefault="00AE4BD0" w:rsidP="00AE4BD0">
      <w:pPr>
        <w:pStyle w:val="Akapitzlist"/>
      </w:pPr>
    </w:p>
    <w:p w14:paraId="750167F7" w14:textId="789264C9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Wytrzymałość mechaniczna</w:t>
      </w:r>
    </w:p>
    <w:p w14:paraId="23317745" w14:textId="1C8F4A76" w:rsidR="00AE4BD0" w:rsidRDefault="00AE4BD0" w:rsidP="00AE4BD0">
      <w:pPr>
        <w:pStyle w:val="Akapitzlist"/>
      </w:pPr>
      <w:r>
        <w:t>Przekrój przewodów dobrany wg. Innych kryteriów nie może być mniejszy niż określony w przepisach przekrój minimalny ze względu na wytrzymałość mechaniczną</w:t>
      </w:r>
    </w:p>
    <w:p w14:paraId="40285BDF" w14:textId="583C5743" w:rsidR="00AE4BD0" w:rsidRPr="00400C25" w:rsidRDefault="00AE4BD0" w:rsidP="00AE4BD0">
      <w:pPr>
        <w:pStyle w:val="Akapitzlist"/>
      </w:pPr>
      <m:oMathPara>
        <m:oMath>
          <m:r>
            <w:rPr>
              <w:rFonts w:ascii="Cambria Math" w:hAnsi="Cambria Math"/>
            </w:rPr>
            <m:t>S≥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min.mech.</m:t>
              </m:r>
            </m:sub>
          </m:sSub>
        </m:oMath>
      </m:oMathPara>
    </w:p>
    <w:p w14:paraId="1DEC968F" w14:textId="77777777" w:rsidR="00400C25" w:rsidRPr="00AE4BD0" w:rsidRDefault="00400C25" w:rsidP="00AE4BD0">
      <w:pPr>
        <w:pStyle w:val="Akapitzlist"/>
      </w:pPr>
    </w:p>
    <w:p w14:paraId="242297DD" w14:textId="106B370C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Dobór zabezpieczeń</w:t>
      </w:r>
    </w:p>
    <w:p w14:paraId="7C2B8A6B" w14:textId="0FCED0E0" w:rsidR="0039783D" w:rsidRDefault="0039783D" w:rsidP="0039783D">
      <w:pPr>
        <w:pStyle w:val="Akapitzlist"/>
      </w:pPr>
      <w:r>
        <w:t>Charakterystyka dobranego wyłącznika nie może pokrywać się z charakterystyką urządzenia</w:t>
      </w:r>
    </w:p>
    <w:p w14:paraId="0C2FE590" w14:textId="3BDF6B40" w:rsidR="0039783D" w:rsidRPr="00602C55" w:rsidRDefault="0039783D" w:rsidP="0039783D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1,05÷1,1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52258B6" w14:textId="3D1448A7" w:rsidR="00602C55" w:rsidRPr="00602C55" w:rsidRDefault="00602C55" w:rsidP="0039783D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silnika</m:t>
              </m:r>
            </m:sub>
          </m:sSub>
        </m:oMath>
      </m:oMathPara>
    </w:p>
    <w:p w14:paraId="4E340ECD" w14:textId="33F4577F" w:rsidR="00602C55" w:rsidRPr="009E375D" w:rsidRDefault="00602C55" w:rsidP="0039783D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msilnika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3FCD7748" w14:textId="73938C26" w:rsidR="009E375D" w:rsidRDefault="009E375D" w:rsidP="0039783D">
      <w:pPr>
        <w:pStyle w:val="Akapitzlist"/>
      </w:pPr>
      <w:r>
        <w:t xml:space="preserve">Gdzie: </w:t>
      </w:r>
      <m:oMath>
        <m:r>
          <w:rPr>
            <w:rFonts w:ascii="Cambria Math" w:hAnsi="Cambria Math"/>
          </w:rPr>
          <m:t>kr</m:t>
        </m:r>
      </m:oMath>
      <w:r>
        <w:t xml:space="preserve"> – krotność prądu rozruchowego silnika; </w:t>
      </w:r>
      <m:oMath>
        <m:r>
          <w:rPr>
            <w:rFonts w:ascii="Cambria Math" w:hAnsi="Cambria Math"/>
          </w:rPr>
          <m:t>α</m:t>
        </m:r>
      </m:oMath>
      <w:r>
        <w:t xml:space="preserve"> – współczynnik rozruchu; (3) – uwzględniane gdy stosowany jest rozruch </w:t>
      </w:r>
      <m:oMath>
        <m:r>
          <w:rPr>
            <w:rFonts w:ascii="Cambria Math" w:hAnsi="Cambria Math"/>
          </w:rPr>
          <m:t>Y/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1368EA">
        <w:t>.</w:t>
      </w:r>
    </w:p>
    <w:p w14:paraId="7E748C6E" w14:textId="77777777" w:rsidR="00400C25" w:rsidRPr="009E375D" w:rsidRDefault="00400C25" w:rsidP="0039783D">
      <w:pPr>
        <w:pStyle w:val="Akapitzlist"/>
      </w:pPr>
    </w:p>
    <w:p w14:paraId="7593839D" w14:textId="1A113267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Wytrzymałość przeciążeniowa</w:t>
      </w:r>
    </w:p>
    <w:p w14:paraId="20C751FE" w14:textId="7DCD3F5E" w:rsidR="001368EA" w:rsidRDefault="001368EA" w:rsidP="001368EA">
      <w:pPr>
        <w:pStyle w:val="Akapitzlist"/>
      </w:pPr>
      <w:r>
        <w:t xml:space="preserve">Obciążalność długotrwała przewodu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powinna być większa niż prąd znamionowy lub nastawczy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</m:oMath>
      <w:r>
        <w:t xml:space="preserve"> stanowiący zabezpieczenie przeciążeniowe, który powinien być większy niż prąd obliczeniowy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4604F874" w14:textId="127E6199" w:rsidR="001368EA" w:rsidRPr="00A91EF0" w:rsidRDefault="001368EA" w:rsidP="001368EA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572D418" w14:textId="001EF5D5" w:rsidR="00A91EF0" w:rsidRDefault="00A91EF0" w:rsidP="001368EA">
      <w:pPr>
        <w:pStyle w:val="Akapitzlist"/>
      </w:pPr>
      <w:r>
        <w:lastRenderedPageBreak/>
        <w:t xml:space="preserve">Prąd przeciążeniowy o wartości większej niż </w:t>
      </w:r>
      <m:oMath>
        <m:r>
          <w:rPr>
            <w:rFonts w:ascii="Cambria Math" w:hAnsi="Cambria Math"/>
          </w:rPr>
          <m:t>1,45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powinien wywołać zadziałanie </w:t>
      </w:r>
      <w:r w:rsidR="00834A72">
        <w:t>nadprądowego zabezpieczenia obwodu</w:t>
      </w:r>
    </w:p>
    <w:p w14:paraId="45D7A36B" w14:textId="1F1F43CE" w:rsidR="00834A72" w:rsidRPr="00834A72" w:rsidRDefault="00834A72" w:rsidP="001368EA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≤1,45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0D78ED10" w14:textId="16D2A3D3" w:rsidR="00834A72" w:rsidRPr="001368EA" w:rsidRDefault="00413E1C" w:rsidP="001368EA">
      <w:pPr>
        <w:pStyle w:val="Akapitzlist"/>
      </w:pPr>
      <w:r>
        <w:t xml:space="preserve">Gdzie: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najmniejszy prąd niezawodnie powodujący zadziałanie zabezpieczenia </w:t>
      </w:r>
    </w:p>
    <w:p w14:paraId="4AE8DBBF" w14:textId="3EC9906B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Wytrzymałość zwarciowa</w:t>
      </w:r>
    </w:p>
    <w:p w14:paraId="55B640DF" w14:textId="4F8B08C3" w:rsidR="00DF29F6" w:rsidRDefault="001E0DAA" w:rsidP="00DF29F6">
      <w:pPr>
        <w:pStyle w:val="Akapitzlist"/>
      </w:pPr>
      <w:r>
        <w:t>Urządzenia zabezpieczające przed cieplnymi skutkami zwarcia powinny powodować przerwanie obwodu zwarciowego zanim wystąpi niebezpieczeństwo uszkodzeń cieplnych i mechanicznych</w:t>
      </w:r>
      <w:r w:rsidR="00E34E29">
        <w:t>.</w:t>
      </w:r>
    </w:p>
    <w:p w14:paraId="23DC0D43" w14:textId="56393BAF" w:rsidR="00E34E29" w:rsidRPr="00400C25" w:rsidRDefault="00E34E29" w:rsidP="00DF29F6">
      <w:pPr>
        <w:pStyle w:val="Akapitzlist"/>
      </w:pPr>
      <m:oMathPara>
        <m:oMath>
          <m:r>
            <w:rPr>
              <w:rFonts w:ascii="Cambria Math" w:hAnsi="Cambria Math"/>
            </w:rPr>
            <m:t>t≤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kS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"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B385DC" w14:textId="04EE2873" w:rsidR="00400C25" w:rsidRDefault="00400C25" w:rsidP="00DF29F6">
      <w:pPr>
        <w:pStyle w:val="Akapitzlist"/>
      </w:pPr>
      <w:r>
        <w:t xml:space="preserve">Gdzie: S – przekrój przewodu; k – współczynnik z tablic;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t xml:space="preserve"> - prąd zwarciowy początkowy</w:t>
      </w:r>
    </w:p>
    <w:p w14:paraId="3F9288B6" w14:textId="77777777" w:rsidR="00400C25" w:rsidRPr="00400C25" w:rsidRDefault="00400C25" w:rsidP="00DF29F6">
      <w:pPr>
        <w:pStyle w:val="Akapitzlist"/>
      </w:pPr>
    </w:p>
    <w:p w14:paraId="1414780A" w14:textId="1858B109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Ochrona przeciwporażeniowa</w:t>
      </w:r>
    </w:p>
    <w:p w14:paraId="1D8C6BE1" w14:textId="67793201" w:rsidR="00400C25" w:rsidRDefault="00400C25" w:rsidP="00400C25">
      <w:pPr>
        <w:pStyle w:val="Akapitzlist"/>
      </w:pPr>
      <w:r>
        <w:t>Przekroje przewodów powinny być dobrane tak, aby w warunkach zakłó</w:t>
      </w:r>
      <w:r w:rsidR="005561CE">
        <w:t>ceniowych nastąpiło zadziałanie urządzenia odłączającego zasilanie w czasie nie dłuższym niż podany w normie</w:t>
      </w:r>
    </w:p>
    <w:p w14:paraId="2F802DA6" w14:textId="4B93BEB6" w:rsidR="005561CE" w:rsidRPr="005561CE" w:rsidRDefault="005561CE" w:rsidP="00400C25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E08226E" w14:textId="583FCD95" w:rsidR="005561CE" w:rsidRPr="005561CE" w:rsidRDefault="005561CE" w:rsidP="00400C25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2BEC3D1" w14:textId="7EE9451E" w:rsidR="005561CE" w:rsidRDefault="00D47126" w:rsidP="00400C25">
      <w:pPr>
        <w:pStyle w:val="Akapitzlist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spodziewany prąd zwarciowy;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 prąd zapewniający samoczynne zadziałanie zabezpieczenia. </w:t>
      </w:r>
    </w:p>
    <w:p w14:paraId="560D9F29" w14:textId="2570EC2C" w:rsidR="00D47126" w:rsidRPr="00400C25" w:rsidRDefault="00D47126" w:rsidP="00400C25">
      <w:pPr>
        <w:pStyle w:val="Akapitzlist"/>
      </w:pPr>
      <w:r>
        <w:t xml:space="preserve">Czas zadziałania </w:t>
      </w:r>
      <w:r w:rsidR="00571D00">
        <w:t>jest zależny od napięcia pracy sieci i określany w normie. Na ogół przyjmuje się którąś z wartości: 0,2s</w:t>
      </w:r>
      <w:r w:rsidR="007D0CD7">
        <w:t xml:space="preserve"> / </w:t>
      </w:r>
      <w:r w:rsidR="00571D00">
        <w:t xml:space="preserve">0,4s </w:t>
      </w:r>
      <w:r w:rsidR="007D0CD7">
        <w:t>/ 0,5s</w:t>
      </w:r>
    </w:p>
    <w:p w14:paraId="65D404CB" w14:textId="782122BB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Selektywność działania zabezpieczeń</w:t>
      </w:r>
    </w:p>
    <w:p w14:paraId="2A3E5C77" w14:textId="1B0EE71F" w:rsidR="007D0CD7" w:rsidRDefault="007D0CD7" w:rsidP="007D0CD7">
      <w:pPr>
        <w:pStyle w:val="Akapitzlist"/>
      </w:pPr>
      <w:r>
        <w:t xml:space="preserve">Charakterystyki rozpatrywanych zabezpieczeń nie mogą mieć punktów wspólnych. </w:t>
      </w:r>
    </w:p>
    <w:p w14:paraId="25C55114" w14:textId="77777777" w:rsidR="007D0CD7" w:rsidRPr="007D0CD7" w:rsidRDefault="007D0CD7" w:rsidP="007D0CD7">
      <w:pPr>
        <w:pStyle w:val="Akapitzlist"/>
      </w:pPr>
    </w:p>
    <w:p w14:paraId="51603FF0" w14:textId="1DC42450" w:rsidR="00EC0D82" w:rsidRDefault="00EC0D82" w:rsidP="00EC0D82">
      <w:pPr>
        <w:pStyle w:val="Akapitzlist"/>
        <w:numPr>
          <w:ilvl w:val="0"/>
          <w:numId w:val="16"/>
        </w:numPr>
        <w:rPr>
          <w:b/>
          <w:bCs/>
        </w:rPr>
      </w:pPr>
      <w:r w:rsidRPr="007579D6">
        <w:rPr>
          <w:b/>
          <w:bCs/>
        </w:rPr>
        <w:t>Wyższe harmoniczne</w:t>
      </w:r>
    </w:p>
    <w:p w14:paraId="08B1E5CF" w14:textId="4FD43D24" w:rsidR="007D0CD7" w:rsidRPr="007D0CD7" w:rsidRDefault="007D0CD7" w:rsidP="007D0CD7">
      <w:pPr>
        <w:pStyle w:val="Akapitzlist"/>
      </w:pPr>
      <w:r>
        <w:t>Wyższe harmoniczne (do 40 włącznie) nie powinny przekraczać 8% podstawowej harmonicznej.</w:t>
      </w:r>
    </w:p>
    <w:sectPr w:rsidR="007D0CD7" w:rsidRPr="007D0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488"/>
    <w:multiLevelType w:val="hybridMultilevel"/>
    <w:tmpl w:val="B6A44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3E0116"/>
    <w:multiLevelType w:val="hybridMultilevel"/>
    <w:tmpl w:val="7DD27B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762F"/>
    <w:multiLevelType w:val="hybridMultilevel"/>
    <w:tmpl w:val="5810C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F5343"/>
    <w:multiLevelType w:val="hybridMultilevel"/>
    <w:tmpl w:val="D52C9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82C2D"/>
    <w:multiLevelType w:val="hybridMultilevel"/>
    <w:tmpl w:val="D89C8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7273C"/>
    <w:multiLevelType w:val="hybridMultilevel"/>
    <w:tmpl w:val="B5F63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519B"/>
    <w:multiLevelType w:val="hybridMultilevel"/>
    <w:tmpl w:val="FEFA5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6"/>
    <w:rsid w:val="000224F8"/>
    <w:rsid w:val="000B4382"/>
    <w:rsid w:val="00127590"/>
    <w:rsid w:val="001368EA"/>
    <w:rsid w:val="0017793A"/>
    <w:rsid w:val="00187B3E"/>
    <w:rsid w:val="001A7E05"/>
    <w:rsid w:val="001E0DAA"/>
    <w:rsid w:val="002265C5"/>
    <w:rsid w:val="002A51E9"/>
    <w:rsid w:val="002C3417"/>
    <w:rsid w:val="002C57F2"/>
    <w:rsid w:val="002D3E45"/>
    <w:rsid w:val="00333A97"/>
    <w:rsid w:val="0039783D"/>
    <w:rsid w:val="003C3715"/>
    <w:rsid w:val="003F6578"/>
    <w:rsid w:val="00400C25"/>
    <w:rsid w:val="00406B0E"/>
    <w:rsid w:val="00413E1C"/>
    <w:rsid w:val="0048696F"/>
    <w:rsid w:val="004C3AC7"/>
    <w:rsid w:val="004D227B"/>
    <w:rsid w:val="00507794"/>
    <w:rsid w:val="00514067"/>
    <w:rsid w:val="00555A0B"/>
    <w:rsid w:val="005561CE"/>
    <w:rsid w:val="00571D00"/>
    <w:rsid w:val="00572027"/>
    <w:rsid w:val="00590563"/>
    <w:rsid w:val="005A32DF"/>
    <w:rsid w:val="00602C55"/>
    <w:rsid w:val="0060686D"/>
    <w:rsid w:val="00616586"/>
    <w:rsid w:val="0062642A"/>
    <w:rsid w:val="00654DB9"/>
    <w:rsid w:val="00680562"/>
    <w:rsid w:val="006C4CD0"/>
    <w:rsid w:val="006D21DE"/>
    <w:rsid w:val="006D7DED"/>
    <w:rsid w:val="0072529D"/>
    <w:rsid w:val="007579D6"/>
    <w:rsid w:val="00773BBF"/>
    <w:rsid w:val="00794518"/>
    <w:rsid w:val="007B3E27"/>
    <w:rsid w:val="007D0CD7"/>
    <w:rsid w:val="00806B0B"/>
    <w:rsid w:val="008110EF"/>
    <w:rsid w:val="00834A72"/>
    <w:rsid w:val="00846D9D"/>
    <w:rsid w:val="008C6966"/>
    <w:rsid w:val="008E1D88"/>
    <w:rsid w:val="008F313D"/>
    <w:rsid w:val="00935551"/>
    <w:rsid w:val="00975736"/>
    <w:rsid w:val="009C48A8"/>
    <w:rsid w:val="009D357C"/>
    <w:rsid w:val="009E375D"/>
    <w:rsid w:val="00A06F65"/>
    <w:rsid w:val="00A13AA9"/>
    <w:rsid w:val="00A152D0"/>
    <w:rsid w:val="00A213FC"/>
    <w:rsid w:val="00A54ACD"/>
    <w:rsid w:val="00A618E4"/>
    <w:rsid w:val="00A91EF0"/>
    <w:rsid w:val="00A93999"/>
    <w:rsid w:val="00A951E0"/>
    <w:rsid w:val="00AA489C"/>
    <w:rsid w:val="00AC34F9"/>
    <w:rsid w:val="00AE2DB1"/>
    <w:rsid w:val="00AE4BD0"/>
    <w:rsid w:val="00B66EB9"/>
    <w:rsid w:val="00B94ECA"/>
    <w:rsid w:val="00BB458E"/>
    <w:rsid w:val="00BF757E"/>
    <w:rsid w:val="00C14479"/>
    <w:rsid w:val="00CD407B"/>
    <w:rsid w:val="00CF71E7"/>
    <w:rsid w:val="00D12ACA"/>
    <w:rsid w:val="00D47126"/>
    <w:rsid w:val="00D61FAF"/>
    <w:rsid w:val="00DE2D34"/>
    <w:rsid w:val="00DE4664"/>
    <w:rsid w:val="00DF29F6"/>
    <w:rsid w:val="00E34E29"/>
    <w:rsid w:val="00E8567A"/>
    <w:rsid w:val="00EB09EA"/>
    <w:rsid w:val="00EC0D82"/>
    <w:rsid w:val="00ED0218"/>
    <w:rsid w:val="00EE123F"/>
    <w:rsid w:val="00F02904"/>
    <w:rsid w:val="00F92325"/>
    <w:rsid w:val="00FB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1CA7"/>
  <w15:chartTrackingRefBased/>
  <w15:docId w15:val="{EC2807CE-B188-4953-A49F-BF073F95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966"/>
  </w:style>
  <w:style w:type="paragraph" w:styleId="Nagwek1">
    <w:name w:val="heading 1"/>
    <w:basedOn w:val="Normalny"/>
    <w:next w:val="Normalny"/>
    <w:link w:val="Nagwek1Znak"/>
    <w:uiPriority w:val="9"/>
    <w:qFormat/>
    <w:rsid w:val="008C696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696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696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96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96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96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96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96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96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69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696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696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8C6966"/>
    <w:rPr>
      <w:color w:val="5A5A5A" w:themeColor="text1" w:themeTint="A5"/>
      <w:spacing w:val="10"/>
    </w:rPr>
  </w:style>
  <w:style w:type="paragraph" w:styleId="Akapitzlist">
    <w:name w:val="List Paragraph"/>
    <w:basedOn w:val="Normalny"/>
    <w:uiPriority w:val="34"/>
    <w:qFormat/>
    <w:rsid w:val="008C696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C696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C696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696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96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96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96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C6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8C696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8C6966"/>
    <w:rPr>
      <w:i/>
      <w:iCs/>
      <w:color w:val="auto"/>
    </w:rPr>
  </w:style>
  <w:style w:type="paragraph" w:styleId="Bezodstpw">
    <w:name w:val="No Spacing"/>
    <w:uiPriority w:val="1"/>
    <w:qFormat/>
    <w:rsid w:val="008C696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C696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C696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C696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C6966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8C6966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C696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8C696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C696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C6966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C6966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DE4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1395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 (245365)</dc:creator>
  <cp:keywords/>
  <dc:description/>
  <cp:lastModifiedBy>Kacper Borucki (245365)</cp:lastModifiedBy>
  <cp:revision>84</cp:revision>
  <dcterms:created xsi:type="dcterms:W3CDTF">2020-11-05T07:50:00Z</dcterms:created>
  <dcterms:modified xsi:type="dcterms:W3CDTF">2020-11-05T09:57:00Z</dcterms:modified>
</cp:coreProperties>
</file>