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9D4F3" w14:textId="6F1EE368" w:rsidR="00036B20" w:rsidRDefault="00036B20" w:rsidP="00036B20">
      <w:pPr>
        <w:pStyle w:val="Tytu"/>
      </w:pPr>
      <w:r>
        <w:t>Automatyzacja procesów produkcyjnych – zagadnienia wybrane</w:t>
      </w:r>
    </w:p>
    <w:p w14:paraId="761F824A" w14:textId="23F1731C" w:rsidR="00036B20" w:rsidRDefault="00036B20" w:rsidP="00036B20">
      <w:pPr>
        <w:pStyle w:val="Podtytu"/>
      </w:pPr>
      <w:r>
        <w:t>Kacper Borucki 245365</w:t>
      </w:r>
    </w:p>
    <w:p w14:paraId="6CCB635A" w14:textId="474615B4" w:rsidR="00726C3A" w:rsidRDefault="00726C3A" w:rsidP="008042AB">
      <w:pPr>
        <w:pStyle w:val="Nagwek1"/>
      </w:pPr>
      <w:r>
        <w:t>Omówić budowę sterowników PLC na przykładzie sterownika OMRON CJ1M (10 pkt)</w:t>
      </w:r>
    </w:p>
    <w:p w14:paraId="351C12E6" w14:textId="6D98BB25" w:rsidR="00C7153E" w:rsidRDefault="00C7153E" w:rsidP="00C7153E">
      <w:r>
        <w:t>Elementami konstrukcyjnymi sterowników PLC są: zasilacz, jednostka centralna (CPU), pamięć (OS, programowe i pamięć sygnałów), moduły wejść i wyjść cyfrowych i analogowych, moduły komunikacyjne i moduły specjalne.</w:t>
      </w:r>
    </w:p>
    <w:p w14:paraId="148876AC" w14:textId="77777777" w:rsidR="00C7153E" w:rsidRDefault="00C7153E" w:rsidP="00C7153E">
      <w:r>
        <w:t xml:space="preserve">Sterowniki, ze względu na budowę, dzieli się na: </w:t>
      </w:r>
    </w:p>
    <w:p w14:paraId="17506837" w14:textId="6E18CAC2" w:rsidR="00C7153E" w:rsidRDefault="00C7153E" w:rsidP="00C7153E">
      <w:pPr>
        <w:pStyle w:val="Akapitzlist"/>
        <w:numPr>
          <w:ilvl w:val="0"/>
          <w:numId w:val="12"/>
        </w:numPr>
      </w:pPr>
      <w:r>
        <w:t>małe, średnie i duże (zależnie od liczby wejść/wyjść i pamięci)</w:t>
      </w:r>
    </w:p>
    <w:p w14:paraId="482760E6" w14:textId="7B228721" w:rsidR="00C7153E" w:rsidRDefault="00C7153E" w:rsidP="00C7153E">
      <w:pPr>
        <w:pStyle w:val="Akapitzlist"/>
        <w:numPr>
          <w:ilvl w:val="0"/>
          <w:numId w:val="12"/>
        </w:numPr>
      </w:pPr>
      <w:r>
        <w:t xml:space="preserve">bez obudowy, kompaktowe, kompaktowe rozbudowywalne, modułowe lub zintegrowane z panelem operatorskim (zależnie od możliwości rozbudowy, typu zastosowanej obudowy oraz docelowego umiejscowienia). </w:t>
      </w:r>
    </w:p>
    <w:p w14:paraId="7B3DA9D4" w14:textId="77777777" w:rsidR="00C7153E" w:rsidRDefault="00C7153E" w:rsidP="00C7153E">
      <w:r>
        <w:t xml:space="preserve">Jego możliwości funkcjonalne i zasoby sprzętowe sterowników CJ1M zależą od doboru modułów rozszerzeń, czyli: </w:t>
      </w:r>
    </w:p>
    <w:p w14:paraId="07A9365C" w14:textId="77777777" w:rsidR="00C7153E" w:rsidRDefault="00C7153E" w:rsidP="00C7153E">
      <w:pPr>
        <w:pStyle w:val="Akapitzlist"/>
        <w:numPr>
          <w:ilvl w:val="0"/>
          <w:numId w:val="13"/>
        </w:numPr>
      </w:pPr>
      <w:r>
        <w:t xml:space="preserve">modułu zasilacza </w:t>
      </w:r>
    </w:p>
    <w:p w14:paraId="01972325" w14:textId="77777777" w:rsidR="00C7153E" w:rsidRDefault="00C7153E" w:rsidP="00C7153E">
      <w:pPr>
        <w:pStyle w:val="Akapitzlist"/>
        <w:numPr>
          <w:ilvl w:val="0"/>
          <w:numId w:val="13"/>
        </w:numPr>
      </w:pPr>
      <w:r>
        <w:t>podstawowych modułów wejść/wyjść – stanowiących interfejs cyfrowy sterownika i zawierających moduły wejść i wyjść dyskretnych w różnej liczbie</w:t>
      </w:r>
    </w:p>
    <w:p w14:paraId="1E2BED01" w14:textId="77777777" w:rsidR="00C7153E" w:rsidRDefault="00C7153E" w:rsidP="00C7153E">
      <w:pPr>
        <w:pStyle w:val="Akapitzlist"/>
        <w:numPr>
          <w:ilvl w:val="0"/>
          <w:numId w:val="13"/>
        </w:numPr>
      </w:pPr>
      <w:r>
        <w:t>specjalnych modułów wejść/wyjść – chodzi m.in. o moduły z wejściami/wyjściami analogowymi, regulatory temperatury, moduły z szybkimi licznikami, moduły pozycjonujące</w:t>
      </w:r>
    </w:p>
    <w:p w14:paraId="162FF970" w14:textId="2FFF8588" w:rsidR="00C7153E" w:rsidRDefault="00C7153E" w:rsidP="00C7153E">
      <w:pPr>
        <w:pStyle w:val="Akapitzlist"/>
        <w:numPr>
          <w:ilvl w:val="0"/>
          <w:numId w:val="13"/>
        </w:numPr>
      </w:pPr>
      <w:r>
        <w:t>moduł</w:t>
      </w:r>
      <w:r>
        <w:t>ów</w:t>
      </w:r>
      <w:r>
        <w:t xml:space="preserve"> komunikacyjn</w:t>
      </w:r>
      <w:r>
        <w:t>ych</w:t>
      </w:r>
      <w:r>
        <w:t xml:space="preserve">: np. komunikacji szeregowej, sieci Ethernet, </w:t>
      </w:r>
      <w:proofErr w:type="spellStart"/>
      <w:r>
        <w:t>DeviceNet</w:t>
      </w:r>
      <w:proofErr w:type="spellEnd"/>
      <w:r>
        <w:t>, Profibus itd.</w:t>
      </w:r>
    </w:p>
    <w:p w14:paraId="4980F3E6" w14:textId="78B2863F" w:rsidR="00C7153E" w:rsidRDefault="00C7153E" w:rsidP="00C7153E">
      <w:pPr>
        <w:pStyle w:val="Akapitzlist"/>
        <w:numPr>
          <w:ilvl w:val="0"/>
          <w:numId w:val="13"/>
        </w:numPr>
      </w:pPr>
      <w:r>
        <w:t>moduł</w:t>
      </w:r>
      <w:r>
        <w:t>ów</w:t>
      </w:r>
      <w:r>
        <w:t xml:space="preserve"> sterując</w:t>
      </w:r>
      <w:r>
        <w:t>ych</w:t>
      </w:r>
      <w:r>
        <w:t>, umożliwiając</w:t>
      </w:r>
      <w:r>
        <w:t xml:space="preserve">ych </w:t>
      </w:r>
      <w:r>
        <w:t>dołączenie dodatkowych grup rozszerzeń do sterownika</w:t>
      </w:r>
    </w:p>
    <w:p w14:paraId="35B8C8B9" w14:textId="77777777" w:rsidR="00C7153E" w:rsidRDefault="00C7153E" w:rsidP="00C7153E">
      <w:pPr>
        <w:ind w:left="360"/>
      </w:pPr>
      <w:r>
        <w:t>W sterownikach CJ1M dla każdego modułu jest alokowana część pamięci we/wy. Do sterowników tego typu można stosować moduły wejść i wyjść cyfrowych oraz moduły wejść i wyjść analogowych, przy czym w przypadku jednego sterownika można stosować różne rodzaje tych modułów. Dla każdego modułu I/O alokowane zostaje tyle słów, ile jest wymagane (np. dla modułu z 16 wejściami cyfrowymi przydzielone zostaje jedno słowo pamięci – 16 bitów). Proces ten jest automatyczny i przypisuje każdemu modułowi unikalny adres w obszarze CIO. Dla modułów podstawowych adresy są ustawiane w zakresie CIO 0000-0999 z alokacją 25 słów, dla modułów specjalnych – w zakresie CIO 2000-2959 z alokacją 10 słów.</w:t>
      </w:r>
    </w:p>
    <w:p w14:paraId="3E1B966E" w14:textId="0037E51B" w:rsidR="00726C3A" w:rsidRDefault="00726C3A" w:rsidP="00726C3A">
      <w:pPr>
        <w:pStyle w:val="Akapitzlist"/>
      </w:pPr>
    </w:p>
    <w:p w14:paraId="0361C7FB" w14:textId="77777777" w:rsidR="008042AB" w:rsidRDefault="008042AB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4B7E92E8" w14:textId="59418BD9" w:rsidR="00726C3A" w:rsidRDefault="00726C3A" w:rsidP="00726C3A">
      <w:pPr>
        <w:pStyle w:val="Nagwek1"/>
      </w:pPr>
      <w:r>
        <w:lastRenderedPageBreak/>
        <w:t>Opisać zasadę działania i narysować wykres czasowy czasomierza TOF. Podać przykład realizacji za pomocą sterownika OMRON CJ1M (15pkt)</w:t>
      </w:r>
    </w:p>
    <w:p w14:paraId="6994CB37" w14:textId="77777777" w:rsidR="008042AB" w:rsidRDefault="008042AB" w:rsidP="008042AB">
      <w:r>
        <w:t xml:space="preserve">Czasomierz TOF ma za zadanie opóźnienie wyłączenia danego sygnału wyjściowego. Załączenie wejścia 0.00 powoduje przepływ sygnału przez </w:t>
      </w:r>
      <w:proofErr w:type="spellStart"/>
      <w:r>
        <w:t>timer</w:t>
      </w:r>
      <w:proofErr w:type="spellEnd"/>
      <w:r>
        <w:t xml:space="preserve"> TIM i ustawienie na wyjściu 1.00 stanu wysokiego. W momencie, gdy sygnał wejściowy zostanie wyłączony (stan niski), sygnał wyjścia 1.00 jest podtrzymywany przez okres odliczania czasu w </w:t>
      </w:r>
      <w:proofErr w:type="spellStart"/>
      <w:r>
        <w:t>timerze</w:t>
      </w:r>
      <w:proofErr w:type="spellEnd"/>
      <w:r>
        <w:t xml:space="preserve"> TIM. Ponowne załączenie sygnału wejściowego 0.00 powoduje zresetowanie odliczania. </w:t>
      </w:r>
    </w:p>
    <w:p w14:paraId="429EEF5B" w14:textId="516E3A6E" w:rsidR="008042AB" w:rsidRDefault="008042AB" w:rsidP="008042AB">
      <w:r>
        <w:t xml:space="preserve"> Wykres czasowy czasomierza TOF jest przedstawiony na rysunku poniżej. Literą T jest oznaczony czas podtrzymania załączenia sygnału wyjściowego przez </w:t>
      </w:r>
      <w:proofErr w:type="spellStart"/>
      <w:r>
        <w:t>timer</w:t>
      </w:r>
      <w:proofErr w:type="spellEnd"/>
      <w:r>
        <w:t xml:space="preserve"> TOF:</w:t>
      </w:r>
    </w:p>
    <w:p w14:paraId="0CC45CF0" w14:textId="078B7596" w:rsidR="008042AB" w:rsidRDefault="008042AB" w:rsidP="008042AB">
      <w:r w:rsidRPr="008042AB">
        <w:drawing>
          <wp:inline distT="0" distB="0" distL="0" distR="0" wp14:anchorId="49CBDBAA" wp14:editId="71ACA6E4">
            <wp:extent cx="5760720" cy="23260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BF9B" w14:textId="4FE2944B" w:rsidR="008042AB" w:rsidRDefault="008042AB" w:rsidP="008042AB">
      <w:r>
        <w:t xml:space="preserve">Realizację </w:t>
      </w:r>
      <w:proofErr w:type="spellStart"/>
      <w:r>
        <w:t>timera</w:t>
      </w:r>
      <w:proofErr w:type="spellEnd"/>
      <w:r>
        <w:t xml:space="preserve"> TOF w programie CX-Programmer przedstawiono na rysunku poniżej:</w:t>
      </w:r>
    </w:p>
    <w:p w14:paraId="425FD8EA" w14:textId="1F4E2396" w:rsidR="008042AB" w:rsidRPr="008042AB" w:rsidRDefault="008042AB" w:rsidP="008042AB">
      <w:r w:rsidRPr="008042AB">
        <w:drawing>
          <wp:inline distT="0" distB="0" distL="0" distR="0" wp14:anchorId="13B7FBC0" wp14:editId="7095C557">
            <wp:extent cx="5760720" cy="139890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90A6" w14:textId="77777777" w:rsidR="00726C3A" w:rsidRPr="00726C3A" w:rsidRDefault="00726C3A" w:rsidP="00726C3A"/>
    <w:p w14:paraId="404E1392" w14:textId="77777777" w:rsidR="008042AB" w:rsidRDefault="008042AB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7A706EF6" w14:textId="3CC08228" w:rsidR="00726C3A" w:rsidRDefault="00726C3A" w:rsidP="00726C3A">
      <w:pPr>
        <w:pStyle w:val="Nagwek1"/>
      </w:pPr>
      <w:r>
        <w:lastRenderedPageBreak/>
        <w:t>Omówić następujące instrukcje sterownika CJ1M: MOV, CNTR, ANDW, FIX, *F (10 pkt)</w:t>
      </w:r>
    </w:p>
    <w:p w14:paraId="6805A1B4" w14:textId="0FFF6084" w:rsidR="00726C3A" w:rsidRPr="008042AB" w:rsidRDefault="008042AB" w:rsidP="00726C3A">
      <w:r w:rsidRPr="00BB6184">
        <w:rPr>
          <w:b/>
          <w:bCs/>
        </w:rPr>
        <w:t>MOV</w:t>
      </w:r>
      <w:r w:rsidRPr="008042AB">
        <w:t xml:space="preserve"> – instrukcja MOV służy d</w:t>
      </w:r>
      <w:r>
        <w:t xml:space="preserve">o przenoszenia (kopiowania) danych z jednej komórki do drugiej. </w:t>
      </w:r>
      <w:r w:rsidR="00BB6184">
        <w:t xml:space="preserve">Instrukcja ta ma wejście zezwolenia oraz operandy, którymi są </w:t>
      </w:r>
      <w:r>
        <w:t>adresy komórki wejściowej i wyjściowej</w:t>
      </w:r>
      <w:r w:rsidR="00BB6184">
        <w:t>.</w:t>
      </w:r>
    </w:p>
    <w:p w14:paraId="2879D6F0" w14:textId="16279467" w:rsidR="008042AB" w:rsidRPr="008042AB" w:rsidRDefault="008042AB" w:rsidP="00726C3A">
      <w:r w:rsidRPr="00BB6184">
        <w:rPr>
          <w:b/>
          <w:bCs/>
        </w:rPr>
        <w:t>CNTR</w:t>
      </w:r>
      <w:r w:rsidRPr="008042AB">
        <w:t xml:space="preserve"> – </w:t>
      </w:r>
      <w:r w:rsidR="00BB6184">
        <w:t>instrukcja CNTR jest instrukcją licznika rewersyjnego (dwukierunkowego), służącego do zliczania impulsów w górę lub w dół. Blok CNTR ma trzy wejścia: liczące w górę, liczące w dół oraz kasujące. Po osiągnięciu maksymalnej wartości, licznik CNTR przyjmuje wartość 0.</w:t>
      </w:r>
    </w:p>
    <w:p w14:paraId="68D6F239" w14:textId="620E0CC5" w:rsidR="008042AB" w:rsidRPr="00BB6184" w:rsidRDefault="008042AB" w:rsidP="00726C3A">
      <w:r w:rsidRPr="00BB6184">
        <w:rPr>
          <w:b/>
          <w:bCs/>
        </w:rPr>
        <w:t>ANDW</w:t>
      </w:r>
      <w:r w:rsidRPr="00BB6184">
        <w:t xml:space="preserve"> – </w:t>
      </w:r>
      <w:r w:rsidR="00BB6184" w:rsidRPr="00BB6184">
        <w:t>instrukcja ANDW realizuje f</w:t>
      </w:r>
      <w:r w:rsidR="00BB6184">
        <w:t xml:space="preserve">unkcję iloczynu logicznego AND na poszczególnych bitach dwóch argumentów wejściowych. Instrukcja ANDW ma wejście zezwolenia (aktywujące ją) oraz operandy dwóch adresów komórek. </w:t>
      </w:r>
    </w:p>
    <w:p w14:paraId="162CB765" w14:textId="1B4D7633" w:rsidR="008042AB" w:rsidRPr="00BB6184" w:rsidRDefault="008042AB" w:rsidP="00726C3A">
      <w:r w:rsidRPr="00BB6184">
        <w:rPr>
          <w:b/>
          <w:bCs/>
        </w:rPr>
        <w:t>FIX</w:t>
      </w:r>
      <w:r w:rsidRPr="00BB6184">
        <w:t xml:space="preserve"> – </w:t>
      </w:r>
      <w:r w:rsidR="00BB6184">
        <w:t>FIX to instrukcja konwersji typu danych i służy do przekształcania 32-bitową liczbę typu rzeczywistego na 16-bitową liczbę całkowitą ze znakiem</w:t>
      </w:r>
    </w:p>
    <w:p w14:paraId="7697E418" w14:textId="0DC13979" w:rsidR="008042AB" w:rsidRPr="00BB6184" w:rsidRDefault="008042AB" w:rsidP="00726C3A">
      <w:r w:rsidRPr="00BB6184">
        <w:rPr>
          <w:b/>
          <w:bCs/>
        </w:rPr>
        <w:t>*F</w:t>
      </w:r>
      <w:r w:rsidRPr="00BB6184">
        <w:t xml:space="preserve"> - </w:t>
      </w:r>
      <w:r w:rsidR="00BB6184" w:rsidRPr="00BB6184">
        <w:t>*F to dod</w:t>
      </w:r>
      <w:r w:rsidR="00BB6184">
        <w:t xml:space="preserve">atkowe oznaczenie dla funkcji arytmetycznych, oznaczające operację mnożenia liczby zmiennoprzecinkowej (typu float) </w:t>
      </w:r>
    </w:p>
    <w:p w14:paraId="55EC8733" w14:textId="77777777" w:rsidR="00796ECE" w:rsidRDefault="00796ECE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598E8669" w14:textId="28300996" w:rsidR="00726C3A" w:rsidRPr="00726C3A" w:rsidRDefault="00726C3A" w:rsidP="00726C3A">
      <w:pPr>
        <w:pStyle w:val="Nagwek1"/>
      </w:pPr>
      <w:r>
        <w:lastRenderedPageBreak/>
        <w:t>Przemysłowe sieci komunikacyjne – klasyfikacja, podział, struktury, wymagania. Przedstawić budowę oraz mechanizm transmisji w sieci AS-i (20pkt)</w:t>
      </w:r>
    </w:p>
    <w:p w14:paraId="6886F952" w14:textId="014F8F96" w:rsidR="00344D50" w:rsidRDefault="00344D50" w:rsidP="00344D50">
      <w:r>
        <w:t>Podstawowym kryterium klasyfikacji sieci jest jej rozmiar, czyli odległość między najdalej położonymi w niej węzłami, umownie wyróżniamy trzy grupy:</w:t>
      </w:r>
    </w:p>
    <w:p w14:paraId="1D17B46E" w14:textId="77777777" w:rsidR="00344D50" w:rsidRDefault="00344D50" w:rsidP="00344D50">
      <w:pPr>
        <w:pStyle w:val="Akapitzlist"/>
        <w:numPr>
          <w:ilvl w:val="0"/>
          <w:numId w:val="14"/>
        </w:numPr>
      </w:pPr>
      <w:r>
        <w:t>sieci lokalne (LAN) – o zasięgu kilku kilometrów</w:t>
      </w:r>
    </w:p>
    <w:p w14:paraId="31719A2E" w14:textId="77777777" w:rsidR="00344D50" w:rsidRDefault="00344D50" w:rsidP="00344D50">
      <w:pPr>
        <w:pStyle w:val="Akapitzlist"/>
        <w:numPr>
          <w:ilvl w:val="0"/>
          <w:numId w:val="14"/>
        </w:numPr>
      </w:pPr>
      <w:r>
        <w:t>sieci metropolitalne (MAN) – o zasięgu od kilkunastu do kilkudziesięciu kilometrów, obejmują zespół miejski</w:t>
      </w:r>
    </w:p>
    <w:p w14:paraId="6E34B5B8" w14:textId="77777777" w:rsidR="00344D50" w:rsidRDefault="00344D50" w:rsidP="00344D50">
      <w:pPr>
        <w:pStyle w:val="Akapitzlist"/>
        <w:numPr>
          <w:ilvl w:val="0"/>
          <w:numId w:val="14"/>
        </w:numPr>
      </w:pPr>
      <w:r>
        <w:t>sieci rozległe (WAN) – obejmują zasięgiem region, kraj, cały świat.</w:t>
      </w:r>
    </w:p>
    <w:p w14:paraId="35DACF8F" w14:textId="77777777" w:rsidR="00344D50" w:rsidRDefault="00344D50" w:rsidP="00344D50">
      <w:r>
        <w:t>Sieci przemysłowe nazywa się często sieciami miejscowymi lub polowymi (</w:t>
      </w:r>
      <w:proofErr w:type="spellStart"/>
      <w:r>
        <w:t>fieldbus</w:t>
      </w:r>
      <w:proofErr w:type="spellEnd"/>
      <w:r>
        <w:t xml:space="preserve">) i zaliczają się do grupy sieci lokalnych, ponieważ ich rozmiar jest ograniczony do rozmiarów sterowanej instalacji lub hali produkcyjnej. Sieci miejscowe mogą łączyć się z innymi segmentami sieci ogólnozakładowych, przez co staja się elementami niejednorodnych sieci o rozległym obszarze działania. </w:t>
      </w:r>
    </w:p>
    <w:p w14:paraId="772C39F8" w14:textId="1C4F6FD5" w:rsidR="00344D50" w:rsidRDefault="00344D50" w:rsidP="00344D50">
      <w:r>
        <w:t xml:space="preserve">Wymagania stawiane sieciom przemysłowym to między innymi: </w:t>
      </w:r>
    </w:p>
    <w:p w14:paraId="76B8CF1C" w14:textId="77777777" w:rsidR="00344D50" w:rsidRDefault="00344D50" w:rsidP="00344D50">
      <w:pPr>
        <w:pStyle w:val="Akapitzlist"/>
        <w:numPr>
          <w:ilvl w:val="0"/>
          <w:numId w:val="15"/>
        </w:numPr>
      </w:pPr>
      <w:r>
        <w:t>wysoka niezawodność i odporność na zakłócenia przemysłowe</w:t>
      </w:r>
    </w:p>
    <w:p w14:paraId="2AEE544B" w14:textId="77777777" w:rsidR="00344D50" w:rsidRDefault="00344D50" w:rsidP="00344D50">
      <w:pPr>
        <w:pStyle w:val="Akapitzlist"/>
        <w:numPr>
          <w:ilvl w:val="0"/>
          <w:numId w:val="15"/>
        </w:numPr>
      </w:pPr>
      <w:r>
        <w:t>deterministyczny czas przekazywania wiadomości i efektywne przenoszenie ich dużej liczby</w:t>
      </w:r>
    </w:p>
    <w:p w14:paraId="1424831C" w14:textId="77777777" w:rsidR="00344D50" w:rsidRPr="00285AA1" w:rsidRDefault="00344D50" w:rsidP="00344D50">
      <w:pPr>
        <w:pStyle w:val="Akapitzlist"/>
        <w:numPr>
          <w:ilvl w:val="0"/>
          <w:numId w:val="15"/>
        </w:numPr>
      </w:pPr>
      <w:r>
        <w:t>łatwość rozbudowy o dodatkowe czujniki pomiarowe, podporządkowane głównemu sterownikowi</w:t>
      </w:r>
    </w:p>
    <w:p w14:paraId="346AE38F" w14:textId="77777777" w:rsidR="00344D50" w:rsidRDefault="00344D50">
      <w:r w:rsidRPr="00344D50">
        <w:t xml:space="preserve">Sieć </w:t>
      </w:r>
      <w:proofErr w:type="spellStart"/>
      <w:r w:rsidRPr="00344D50">
        <w:t>AS</w:t>
      </w:r>
      <w:r>
        <w:t>i</w:t>
      </w:r>
      <w:proofErr w:type="spellEnd"/>
      <w:r w:rsidRPr="00344D50">
        <w:t xml:space="preserve"> (</w:t>
      </w:r>
      <w:proofErr w:type="spellStart"/>
      <w:r w:rsidRPr="00344D50">
        <w:t>Actuator</w:t>
      </w:r>
      <w:proofErr w:type="spellEnd"/>
      <w:r w:rsidRPr="00344D50">
        <w:t>-Sensor Interface) należy do</w:t>
      </w:r>
      <w:r>
        <w:t xml:space="preserve"> najprostszych sieci miejscowych. Przez sieć </w:t>
      </w:r>
      <w:proofErr w:type="spellStart"/>
      <w:r>
        <w:t>ASi</w:t>
      </w:r>
      <w:proofErr w:type="spellEnd"/>
      <w:r>
        <w:t xml:space="preserve"> kontrolowane są czujniki, elementy wykonawcze oraz urządzenia wejściowo-wyjściowe. Sieć tego typu może zostać skonfigurowana w dowolną strukturę rozgałęzioną. </w:t>
      </w:r>
    </w:p>
    <w:p w14:paraId="4AA79812" w14:textId="6A59457A" w:rsidR="00796ECE" w:rsidRPr="00344D50" w:rsidRDefault="00344D50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t>Komponenty sieci AS-I łączy się za pomocą płaskich kabli dwużyłowych, służących do transmisji danych i zasilania jednocześnie. Jest to sieć typu Master-</w:t>
      </w:r>
      <w:proofErr w:type="spellStart"/>
      <w:r>
        <w:t>Slave</w:t>
      </w:r>
      <w:proofErr w:type="spellEnd"/>
      <w:r>
        <w:t>. Komunikacja w niej odbywa się za pomocą kodu Manchester, poprzez zakodowany sygnał prądowy przy napięciu DC 30 V. W najprostszym rozrachunku, komunikacja ta odbywa się poprzez nałożenie na sygnał zasilający odpowiednio przetworzonego na sygnał prądowy kodu binarnego (wspomnianego kodu Manchester) i forsowanie tego prądu na magistrali. W ten sposób wyjście nadajnika oddziałuje ze specjalnym zasilaczem o odpowiednio dobranej indukcyjności.</w:t>
      </w:r>
      <w:r w:rsidR="00796ECE" w:rsidRPr="00344D50">
        <w:br w:type="page"/>
      </w:r>
    </w:p>
    <w:p w14:paraId="0597E7A7" w14:textId="6E0B82D8" w:rsidR="00726C3A" w:rsidRDefault="00726C3A" w:rsidP="00726C3A">
      <w:pPr>
        <w:pStyle w:val="Nagwek1"/>
      </w:pPr>
      <w:r>
        <w:lastRenderedPageBreak/>
        <w:t>Wymiana danych w systemach rozproszonych na przykładzie sterowników firmy OMRON (20pkt)</w:t>
      </w:r>
    </w:p>
    <w:p w14:paraId="597CD7F6" w14:textId="77777777" w:rsidR="00CA095A" w:rsidRDefault="00CA095A">
      <w:r>
        <w:t xml:space="preserve">Rozproszone systemy sterowania (DCS) są systemami posiadającymi wspólną bazę danych dla sterowania i wizualizacji, w przeciwieństwie do np. systemu opartego na sterownikach PLC i systemie SCADA. Systemy DCS działają w systemach operacyjnych czasu rzeczywistego i są przeznaczone głównie do konkretnych obiektów sterowania, np. elektrowni czy w przemyśle petrochemicznym. </w:t>
      </w:r>
    </w:p>
    <w:p w14:paraId="6C3B4AC8" w14:textId="77777777" w:rsidR="00CA095A" w:rsidRDefault="00CA095A">
      <w:r>
        <w:t xml:space="preserve">W przypadku sterowników OMRON CJ1M, do komunikacji w systemie rozproszonym można wykorzystać sieć PC-Link. W komunikacji wykorzystywany jest protokół NT Link, a połączenia wykonuje się przy wykorzystaniu portu RS-232. W sieci PC-Link wyróżnia się urządzenia typu Master oraz </w:t>
      </w:r>
      <w:proofErr w:type="spellStart"/>
      <w:r>
        <w:t>Slave</w:t>
      </w:r>
      <w:proofErr w:type="spellEnd"/>
      <w:r>
        <w:t>, a komunikację między nimi można zapewnić w dwóch trybach – ALL (komunikacja na linii Master-</w:t>
      </w:r>
      <w:proofErr w:type="spellStart"/>
      <w:r>
        <w:t>Slave</w:t>
      </w:r>
      <w:proofErr w:type="spellEnd"/>
      <w:r>
        <w:t xml:space="preserve"> oraz </w:t>
      </w:r>
      <w:proofErr w:type="spellStart"/>
      <w:r>
        <w:t>Slave-Slave</w:t>
      </w:r>
      <w:proofErr w:type="spellEnd"/>
      <w:r>
        <w:t>) oraz MASTER (komunikacja tylko na linii Master-</w:t>
      </w:r>
      <w:proofErr w:type="spellStart"/>
      <w:r>
        <w:t>Slave</w:t>
      </w:r>
      <w:proofErr w:type="spellEnd"/>
      <w:r>
        <w:t>). Na potrzeby komunikacji w sieci PC-LINK, każdy sterownik ma przydzielony pewien obszar pamięci w przestrzeni adresowej.</w:t>
      </w:r>
    </w:p>
    <w:p w14:paraId="4F1F1C01" w14:textId="39B0CFB2" w:rsidR="00CA095A" w:rsidRDefault="00CA095A">
      <w:r>
        <w:t xml:space="preserve"> </w:t>
      </w:r>
    </w:p>
    <w:p w14:paraId="0145F8AC" w14:textId="645FED4A" w:rsidR="00796ECE" w:rsidRDefault="00796ECE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49AC07D7" w14:textId="1A81D145" w:rsidR="00726C3A" w:rsidRDefault="00726C3A" w:rsidP="00726C3A">
      <w:pPr>
        <w:pStyle w:val="Nagwek1"/>
      </w:pPr>
      <w:r>
        <w:lastRenderedPageBreak/>
        <w:t>Program</w:t>
      </w:r>
    </w:p>
    <w:p w14:paraId="3961A92F" w14:textId="41532ABA" w:rsidR="00726C3A" w:rsidRDefault="00726C3A" w:rsidP="00726C3A">
      <w:r w:rsidRPr="00726C3A">
        <w:drawing>
          <wp:inline distT="0" distB="0" distL="0" distR="0" wp14:anchorId="7FDBAC58" wp14:editId="5130A623">
            <wp:extent cx="5760720" cy="1553845"/>
            <wp:effectExtent l="0" t="0" r="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F5DE" w14:textId="248E4524" w:rsidR="00F87512" w:rsidRPr="00726C3A" w:rsidRDefault="00F87512" w:rsidP="00726C3A">
      <w:r>
        <w:t xml:space="preserve">Realizacja programu w języku drabinkowym: </w:t>
      </w:r>
    </w:p>
    <w:p w14:paraId="16453366" w14:textId="27EE36D4" w:rsidR="00726C3A" w:rsidRDefault="00F87512" w:rsidP="00F87512">
      <w:r w:rsidRPr="00F87512">
        <w:drawing>
          <wp:inline distT="0" distB="0" distL="0" distR="0" wp14:anchorId="78BA3942" wp14:editId="545E50EB">
            <wp:extent cx="5760720" cy="469074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C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2260D" w14:textId="77777777" w:rsidR="00567FA5" w:rsidRDefault="00567FA5" w:rsidP="00CA095A">
      <w:pPr>
        <w:spacing w:after="0" w:line="240" w:lineRule="auto"/>
      </w:pPr>
      <w:r>
        <w:separator/>
      </w:r>
    </w:p>
  </w:endnote>
  <w:endnote w:type="continuationSeparator" w:id="0">
    <w:p w14:paraId="2355A7F4" w14:textId="77777777" w:rsidR="00567FA5" w:rsidRDefault="00567FA5" w:rsidP="00CA0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1CE0E" w14:textId="77777777" w:rsidR="00567FA5" w:rsidRDefault="00567FA5" w:rsidP="00CA095A">
      <w:pPr>
        <w:spacing w:after="0" w:line="240" w:lineRule="auto"/>
      </w:pPr>
      <w:r>
        <w:separator/>
      </w:r>
    </w:p>
  </w:footnote>
  <w:footnote w:type="continuationSeparator" w:id="0">
    <w:p w14:paraId="10E518AC" w14:textId="77777777" w:rsidR="00567FA5" w:rsidRDefault="00567FA5" w:rsidP="00CA09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0F018A"/>
    <w:multiLevelType w:val="hybridMultilevel"/>
    <w:tmpl w:val="6E760D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27734"/>
    <w:multiLevelType w:val="hybridMultilevel"/>
    <w:tmpl w:val="B810BC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85CD9"/>
    <w:multiLevelType w:val="hybridMultilevel"/>
    <w:tmpl w:val="0E4A97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3C1A80"/>
    <w:multiLevelType w:val="hybridMultilevel"/>
    <w:tmpl w:val="924839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D05C08"/>
    <w:multiLevelType w:val="hybridMultilevel"/>
    <w:tmpl w:val="F37A28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4"/>
  </w:num>
  <w:num w:numId="13">
    <w:abstractNumId w:val="1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3A"/>
    <w:rsid w:val="00036B20"/>
    <w:rsid w:val="00172951"/>
    <w:rsid w:val="002D3091"/>
    <w:rsid w:val="00344D50"/>
    <w:rsid w:val="00567FA5"/>
    <w:rsid w:val="00726C3A"/>
    <w:rsid w:val="00796ECE"/>
    <w:rsid w:val="008042AB"/>
    <w:rsid w:val="00A65E39"/>
    <w:rsid w:val="00BB6184"/>
    <w:rsid w:val="00BE319F"/>
    <w:rsid w:val="00BE3CAB"/>
    <w:rsid w:val="00C7153E"/>
    <w:rsid w:val="00CA095A"/>
    <w:rsid w:val="00D93AEE"/>
    <w:rsid w:val="00F050E1"/>
    <w:rsid w:val="00F87512"/>
    <w:rsid w:val="00FB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93CC3"/>
  <w15:chartTrackingRefBased/>
  <w15:docId w15:val="{64799A6F-B29A-4326-9544-81811D3C8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26C3A"/>
  </w:style>
  <w:style w:type="paragraph" w:styleId="Nagwek1">
    <w:name w:val="heading 1"/>
    <w:basedOn w:val="Normalny"/>
    <w:next w:val="Normalny"/>
    <w:link w:val="Nagwek1Znak"/>
    <w:uiPriority w:val="9"/>
    <w:qFormat/>
    <w:rsid w:val="00726C3A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26C3A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26C3A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26C3A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26C3A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26C3A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26C3A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26C3A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26C3A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26C3A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26C3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26C3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26C3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26C3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26C3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26C3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26C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26C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26C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726C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726C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26C3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26C3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726C3A"/>
    <w:rPr>
      <w:color w:val="5A5A5A" w:themeColor="text1" w:themeTint="A5"/>
      <w:spacing w:val="10"/>
    </w:rPr>
  </w:style>
  <w:style w:type="character" w:styleId="Pogrubienie">
    <w:name w:val="Strong"/>
    <w:basedOn w:val="Domylnaczcionkaakapitu"/>
    <w:uiPriority w:val="22"/>
    <w:qFormat/>
    <w:rsid w:val="00726C3A"/>
    <w:rPr>
      <w:b/>
      <w:bCs/>
      <w:color w:val="000000" w:themeColor="text1"/>
    </w:rPr>
  </w:style>
  <w:style w:type="character" w:styleId="Uwydatnienie">
    <w:name w:val="Emphasis"/>
    <w:basedOn w:val="Domylnaczcionkaakapitu"/>
    <w:uiPriority w:val="20"/>
    <w:qFormat/>
    <w:rsid w:val="00726C3A"/>
    <w:rPr>
      <w:i/>
      <w:iCs/>
      <w:color w:val="auto"/>
    </w:rPr>
  </w:style>
  <w:style w:type="paragraph" w:styleId="Bezodstpw">
    <w:name w:val="No Spacing"/>
    <w:uiPriority w:val="1"/>
    <w:qFormat/>
    <w:rsid w:val="00726C3A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726C3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726C3A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26C3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26C3A"/>
    <w:rPr>
      <w:color w:val="000000" w:themeColor="text1"/>
      <w:shd w:val="clear" w:color="auto" w:fill="F2F2F2" w:themeFill="background1" w:themeFillShade="F2"/>
    </w:rPr>
  </w:style>
  <w:style w:type="character" w:styleId="Wyrnieniedelikatne">
    <w:name w:val="Subtle Emphasis"/>
    <w:basedOn w:val="Domylnaczcionkaakapitu"/>
    <w:uiPriority w:val="19"/>
    <w:qFormat/>
    <w:rsid w:val="00726C3A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726C3A"/>
    <w:rPr>
      <w:b/>
      <w:bCs/>
      <w:i/>
      <w:iCs/>
      <w:caps/>
    </w:rPr>
  </w:style>
  <w:style w:type="character" w:styleId="Odwoaniedelikatne">
    <w:name w:val="Subtle Reference"/>
    <w:basedOn w:val="Domylnaczcionkaakapitu"/>
    <w:uiPriority w:val="31"/>
    <w:qFormat/>
    <w:rsid w:val="00726C3A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726C3A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726C3A"/>
    <w:rPr>
      <w:b w:val="0"/>
      <w:bCs w:val="0"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26C3A"/>
    <w:pPr>
      <w:outlineLvl w:val="9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A095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A095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A09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997</Words>
  <Characters>5982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Borucki</dc:creator>
  <cp:keywords/>
  <dc:description/>
  <cp:lastModifiedBy>Kacper Borucki</cp:lastModifiedBy>
  <cp:revision>10</cp:revision>
  <cp:lastPrinted>2021-04-22T10:39:00Z</cp:lastPrinted>
  <dcterms:created xsi:type="dcterms:W3CDTF">2021-04-22T09:17:00Z</dcterms:created>
  <dcterms:modified xsi:type="dcterms:W3CDTF">2021-04-22T10:41:00Z</dcterms:modified>
</cp:coreProperties>
</file>