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21E5" w14:textId="77777777" w:rsidR="00B402AB" w:rsidRPr="001A76B9" w:rsidRDefault="00B402AB" w:rsidP="001E2296">
      <w:pPr>
        <w:pStyle w:val="MDPI19line"/>
        <w:pBdr>
          <w:bottom w:val="single" w:sz="6" w:space="0" w:color="auto"/>
        </w:pBdr>
        <w:rPr>
          <w:lang w:val="pl-PL"/>
        </w:rPr>
      </w:pPr>
      <w:bookmarkStart w:id="0" w:name="_Hlk41927947"/>
    </w:p>
    <w:p w14:paraId="62E420E9" w14:textId="77777777" w:rsidR="00B402AB" w:rsidRPr="001A76B9" w:rsidRDefault="009A7B9F" w:rsidP="00B402AB">
      <w:pPr>
        <w:pStyle w:val="MDPI21heading1"/>
        <w:spacing w:before="480"/>
        <w:rPr>
          <w:sz w:val="22"/>
          <w:szCs w:val="24"/>
          <w:lang w:val="pl-PL" w:eastAsia="zh-CN"/>
        </w:rPr>
      </w:pPr>
      <w:r w:rsidRPr="001A76B9">
        <w:rPr>
          <w:sz w:val="22"/>
          <w:szCs w:val="24"/>
          <w:lang w:val="pl-PL" w:eastAsia="zh-CN"/>
        </w:rPr>
        <w:t>1</w:t>
      </w:r>
      <w:r w:rsidR="00B402AB" w:rsidRPr="001A76B9">
        <w:rPr>
          <w:sz w:val="22"/>
          <w:szCs w:val="24"/>
          <w:lang w:val="pl-PL" w:eastAsia="zh-CN"/>
        </w:rPr>
        <w:t xml:space="preserve">. </w:t>
      </w:r>
      <w:r w:rsidRPr="001A76B9">
        <w:rPr>
          <w:sz w:val="22"/>
          <w:szCs w:val="24"/>
          <w:lang w:val="pl-PL" w:eastAsia="zh-CN"/>
        </w:rPr>
        <w:t>Cel i zakres</w:t>
      </w:r>
      <w:r w:rsidR="001E2296" w:rsidRPr="001A76B9">
        <w:rPr>
          <w:sz w:val="22"/>
          <w:szCs w:val="24"/>
          <w:lang w:val="pl-PL" w:eastAsia="zh-CN"/>
        </w:rPr>
        <w:t xml:space="preserve"> ćwiczenia</w:t>
      </w:r>
    </w:p>
    <w:p w14:paraId="79C4E3FC" w14:textId="20560E33" w:rsidR="00B27D9E" w:rsidRDefault="00CD6BFE" w:rsidP="006D5C91">
      <w:pPr>
        <w:pStyle w:val="MDPI31text"/>
        <w:ind w:firstLine="420"/>
        <w:rPr>
          <w:lang w:val="pl-PL" w:eastAsia="zh-CN"/>
        </w:rPr>
      </w:pPr>
      <w:r>
        <w:rPr>
          <w:lang w:val="pl-PL" w:eastAsia="zh-CN"/>
        </w:rPr>
        <w:t xml:space="preserve">Celem wykonywanego ćwiczenia było zapoznanie się z metodami wyznaczania współczynnika skali układów pomiarowych wysokiego napięcia przemiennego, zgodnie z normą </w:t>
      </w:r>
      <w:r w:rsidRPr="00CD6BFE">
        <w:rPr>
          <w:lang w:val="pl-PL" w:eastAsia="zh-CN"/>
        </w:rPr>
        <w:t>PN-EN 60060-2</w:t>
      </w:r>
      <w:r>
        <w:rPr>
          <w:lang w:val="pl-PL" w:eastAsia="zh-CN"/>
        </w:rPr>
        <w:t>.</w:t>
      </w:r>
    </w:p>
    <w:p w14:paraId="206B7BDE" w14:textId="2D7A213C" w:rsidR="00CD6BFE" w:rsidRPr="001A76B9" w:rsidRDefault="00CD6BFE" w:rsidP="006D5C91">
      <w:pPr>
        <w:pStyle w:val="MDPI31text"/>
        <w:ind w:firstLine="420"/>
        <w:rPr>
          <w:lang w:val="pl-PL" w:eastAsia="zh-CN"/>
        </w:rPr>
      </w:pPr>
      <w:r>
        <w:rPr>
          <w:lang w:val="pl-PL" w:eastAsia="zh-CN"/>
        </w:rPr>
        <w:t xml:space="preserve">W ramach ćwiczenia, wykonano pomiary współczynnika skali układu odniesienia oraz układu badanego przy </w:t>
      </w:r>
      <w:r w:rsidR="007F7155">
        <w:rPr>
          <w:lang w:val="pl-PL" w:eastAsia="zh-CN"/>
        </w:rPr>
        <w:t xml:space="preserve">ustawionym </w:t>
      </w:r>
      <w:r>
        <w:rPr>
          <w:lang w:val="pl-PL" w:eastAsia="zh-CN"/>
        </w:rPr>
        <w:t>napięciu na transformatorze zbliżonym do napięcia znamionowego. Następnie wykonano pomiar mający na celu zbadanie liniowości współczynnika skali badanego układu.</w:t>
      </w:r>
    </w:p>
    <w:p w14:paraId="67E3D48D" w14:textId="0F3CC1CE" w:rsidR="00B402AB" w:rsidRDefault="00813558" w:rsidP="00B402AB">
      <w:pPr>
        <w:pStyle w:val="MDPI21heading1"/>
        <w:rPr>
          <w:sz w:val="22"/>
          <w:szCs w:val="24"/>
          <w:lang w:val="pl-PL" w:eastAsia="zh-CN"/>
        </w:rPr>
      </w:pPr>
      <w:r>
        <w:rPr>
          <w:sz w:val="22"/>
          <w:szCs w:val="24"/>
          <w:lang w:val="pl-PL" w:eastAsia="zh-CN"/>
        </w:rPr>
        <w:t>2</w:t>
      </w:r>
      <w:r w:rsidR="00B402AB" w:rsidRPr="001A76B9">
        <w:rPr>
          <w:sz w:val="22"/>
          <w:szCs w:val="24"/>
          <w:lang w:val="pl-PL" w:eastAsia="zh-CN"/>
        </w:rPr>
        <w:t>.</w:t>
      </w:r>
      <w:r w:rsidR="00320BAD" w:rsidRPr="001A76B9">
        <w:rPr>
          <w:sz w:val="22"/>
          <w:szCs w:val="24"/>
          <w:lang w:val="pl-PL" w:eastAsia="zh-CN"/>
        </w:rPr>
        <w:t xml:space="preserve"> </w:t>
      </w:r>
      <w:r>
        <w:rPr>
          <w:sz w:val="22"/>
          <w:szCs w:val="24"/>
          <w:lang w:val="pl-PL" w:eastAsia="zh-CN"/>
        </w:rPr>
        <w:t>Stanowisko pomiarowe</w:t>
      </w:r>
    </w:p>
    <w:p w14:paraId="4115FCF9" w14:textId="4C767BA0" w:rsidR="008F3FBB" w:rsidRDefault="00CD6BFE" w:rsidP="008F3FBB">
      <w:pPr>
        <w:pStyle w:val="MDPI31text"/>
        <w:rPr>
          <w:lang w:val="pl-PL" w:eastAsia="zh-CN"/>
        </w:rPr>
      </w:pPr>
      <w:r>
        <w:rPr>
          <w:lang w:val="pl-PL" w:eastAsia="zh-CN"/>
        </w:rPr>
        <w:t xml:space="preserve">Pomiary wykonywano na stanowisku pomiarowym przedstawionym na rysunku 1. Badano układ z dzielnikiem </w:t>
      </w:r>
      <w:r w:rsidR="007F7155">
        <w:rPr>
          <w:lang w:val="pl-PL" w:eastAsia="zh-CN"/>
        </w:rPr>
        <w:t>pojemnościowym</w:t>
      </w:r>
      <w:r>
        <w:rPr>
          <w:lang w:val="pl-PL" w:eastAsia="zh-CN"/>
        </w:rPr>
        <w:t xml:space="preserve"> DN110 i multimetrem </w:t>
      </w:r>
      <w:proofErr w:type="spellStart"/>
      <w:r>
        <w:rPr>
          <w:lang w:val="pl-PL" w:eastAsia="zh-CN"/>
        </w:rPr>
        <w:t>PeakTech</w:t>
      </w:r>
      <w:proofErr w:type="spellEnd"/>
      <w:r>
        <w:rPr>
          <w:lang w:val="pl-PL" w:eastAsia="zh-CN"/>
        </w:rPr>
        <w:t xml:space="preserve"> 2005. Układ odniesienia składał się z dzielnika </w:t>
      </w:r>
      <w:r w:rsidR="007F7155">
        <w:rPr>
          <w:lang w:val="pl-PL" w:eastAsia="zh-CN"/>
        </w:rPr>
        <w:t>rezystancyjnego</w:t>
      </w:r>
      <w:r>
        <w:rPr>
          <w:lang w:val="pl-PL" w:eastAsia="zh-CN"/>
        </w:rPr>
        <w:t xml:space="preserve"> DUC110 oraz multimetru HP 34401A. Obydwa układy </w:t>
      </w:r>
      <w:r w:rsidR="007F7155">
        <w:rPr>
          <w:lang w:val="pl-PL" w:eastAsia="zh-CN"/>
        </w:rPr>
        <w:t>mierzyły</w:t>
      </w:r>
      <w:r>
        <w:rPr>
          <w:lang w:val="pl-PL" w:eastAsia="zh-CN"/>
        </w:rPr>
        <w:t xml:space="preserve"> napięcia po stronie wysokiej transformatora </w:t>
      </w:r>
      <w:r w:rsidR="00F0545F">
        <w:rPr>
          <w:lang w:val="pl-PL" w:eastAsia="zh-CN"/>
        </w:rPr>
        <w:t>TP110.</w:t>
      </w:r>
    </w:p>
    <w:p w14:paraId="513D0998" w14:textId="51F30E0D" w:rsidR="008F3FBB" w:rsidRPr="001A76B9" w:rsidRDefault="008F3FBB" w:rsidP="008F3FBB">
      <w:pPr>
        <w:pStyle w:val="MDPI31text"/>
        <w:rPr>
          <w:lang w:val="pl-PL"/>
        </w:rPr>
      </w:pPr>
    </w:p>
    <w:p w14:paraId="405DB547" w14:textId="21035A63" w:rsidR="008F3FBB" w:rsidRDefault="007F7155" w:rsidP="008F3FBB">
      <w:pPr>
        <w:pStyle w:val="MDPI31text"/>
        <w:keepNext/>
        <w:ind w:firstLine="0"/>
        <w:jc w:val="center"/>
      </w:pPr>
      <w:bookmarkStart w:id="1" w:name="OLE_LINK1"/>
      <w:bookmarkStart w:id="2" w:name="OLE_LINK2"/>
      <w:r w:rsidRPr="007F7155">
        <w:drawing>
          <wp:inline distT="0" distB="0" distL="0" distR="0" wp14:anchorId="18AF5465" wp14:editId="28FBCC2E">
            <wp:extent cx="5024582" cy="2200701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9" cy="22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3AC9" w14:textId="14A6C65E" w:rsidR="00B70C0F" w:rsidRDefault="008F3FBB" w:rsidP="007F7155">
      <w:pPr>
        <w:pStyle w:val="MDPI51figurecaption"/>
        <w:jc w:val="center"/>
        <w:rPr>
          <w:lang w:val="pl-PL"/>
        </w:rPr>
      </w:pPr>
      <w:r w:rsidRPr="00493626">
        <w:rPr>
          <w:lang w:val="pl-PL"/>
        </w:rPr>
        <w:t xml:space="preserve">Rysunek </w:t>
      </w:r>
      <w:r>
        <w:fldChar w:fldCharType="begin"/>
      </w:r>
      <w:r w:rsidRPr="00493626">
        <w:rPr>
          <w:lang w:val="pl-PL"/>
        </w:rPr>
        <w:instrText xml:space="preserve"> SEQ Rysunek \* ARABIC </w:instrText>
      </w:r>
      <w:r>
        <w:fldChar w:fldCharType="separate"/>
      </w:r>
      <w:r w:rsidR="004971DF">
        <w:rPr>
          <w:noProof/>
          <w:lang w:val="pl-PL"/>
        </w:rPr>
        <w:t>1</w:t>
      </w:r>
      <w:r>
        <w:fldChar w:fldCharType="end"/>
      </w:r>
      <w:r w:rsidRPr="00493626">
        <w:rPr>
          <w:lang w:val="pl-PL"/>
        </w:rPr>
        <w:t>. Schemat układu pomiarowego</w:t>
      </w:r>
      <w:bookmarkEnd w:id="1"/>
      <w:bookmarkEnd w:id="2"/>
    </w:p>
    <w:p w14:paraId="5D14C9FB" w14:textId="77777777" w:rsidR="007F7155" w:rsidRPr="007F7155" w:rsidRDefault="007F7155" w:rsidP="007F7155">
      <w:pPr>
        <w:pStyle w:val="MDPI51figurecaption"/>
        <w:jc w:val="center"/>
        <w:rPr>
          <w:lang w:val="pl-PL"/>
        </w:rPr>
      </w:pPr>
    </w:p>
    <w:p w14:paraId="4D11F20A" w14:textId="4951A225" w:rsidR="00F14CEF" w:rsidRPr="001A76B9" w:rsidRDefault="00813558" w:rsidP="00D74BB2">
      <w:pPr>
        <w:pStyle w:val="MDPI21heading1"/>
        <w:rPr>
          <w:sz w:val="22"/>
          <w:szCs w:val="24"/>
          <w:lang w:val="pl-PL"/>
        </w:rPr>
      </w:pPr>
      <w:r>
        <w:rPr>
          <w:sz w:val="22"/>
          <w:szCs w:val="24"/>
          <w:lang w:val="pl-PL"/>
        </w:rPr>
        <w:lastRenderedPageBreak/>
        <w:t>3</w:t>
      </w:r>
      <w:r w:rsidR="00D74BB2" w:rsidRPr="001A76B9">
        <w:rPr>
          <w:sz w:val="22"/>
          <w:szCs w:val="24"/>
          <w:lang w:val="pl-PL"/>
        </w:rPr>
        <w:t>. Wyniki pomiarów</w:t>
      </w:r>
      <w:r w:rsidR="00320BAD" w:rsidRPr="001A76B9">
        <w:rPr>
          <w:sz w:val="22"/>
          <w:szCs w:val="24"/>
          <w:lang w:val="pl-PL"/>
        </w:rPr>
        <w:t xml:space="preserve"> i obliczeń</w:t>
      </w:r>
    </w:p>
    <w:p w14:paraId="1B097140" w14:textId="0938240F" w:rsidR="004045AE" w:rsidRPr="004045AE" w:rsidRDefault="001B4797" w:rsidP="004045AE">
      <w:pPr>
        <w:pStyle w:val="MDPI31text"/>
        <w:rPr>
          <w:lang w:val="pl-PL"/>
        </w:rPr>
      </w:pPr>
      <w:r>
        <w:rPr>
          <w:lang w:val="pl-PL"/>
        </w:rPr>
        <w:t>Wyniki pomiarów współczynnika skali badanego układu przedstawiono w tabeli 1, natomiast wyniki badań liniowości współczynnika skali przedstawiono w tabeli 2.</w:t>
      </w:r>
    </w:p>
    <w:p w14:paraId="728A9371" w14:textId="625A460C" w:rsidR="00EA5287" w:rsidRDefault="00EA5287" w:rsidP="00EA5287">
      <w:pPr>
        <w:pStyle w:val="MDPI31text"/>
        <w:rPr>
          <w:lang w:val="pl-PL"/>
        </w:rPr>
      </w:pPr>
    </w:p>
    <w:p w14:paraId="05BBC861" w14:textId="55D9A8CC" w:rsidR="00C56BE0" w:rsidRDefault="00C56BE0" w:rsidP="00C56BE0">
      <w:pPr>
        <w:pStyle w:val="MDPI41tablecaption"/>
        <w:jc w:val="center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Wyznaczanie</w:t>
      </w:r>
      <w:proofErr w:type="spellEnd"/>
      <w:r>
        <w:t xml:space="preserve"> </w:t>
      </w:r>
      <w:proofErr w:type="spellStart"/>
      <w:r>
        <w:t>współczynnika</w:t>
      </w:r>
      <w:proofErr w:type="spellEnd"/>
      <w:r>
        <w:t xml:space="preserve"> </w:t>
      </w:r>
      <w:proofErr w:type="spellStart"/>
      <w:r>
        <w:t>skali</w:t>
      </w:r>
      <w:proofErr w:type="spellEnd"/>
    </w:p>
    <w:tbl>
      <w:tblPr>
        <w:tblW w:w="7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400"/>
        <w:gridCol w:w="1300"/>
      </w:tblGrid>
      <w:tr w:rsidR="001B4797" w:rsidRPr="001B4797" w14:paraId="32B3AF3A" w14:textId="77777777" w:rsidTr="001B4797">
        <w:trPr>
          <w:trHeight w:val="4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E622" w14:textId="77777777" w:rsidR="001B4797" w:rsidRPr="001B4797" w:rsidRDefault="001B4797" w:rsidP="001B4797">
            <w:pPr>
              <w:pStyle w:val="MDPI42tablebody"/>
              <w:rPr>
                <w:b/>
                <w:bCs/>
                <w:lang w:val="pl-PL" w:eastAsia="pl-PL"/>
              </w:rPr>
            </w:pPr>
            <w:r w:rsidRPr="001B4797">
              <w:rPr>
                <w:b/>
                <w:bCs/>
                <w:lang w:val="pl-PL" w:eastAsia="pl-PL"/>
              </w:rPr>
              <w:t>Lp.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288D" w14:textId="77777777" w:rsidR="001B4797" w:rsidRPr="00E82577" w:rsidRDefault="001B4797" w:rsidP="001B4797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ref</m:t>
                    </m:r>
                  </m:sub>
                </m:sSub>
              </m:oMath>
            </m:oMathPara>
          </w:p>
          <w:p w14:paraId="45C89120" w14:textId="34C8E1DC" w:rsidR="00E82577" w:rsidRPr="001B4797" w:rsidRDefault="00E82577" w:rsidP="001B4797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[V]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2F75" w14:textId="77777777" w:rsidR="001B4797" w:rsidRPr="00E82577" w:rsidRDefault="001B4797" w:rsidP="001B4797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ukł</m:t>
                    </m:r>
                  </m:sub>
                </m:sSub>
              </m:oMath>
            </m:oMathPara>
          </w:p>
          <w:p w14:paraId="3A744C3F" w14:textId="0D24EDF4" w:rsidR="00E82577" w:rsidRPr="001B4797" w:rsidRDefault="00E82577" w:rsidP="001B4797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[V]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F139" w14:textId="77777777" w:rsidR="001B4797" w:rsidRPr="00E82577" w:rsidRDefault="001B4797" w:rsidP="001B4797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H</m:t>
                    </m:r>
                  </m:sub>
                </m:sSub>
              </m:oMath>
            </m:oMathPara>
          </w:p>
          <w:p w14:paraId="1A9DDBA4" w14:textId="7BF6E150" w:rsidR="00E82577" w:rsidRPr="001B4797" w:rsidRDefault="00E82577" w:rsidP="001B4797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[V]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B085" w14:textId="77777777" w:rsidR="001B4797" w:rsidRPr="00E82577" w:rsidRDefault="001B4797" w:rsidP="001B4797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m</m:t>
                    </m:r>
                  </m:sub>
                </m:sSub>
              </m:oMath>
            </m:oMathPara>
          </w:p>
          <w:p w14:paraId="34FFD262" w14:textId="50BE3309" w:rsidR="00E82577" w:rsidRPr="001B4797" w:rsidRDefault="00E82577" w:rsidP="001B4797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[-]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AD61" w14:textId="77777777" w:rsidR="001B4797" w:rsidRPr="00E82577" w:rsidRDefault="001B4797" w:rsidP="001B4797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pl-PL" w:eastAsia="pl-P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l-PL" w:eastAsia="pl-PL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m</m:t>
                    </m:r>
                  </m:sub>
                </m:sSub>
              </m:oMath>
            </m:oMathPara>
          </w:p>
          <w:p w14:paraId="5536CF18" w14:textId="5131791E" w:rsidR="00E82577" w:rsidRPr="001B4797" w:rsidRDefault="00E82577" w:rsidP="001B4797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[-]</w:t>
            </w:r>
          </w:p>
        </w:tc>
      </w:tr>
      <w:tr w:rsidR="001B4797" w:rsidRPr="001B4797" w14:paraId="742A0637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FFF0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790C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100,468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998C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880C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91356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F553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3723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788,7</w:t>
            </w:r>
          </w:p>
        </w:tc>
      </w:tr>
      <w:tr w:rsidR="001B4797" w:rsidRPr="001B4797" w14:paraId="1FCCC7A3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5748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1CD4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C947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A7F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91358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D23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788,9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957D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  <w:tr w:rsidR="001B4797" w:rsidRPr="001B4797" w14:paraId="034256F9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68FF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BBA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100,336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E3C9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56C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91236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27EA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788,6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93B3D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  <w:tr w:rsidR="001B4797" w:rsidRPr="001B4797" w14:paraId="5CE7CD4B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50B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8606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57FD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6D83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91225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03F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787,8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2E16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  <w:tr w:rsidR="001B4797" w:rsidRPr="001B4797" w14:paraId="19B14FB1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A524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2954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100,358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276C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4503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91256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316C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1F4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  <w:tr w:rsidR="001B4797" w:rsidRPr="001B4797" w14:paraId="21A2CF3D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E8CE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06D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73EA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B8BD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91283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179C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789,0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7358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  <w:tr w:rsidR="001B4797" w:rsidRPr="001B4797" w14:paraId="40F4DFDF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0995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A2B3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100,446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7363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65F1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91336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CB9C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D94B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  <w:tr w:rsidR="001B4797" w:rsidRPr="001B4797" w14:paraId="08E73AC0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4EBF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BBF9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F6FA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C584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139F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79D37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  <w:tr w:rsidR="001B4797" w:rsidRPr="001B4797" w14:paraId="547CCDEA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7D37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79EE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100,445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55DB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ADD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91335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D1F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7212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  <w:tr w:rsidR="001B4797" w:rsidRPr="001B4797" w14:paraId="3CAD4FA1" w14:textId="77777777" w:rsidTr="001B479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7EBF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3F14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100,455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A600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115,8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2FA1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91344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2754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  <w:r w:rsidRPr="001B4797">
              <w:rPr>
                <w:lang w:val="pl-PL" w:eastAsia="pl-PL"/>
              </w:rPr>
              <w:t>788,8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9477" w14:textId="77777777" w:rsidR="001B4797" w:rsidRPr="001B4797" w:rsidRDefault="001B4797" w:rsidP="001B4797">
            <w:pPr>
              <w:pStyle w:val="MDPI42tablebody"/>
              <w:rPr>
                <w:lang w:val="pl-PL" w:eastAsia="pl-PL"/>
              </w:rPr>
            </w:pPr>
          </w:p>
        </w:tc>
      </w:tr>
    </w:tbl>
    <w:p w14:paraId="16C09ECB" w14:textId="76988837" w:rsidR="00E8311E" w:rsidRDefault="00E8311E" w:rsidP="00C56BE0">
      <w:pPr>
        <w:pStyle w:val="MDPI31text"/>
        <w:ind w:firstLine="0"/>
        <w:rPr>
          <w:lang w:val="pl-PL"/>
        </w:rPr>
      </w:pPr>
    </w:p>
    <w:p w14:paraId="54AEA834" w14:textId="77777777" w:rsidR="00E8311E" w:rsidRDefault="00E8311E" w:rsidP="00EA5287">
      <w:pPr>
        <w:pStyle w:val="MDPI31text"/>
        <w:rPr>
          <w:lang w:val="pl-PL"/>
        </w:rPr>
      </w:pPr>
    </w:p>
    <w:p w14:paraId="3C8BF6C3" w14:textId="4E180663" w:rsidR="00C56BE0" w:rsidRDefault="00C56BE0" w:rsidP="00C56BE0">
      <w:pPr>
        <w:pStyle w:val="MDPI41tablecaption"/>
        <w:jc w:val="center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Wyznaczanie</w:t>
      </w:r>
      <w:proofErr w:type="spellEnd"/>
      <w:r>
        <w:t xml:space="preserve"> </w:t>
      </w:r>
      <w:proofErr w:type="spellStart"/>
      <w:r>
        <w:t>liniowości</w:t>
      </w:r>
      <w:proofErr w:type="spellEnd"/>
      <w:r>
        <w:t xml:space="preserve"> </w:t>
      </w:r>
      <w:proofErr w:type="spellStart"/>
      <w:r>
        <w:t>współczynnika</w:t>
      </w:r>
      <w:proofErr w:type="spellEnd"/>
      <w:r>
        <w:t xml:space="preserve"> </w:t>
      </w:r>
      <w:proofErr w:type="spellStart"/>
      <w:r>
        <w:t>skali</w:t>
      </w:r>
      <w:proofErr w:type="spellEnd"/>
    </w:p>
    <w:tbl>
      <w:tblPr>
        <w:tblW w:w="7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CA4DB4" w:rsidRPr="00CA4DB4" w14:paraId="16019E93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3638" w14:textId="77777777" w:rsidR="00CA4DB4" w:rsidRPr="00CA4DB4" w:rsidRDefault="00CA4DB4" w:rsidP="00E8311E">
            <w:pPr>
              <w:pStyle w:val="MDPI42tablebody"/>
              <w:rPr>
                <w:b/>
                <w:bCs/>
                <w:lang w:val="pl-PL" w:eastAsia="pl-PL"/>
              </w:rPr>
            </w:pPr>
            <w:r w:rsidRPr="00CA4DB4">
              <w:rPr>
                <w:b/>
                <w:bCs/>
                <w:lang w:val="pl-PL" w:eastAsia="pl-PL"/>
              </w:rPr>
              <w:t>Lp.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8763" w14:textId="77777777" w:rsidR="00CA4DB4" w:rsidRPr="007F3A5E" w:rsidRDefault="00CA4DB4" w:rsidP="00E8311E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ref</m:t>
                    </m:r>
                  </m:sub>
                </m:sSub>
              </m:oMath>
            </m:oMathPara>
          </w:p>
          <w:p w14:paraId="7D06C6AD" w14:textId="45AF6012" w:rsidR="007F3A5E" w:rsidRPr="00CA4DB4" w:rsidRDefault="007F3A5E" w:rsidP="00E8311E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[V]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6723" w14:textId="77777777" w:rsidR="00CA4DB4" w:rsidRPr="007F3A5E" w:rsidRDefault="00CA4DB4" w:rsidP="00E8311E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ukł</m:t>
                    </m:r>
                  </m:sub>
                </m:sSub>
              </m:oMath>
            </m:oMathPara>
          </w:p>
          <w:p w14:paraId="0800CDDE" w14:textId="0244D9A5" w:rsidR="007F3A5E" w:rsidRPr="007F3A5E" w:rsidRDefault="007F3A5E" w:rsidP="00E8311E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[V]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171E" w14:textId="77777777" w:rsidR="00CA4DB4" w:rsidRPr="007F3A5E" w:rsidRDefault="00CA4DB4" w:rsidP="00E8311E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H</m:t>
                    </m:r>
                  </m:sub>
                </m:sSub>
              </m:oMath>
            </m:oMathPara>
          </w:p>
          <w:p w14:paraId="21E66A3C" w14:textId="5AEED5C0" w:rsidR="007F3A5E" w:rsidRPr="007F3A5E" w:rsidRDefault="007F3A5E" w:rsidP="00E8311E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[V]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E32D" w14:textId="77777777" w:rsidR="00CA4DB4" w:rsidRPr="007F3A5E" w:rsidRDefault="00CA4DB4" w:rsidP="00E8311E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m</m:t>
                    </m:r>
                  </m:sub>
                </m:sSub>
              </m:oMath>
            </m:oMathPara>
          </w:p>
          <w:p w14:paraId="1F863632" w14:textId="2048541D" w:rsidR="007F3A5E" w:rsidRPr="007F3A5E" w:rsidRDefault="007F3A5E" w:rsidP="00E8311E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[-]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824C" w14:textId="77777777" w:rsidR="00CA4DB4" w:rsidRPr="007F3A5E" w:rsidRDefault="00CA4DB4" w:rsidP="00E8311E">
            <w:pPr>
              <w:pStyle w:val="MDPI42tablebody"/>
              <w:rPr>
                <w:b/>
                <w:bCs/>
                <w:lang w:val="pl-PL"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l-PL" w:eastAsia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pl-PL"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l-PL" w:eastAsia="pl-PL"/>
                      </w:rPr>
                      <m:t>m</m:t>
                    </m:r>
                  </m:sub>
                </m:sSub>
              </m:oMath>
            </m:oMathPara>
          </w:p>
          <w:p w14:paraId="7AD9F10E" w14:textId="3DA5DB45" w:rsidR="007F3A5E" w:rsidRPr="007F3A5E" w:rsidRDefault="007F3A5E" w:rsidP="00E8311E">
            <w:pPr>
              <w:pStyle w:val="MDPI42tablebody"/>
              <w:rPr>
                <w:b/>
                <w:bCs/>
                <w:lang w:val="pl-PL" w:eastAsia="pl-PL"/>
              </w:rPr>
            </w:pPr>
            <w:r>
              <w:rPr>
                <w:b/>
                <w:bCs/>
                <w:lang w:val="pl-PL" w:eastAsia="pl-PL"/>
              </w:rPr>
              <w:t>[-]</w:t>
            </w:r>
          </w:p>
        </w:tc>
      </w:tr>
      <w:tr w:rsidR="00CA4DB4" w:rsidRPr="00CA4DB4" w14:paraId="79616499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23E0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243C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20,066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0629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23,00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302D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18246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3406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793,3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7F74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0,59%</w:t>
            </w:r>
          </w:p>
        </w:tc>
      </w:tr>
      <w:tr w:rsidR="00CA4DB4" w:rsidRPr="00CA4DB4" w14:paraId="47E3D972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2B4F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3491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40,471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615D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46,50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F997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36800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D04D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791,4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E786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0,35%</w:t>
            </w:r>
          </w:p>
        </w:tc>
      </w:tr>
      <w:tr w:rsidR="00CA4DB4" w:rsidRPr="00CA4DB4" w14:paraId="577DB398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B51F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1D68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60,548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12FF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69,70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8FFC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55056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9E1A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789,9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FFF8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0,15%</w:t>
            </w:r>
          </w:p>
        </w:tc>
      </w:tr>
      <w:tr w:rsidR="00CA4DB4" w:rsidRPr="00CA4DB4" w14:paraId="199BC805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BAA5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90C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80,546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2889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92,70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EE2E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73240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2F75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790,1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85FB0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0,18%</w:t>
            </w:r>
          </w:p>
        </w:tc>
      </w:tr>
      <w:tr w:rsidR="00CA4DB4" w:rsidRPr="00CA4DB4" w14:paraId="40A76532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1C92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BBB8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100,058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61E7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115,40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AF83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90983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1134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788,4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BED8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-0,03%</w:t>
            </w:r>
          </w:p>
        </w:tc>
      </w:tr>
      <w:tr w:rsidR="00CA4DB4" w:rsidRPr="00CA4DB4" w14:paraId="42958407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0B66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38E6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100,165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984F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115,50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F6DB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91080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CF1B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788,6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0458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-0,01%</w:t>
            </w:r>
          </w:p>
        </w:tc>
      </w:tr>
      <w:tr w:rsidR="00CA4DB4" w:rsidRPr="00CA4DB4" w14:paraId="569B7101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D522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7C54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80,228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6979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92,40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2152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72951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22E0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789,5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CE47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0,11%</w:t>
            </w:r>
          </w:p>
        </w:tc>
      </w:tr>
      <w:tr w:rsidR="00CA4DB4" w:rsidRPr="00CA4DB4" w14:paraId="04C71B64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CD4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F635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59,956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3D3F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68,90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8C99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54518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CD61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791,3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EF8F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0,33%</w:t>
            </w:r>
          </w:p>
        </w:tc>
      </w:tr>
      <w:tr w:rsidR="00CA4DB4" w:rsidRPr="00CA4DB4" w14:paraId="47071D5C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8805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0699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40,469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132B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46,50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2E91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36798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3144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791,4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C736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0,34%</w:t>
            </w:r>
          </w:p>
        </w:tc>
      </w:tr>
      <w:tr w:rsidR="00CA4DB4" w:rsidRPr="00CA4DB4" w14:paraId="3F8899A7" w14:textId="77777777" w:rsidTr="00E8311E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3BD8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BD1D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19,752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CDE3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22,60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5AD4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17960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36EE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794,7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1FFB" w14:textId="77777777" w:rsidR="00CA4DB4" w:rsidRPr="00CA4DB4" w:rsidRDefault="00CA4DB4" w:rsidP="00E8311E">
            <w:pPr>
              <w:pStyle w:val="MDPI42tablebody"/>
              <w:rPr>
                <w:lang w:val="pl-PL" w:eastAsia="pl-PL"/>
              </w:rPr>
            </w:pPr>
            <w:r w:rsidRPr="00CA4DB4">
              <w:rPr>
                <w:lang w:val="pl-PL" w:eastAsia="pl-PL"/>
              </w:rPr>
              <w:t>0,76%</w:t>
            </w:r>
          </w:p>
        </w:tc>
      </w:tr>
    </w:tbl>
    <w:p w14:paraId="13ADFED7" w14:textId="0EA71C3F" w:rsidR="00CA4DB4" w:rsidRPr="00CA4DB4" w:rsidRDefault="00CA4DB4">
      <w:pPr>
        <w:spacing w:line="240" w:lineRule="auto"/>
        <w:jc w:val="left"/>
      </w:pPr>
    </w:p>
    <w:p w14:paraId="0A8AB667" w14:textId="77777777" w:rsidR="00EA5287" w:rsidRPr="001A76B9" w:rsidRDefault="00EA5287" w:rsidP="00EA5287">
      <w:pPr>
        <w:pStyle w:val="MDPI31text"/>
        <w:rPr>
          <w:lang w:val="pl-PL"/>
        </w:rPr>
      </w:pPr>
    </w:p>
    <w:bookmarkEnd w:id="0"/>
    <w:p w14:paraId="491DB565" w14:textId="77777777" w:rsidR="005A61A9" w:rsidRDefault="005A61A9">
      <w:pPr>
        <w:spacing w:line="240" w:lineRule="auto"/>
        <w:jc w:val="left"/>
        <w:rPr>
          <w:rFonts w:ascii="Palatino Linotype" w:hAnsi="Palatino Linotype"/>
          <w:b/>
          <w:snapToGrid w:val="0"/>
          <w:sz w:val="22"/>
          <w:szCs w:val="24"/>
          <w:lang w:val="pl-PL" w:bidi="en-US"/>
        </w:rPr>
      </w:pPr>
      <w:r>
        <w:rPr>
          <w:sz w:val="22"/>
          <w:szCs w:val="24"/>
          <w:lang w:val="pl-PL"/>
        </w:rPr>
        <w:br w:type="page"/>
      </w:r>
    </w:p>
    <w:p w14:paraId="2F76F7A0" w14:textId="59A2798B" w:rsidR="00EC3888" w:rsidRDefault="00713515" w:rsidP="00EC3888">
      <w:pPr>
        <w:pStyle w:val="MDPI21heading1"/>
        <w:rPr>
          <w:sz w:val="22"/>
          <w:szCs w:val="24"/>
          <w:lang w:val="pl-PL"/>
        </w:rPr>
      </w:pPr>
      <w:r w:rsidRPr="001A76B9">
        <w:rPr>
          <w:sz w:val="22"/>
          <w:szCs w:val="24"/>
          <w:lang w:val="pl-PL"/>
        </w:rPr>
        <w:lastRenderedPageBreak/>
        <w:t>5</w:t>
      </w:r>
      <w:r w:rsidR="00EC3888" w:rsidRPr="001A76B9">
        <w:rPr>
          <w:sz w:val="22"/>
          <w:szCs w:val="24"/>
          <w:lang w:val="pl-PL"/>
        </w:rPr>
        <w:t xml:space="preserve">. </w:t>
      </w:r>
      <w:r w:rsidR="00392345" w:rsidRPr="001A76B9">
        <w:rPr>
          <w:sz w:val="22"/>
          <w:szCs w:val="24"/>
          <w:lang w:val="pl-PL"/>
        </w:rPr>
        <w:t>O</w:t>
      </w:r>
      <w:r w:rsidR="00EC3888" w:rsidRPr="001A76B9">
        <w:rPr>
          <w:sz w:val="22"/>
          <w:szCs w:val="24"/>
          <w:lang w:val="pl-PL"/>
        </w:rPr>
        <w:t>bliczenia</w:t>
      </w:r>
    </w:p>
    <w:p w14:paraId="7D34A5A0" w14:textId="1093959E" w:rsidR="00B64D10" w:rsidRDefault="00B64D10" w:rsidP="00B64D10">
      <w:pPr>
        <w:pStyle w:val="MDPI22heading2"/>
        <w:rPr>
          <w:lang w:val="pl-PL"/>
        </w:rPr>
      </w:pPr>
      <w:r w:rsidRPr="001A76B9">
        <w:rPr>
          <w:lang w:val="pl-PL"/>
        </w:rPr>
        <w:t xml:space="preserve">5.1. </w:t>
      </w:r>
      <w:r>
        <w:rPr>
          <w:lang w:val="pl-PL"/>
        </w:rPr>
        <w:t>Współczynnik skali</w:t>
      </w:r>
    </w:p>
    <w:p w14:paraId="395263B7" w14:textId="630E01A7" w:rsidR="00B64D10" w:rsidRDefault="00B64D10" w:rsidP="00B64D10">
      <w:pPr>
        <w:pStyle w:val="MDPI31text"/>
        <w:rPr>
          <w:lang w:val="pl-PL"/>
        </w:rPr>
      </w:pPr>
      <w:r>
        <w:rPr>
          <w:lang w:val="pl-PL"/>
        </w:rPr>
        <w:t xml:space="preserve">W celu obliczenia współczynnika skali badanego układu pomiarowego, wykorzystano znany współczynnik skali układu odniesienia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ref</m:t>
                </m:r>
              </m:sub>
            </m:sSub>
          </m:sub>
        </m:sSub>
        <m:r>
          <w:rPr>
            <w:rFonts w:ascii="Cambria Math" w:hAnsi="Cambria Math"/>
            <w:lang w:val="pl-PL"/>
          </w:rPr>
          <m:t>=909,3</m:t>
        </m:r>
      </m:oMath>
      <w:r w:rsidR="0080795D">
        <w:rPr>
          <w:lang w:val="pl-PL"/>
        </w:rPr>
        <w:t>. Zgodnie z poniższymi zależnościami, przeliczono wartość strony niskiego napięcia układu odniesienia na stronę wysoką układu, a następnie z tej wartości oraz wartości uzyskanej w badanym układzie uzyskano wartości współczynnika skali:</w:t>
      </w:r>
    </w:p>
    <w:p w14:paraId="2B625E2D" w14:textId="77777777" w:rsidR="0010024F" w:rsidRDefault="0010024F" w:rsidP="00B64D10">
      <w:pPr>
        <w:pStyle w:val="MDPI31text"/>
        <w:rPr>
          <w:lang w:val="pl-PL"/>
        </w:rPr>
      </w:pPr>
    </w:p>
    <w:p w14:paraId="1E4CCCCB" w14:textId="07ABE59E" w:rsidR="0080795D" w:rsidRPr="005E64AA" w:rsidRDefault="0080795D" w:rsidP="00B64D10">
      <w:pPr>
        <w:pStyle w:val="MDPI31text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H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ref</m:t>
              </m:r>
            </m:sub>
          </m:sSub>
          <m:r>
            <w:rPr>
              <w:rFonts w:ascii="Cambria Math" w:hAnsi="Cambria Math"/>
              <w:lang w:val="pl-PL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ref</m:t>
                  </m:r>
                </m:sub>
              </m:sSub>
            </m:sub>
          </m:sSub>
        </m:oMath>
      </m:oMathPara>
    </w:p>
    <w:p w14:paraId="477597F0" w14:textId="77777777" w:rsidR="005E64AA" w:rsidRPr="005E64AA" w:rsidRDefault="005E64AA" w:rsidP="00B64D10">
      <w:pPr>
        <w:pStyle w:val="MDPI31text"/>
        <w:rPr>
          <w:lang w:val="pl-PL"/>
        </w:rPr>
      </w:pPr>
    </w:p>
    <w:p w14:paraId="21CF926D" w14:textId="77C644BF" w:rsidR="0080795D" w:rsidRPr="0080795D" w:rsidRDefault="0080795D" w:rsidP="00B64D10">
      <w:pPr>
        <w:pStyle w:val="MDPI31text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m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ukł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ref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ref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ukł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 xml:space="preserve"> </m:t>
          </m:r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91</m:t>
              </m:r>
              <m:r>
                <w:rPr>
                  <w:rFonts w:ascii="Cambria Math" w:hAnsi="Cambria Math"/>
                  <w:lang w:val="pl-PL"/>
                </w:rPr>
                <m:t>100,468 V⋅909,3</m:t>
              </m:r>
              <m:r>
                <w:rPr>
                  <w:rFonts w:ascii="Cambria Math" w:hAnsi="Cambria Math"/>
                  <w:lang w:val="pl-PL"/>
                </w:rPr>
                <m:t>356 V</m:t>
              </m:r>
            </m:num>
            <m:den>
              <m:r>
                <w:rPr>
                  <w:rFonts w:ascii="Cambria Math" w:hAnsi="Cambria Math"/>
                  <w:lang w:val="pl-PL"/>
                </w:rPr>
                <m:t>115,8 V</m:t>
              </m:r>
            </m:den>
          </m:f>
          <m:r>
            <w:rPr>
              <w:rFonts w:ascii="Cambria Math" w:hAnsi="Cambria Math"/>
              <w:lang w:val="pl-PL"/>
            </w:rPr>
            <m:t>=788,9</m:t>
          </m:r>
        </m:oMath>
      </m:oMathPara>
    </w:p>
    <w:p w14:paraId="7F4116DA" w14:textId="77777777" w:rsidR="0080795D" w:rsidRPr="0080795D" w:rsidRDefault="0080795D" w:rsidP="00B64D10">
      <w:pPr>
        <w:pStyle w:val="MDPI31text"/>
        <w:rPr>
          <w:lang w:val="pl-PL"/>
        </w:rPr>
      </w:pPr>
    </w:p>
    <w:p w14:paraId="265DF2B4" w14:textId="515DB442" w:rsidR="00B64D10" w:rsidRPr="001A76B9" w:rsidRDefault="00B64D10" w:rsidP="0010024F">
      <w:pPr>
        <w:pStyle w:val="MDPI31text"/>
        <w:rPr>
          <w:lang w:val="pl-PL"/>
        </w:rPr>
      </w:pPr>
      <w:r>
        <w:rPr>
          <w:lang w:val="pl-PL"/>
        </w:rPr>
        <w:t xml:space="preserve">Współczynnik skali układu badanego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</m:oMath>
      <w:r>
        <w:rPr>
          <w:lang w:val="pl-PL"/>
        </w:rPr>
        <w:t xml:space="preserve"> </w:t>
      </w:r>
      <w:r w:rsidR="0010024F">
        <w:rPr>
          <w:lang w:val="pl-PL"/>
        </w:rPr>
        <w:t>przyjęto</w:t>
      </w:r>
      <w:r>
        <w:rPr>
          <w:lang w:val="pl-PL"/>
        </w:rPr>
        <w:t xml:space="preserve"> jako wartość średnią z 10 wykonanych pomiarów. Na podstawie uzyskanego wyniku, dokonano kolejnych obliczeń.</w:t>
      </w:r>
    </w:p>
    <w:p w14:paraId="03FB3F77" w14:textId="329396D4" w:rsidR="005F20E7" w:rsidRDefault="005F20E7" w:rsidP="00363D87">
      <w:pPr>
        <w:pStyle w:val="MDPI22heading2"/>
        <w:rPr>
          <w:lang w:val="pl-PL"/>
        </w:rPr>
      </w:pPr>
      <w:r w:rsidRPr="001A76B9">
        <w:rPr>
          <w:lang w:val="pl-PL"/>
        </w:rPr>
        <w:t>5.</w:t>
      </w:r>
      <w:r w:rsidR="0010024F">
        <w:rPr>
          <w:lang w:val="pl-PL"/>
        </w:rPr>
        <w:t>2</w:t>
      </w:r>
      <w:r w:rsidRPr="001A76B9">
        <w:rPr>
          <w:lang w:val="pl-PL"/>
        </w:rPr>
        <w:t xml:space="preserve">. </w:t>
      </w:r>
      <w:r w:rsidR="00627CBE">
        <w:rPr>
          <w:lang w:val="pl-PL"/>
        </w:rPr>
        <w:t>Liniowość współczynnika skali</w:t>
      </w:r>
    </w:p>
    <w:p w14:paraId="18218231" w14:textId="7CF6365E" w:rsidR="00033892" w:rsidRDefault="00B64D10" w:rsidP="00033892">
      <w:pPr>
        <w:pStyle w:val="MDPI31text"/>
        <w:rPr>
          <w:lang w:val="pl-PL"/>
        </w:rPr>
      </w:pPr>
      <w:r>
        <w:rPr>
          <w:lang w:val="pl-PL"/>
        </w:rPr>
        <w:t>Odchylenie od średniego współczynnika skali w całym zakresie pomiarowym sprawdzono, korzystając z zależności</w:t>
      </w:r>
      <w:r w:rsidR="00033892">
        <w:rPr>
          <w:lang w:val="pl-PL"/>
        </w:rPr>
        <w:t>:</w:t>
      </w:r>
    </w:p>
    <w:p w14:paraId="3CD52125" w14:textId="5588C2A6" w:rsidR="00033892" w:rsidRPr="00033892" w:rsidRDefault="00B64D10" w:rsidP="00033892">
      <w:pPr>
        <w:pStyle w:val="MDPI31text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  <m:sub>
              <m:r>
                <w:rPr>
                  <w:rFonts w:ascii="Cambria Math" w:hAnsi="Cambria Math"/>
                  <w:lang w:val="pl-PL"/>
                </w:rPr>
                <m:t>m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m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pl-PL"/>
            </w:rPr>
            <m:t>⋅100%</m:t>
          </m:r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793,3-788,7</m:t>
              </m:r>
            </m:num>
            <m:den>
              <m:r>
                <w:rPr>
                  <w:rFonts w:ascii="Cambria Math" w:hAnsi="Cambria Math"/>
                  <w:lang w:val="pl-PL"/>
                </w:rPr>
                <m:t>788,7</m:t>
              </m:r>
            </m:den>
          </m:f>
          <m:r>
            <w:rPr>
              <w:rFonts w:ascii="Cambria Math" w:hAnsi="Cambria Math"/>
              <w:lang w:val="pl-PL"/>
            </w:rPr>
            <m:t>⋅100%=0,59%</m:t>
          </m:r>
        </m:oMath>
      </m:oMathPara>
    </w:p>
    <w:p w14:paraId="53A99C54" w14:textId="2FB314B2" w:rsidR="00BF6B4E" w:rsidRPr="001A76B9" w:rsidRDefault="00BF6B4E" w:rsidP="00BF6B4E">
      <w:pPr>
        <w:pStyle w:val="MDPI22heading2"/>
        <w:rPr>
          <w:lang w:val="pl-PL"/>
        </w:rPr>
      </w:pPr>
      <w:bookmarkStart w:id="3" w:name="OLE_LINK4"/>
      <w:bookmarkStart w:id="4" w:name="OLE_LINK5"/>
      <w:r w:rsidRPr="001A76B9">
        <w:rPr>
          <w:lang w:val="pl-PL"/>
        </w:rPr>
        <w:t xml:space="preserve">5.3. </w:t>
      </w:r>
      <w:r w:rsidR="00C54CFC">
        <w:rPr>
          <w:lang w:val="pl-PL"/>
        </w:rPr>
        <w:t>Niepewność</w:t>
      </w:r>
      <w:r w:rsidR="00B90311">
        <w:rPr>
          <w:lang w:val="pl-PL"/>
        </w:rPr>
        <w:t xml:space="preserve"> pomiarowa</w:t>
      </w:r>
      <w:r w:rsidR="00C54CFC">
        <w:rPr>
          <w:lang w:val="pl-PL"/>
        </w:rPr>
        <w:t xml:space="preserve"> typu A </w:t>
      </w:r>
    </w:p>
    <w:p w14:paraId="019777EE" w14:textId="3E7C5864" w:rsidR="00C5739B" w:rsidRDefault="00C54CFC" w:rsidP="002D4185">
      <w:pPr>
        <w:pStyle w:val="MDPI31text"/>
        <w:ind w:firstLine="420"/>
        <w:rPr>
          <w:lang w:val="pl-PL"/>
        </w:rPr>
      </w:pPr>
      <w:r>
        <w:rPr>
          <w:lang w:val="pl-PL"/>
        </w:rPr>
        <w:t xml:space="preserve">W celu oszacowania niepewności pomiarowej </w:t>
      </w:r>
      <w:r w:rsidR="00B90311">
        <w:rPr>
          <w:lang w:val="pl-PL"/>
        </w:rPr>
        <w:t>typu A dla wykonanych pomiarów współczynnika skali układu badanego, skorzystano z poniższej zależności:</w:t>
      </w:r>
    </w:p>
    <w:p w14:paraId="4357B930" w14:textId="77777777" w:rsidR="00B90311" w:rsidRDefault="00B90311" w:rsidP="002D4185">
      <w:pPr>
        <w:pStyle w:val="MDPI31text"/>
        <w:ind w:firstLine="420"/>
        <w:rPr>
          <w:lang w:val="pl-PL"/>
        </w:rPr>
      </w:pPr>
    </w:p>
    <w:p w14:paraId="7964CE42" w14:textId="423628B4" w:rsidR="00703FEC" w:rsidRPr="007F7155" w:rsidRDefault="00B90311" w:rsidP="002D4185">
      <w:pPr>
        <w:pStyle w:val="MDPI31text"/>
        <w:ind w:firstLine="42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A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t⋅s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rad>
            </m:den>
          </m:f>
        </m:oMath>
      </m:oMathPara>
    </w:p>
    <w:p w14:paraId="32C45397" w14:textId="77777777" w:rsidR="007F7155" w:rsidRPr="00B90311" w:rsidRDefault="007F7155" w:rsidP="002D4185">
      <w:pPr>
        <w:pStyle w:val="MDPI31text"/>
        <w:ind w:firstLine="420"/>
        <w:rPr>
          <w:lang w:val="pl-PL"/>
        </w:rPr>
      </w:pPr>
    </w:p>
    <w:p w14:paraId="63AAF2DA" w14:textId="30C7854C" w:rsidR="00B90311" w:rsidRDefault="00B90311" w:rsidP="002D4185">
      <w:pPr>
        <w:pStyle w:val="MDPI31text"/>
        <w:ind w:firstLine="420"/>
        <w:rPr>
          <w:lang w:val="pl-PL"/>
        </w:rPr>
      </w:pPr>
      <w:r>
        <w:rPr>
          <w:lang w:val="pl-PL"/>
        </w:rPr>
        <w:t xml:space="preserve">Przy czym </w:t>
      </w:r>
      <m:oMath>
        <m:r>
          <w:rPr>
            <w:rFonts w:ascii="Cambria Math" w:hAnsi="Cambria Math"/>
            <w:lang w:val="pl-PL"/>
          </w:rPr>
          <m:t>s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l-PL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pl-PL"/>
                  </w:rPr>
                  <m:t>mi</m:t>
                </m:r>
              </m:sub>
            </m:sSub>
          </m:e>
        </m:d>
      </m:oMath>
      <w:r>
        <w:rPr>
          <w:lang w:val="pl-PL"/>
        </w:rPr>
        <w:t xml:space="preserve"> jest </w:t>
      </w:r>
      <w:r w:rsidR="007F7155">
        <w:rPr>
          <w:lang w:val="pl-PL"/>
        </w:rPr>
        <w:t>losową</w:t>
      </w:r>
      <w:r>
        <w:rPr>
          <w:lang w:val="pl-PL"/>
        </w:rPr>
        <w:t xml:space="preserve"> niepewnością standardową, zgodnie z zależnością:</w:t>
      </w:r>
    </w:p>
    <w:p w14:paraId="71518C59" w14:textId="77777777" w:rsidR="007F7155" w:rsidRDefault="007F7155" w:rsidP="002D4185">
      <w:pPr>
        <w:pStyle w:val="MDPI31text"/>
        <w:ind w:firstLine="420"/>
        <w:rPr>
          <w:lang w:val="pl-PL"/>
        </w:rPr>
      </w:pPr>
    </w:p>
    <w:p w14:paraId="3112D1F5" w14:textId="60822712" w:rsidR="00B90311" w:rsidRPr="007F7155" w:rsidRDefault="00B90311" w:rsidP="002D4185">
      <w:pPr>
        <w:pStyle w:val="MDPI31text"/>
        <w:ind w:firstLine="42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m</m:t>
                  </m:r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mk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  <w:lang w:val="pl-PL"/>
            </w:rPr>
            <m:t>=0,108 %</m:t>
          </m:r>
        </m:oMath>
      </m:oMathPara>
    </w:p>
    <w:p w14:paraId="7C21B760" w14:textId="77777777" w:rsidR="007F7155" w:rsidRPr="00B90311" w:rsidRDefault="007F7155" w:rsidP="002D4185">
      <w:pPr>
        <w:pStyle w:val="MDPI31text"/>
        <w:ind w:firstLine="420"/>
        <w:rPr>
          <w:lang w:val="pl-PL"/>
        </w:rPr>
      </w:pPr>
    </w:p>
    <w:p w14:paraId="675B7A4C" w14:textId="3484D5E9" w:rsidR="00B90311" w:rsidRDefault="00B90311" w:rsidP="002D4185">
      <w:pPr>
        <w:pStyle w:val="MDPI31text"/>
        <w:ind w:firstLine="420"/>
        <w:rPr>
          <w:lang w:val="pl-PL"/>
        </w:rPr>
      </w:pPr>
      <w:r>
        <w:rPr>
          <w:lang w:val="pl-PL"/>
        </w:rPr>
        <w:t xml:space="preserve">Dla liczby pomiarów </w:t>
      </w:r>
      <m:oMath>
        <m:r>
          <w:rPr>
            <w:rFonts w:ascii="Cambria Math" w:hAnsi="Cambria Math"/>
            <w:lang w:val="pl-PL"/>
          </w:rPr>
          <m:t>n=10</m:t>
        </m:r>
      </m:oMath>
      <w:r>
        <w:rPr>
          <w:lang w:val="pl-PL"/>
        </w:rPr>
        <w:t xml:space="preserve"> oraz poziomu ufności </w:t>
      </w:r>
      <m:oMath>
        <m:r>
          <w:rPr>
            <w:rFonts w:ascii="Cambria Math" w:hAnsi="Cambria Math"/>
            <w:lang w:val="pl-PL"/>
          </w:rPr>
          <m:t>p=95%</m:t>
        </m:r>
      </m:oMath>
      <w:r>
        <w:rPr>
          <w:lang w:val="pl-PL"/>
        </w:rPr>
        <w:t xml:space="preserve">, przyjęto </w:t>
      </w:r>
      <m:oMath>
        <m:r>
          <w:rPr>
            <w:rFonts w:ascii="Cambria Math" w:hAnsi="Cambria Math"/>
            <w:lang w:val="pl-PL"/>
          </w:rPr>
          <m:t>t=2,26</m:t>
        </m:r>
      </m:oMath>
      <w:r>
        <w:rPr>
          <w:lang w:val="pl-PL"/>
        </w:rPr>
        <w:t>. Stąd:</w:t>
      </w:r>
    </w:p>
    <w:p w14:paraId="670F252F" w14:textId="77777777" w:rsidR="007F7155" w:rsidRDefault="007F7155" w:rsidP="002D4185">
      <w:pPr>
        <w:pStyle w:val="MDPI31text"/>
        <w:ind w:firstLine="420"/>
        <w:rPr>
          <w:lang w:val="pl-PL"/>
        </w:rPr>
      </w:pPr>
    </w:p>
    <w:p w14:paraId="419E408B" w14:textId="5363F10A" w:rsidR="00B90311" w:rsidRPr="00B90311" w:rsidRDefault="00B90311" w:rsidP="00B90311">
      <w:pPr>
        <w:pStyle w:val="MDPI31text"/>
        <w:ind w:firstLine="42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A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t⋅s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m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2,26⋅0,108%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l-PL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lang w:val="pl-PL"/>
            </w:rPr>
            <m:t>=0,077 %</m:t>
          </m:r>
        </m:oMath>
      </m:oMathPara>
    </w:p>
    <w:p w14:paraId="037CEA6C" w14:textId="77777777" w:rsidR="00B90311" w:rsidRPr="00B90311" w:rsidRDefault="00B90311" w:rsidP="002D4185">
      <w:pPr>
        <w:pStyle w:val="MDPI31text"/>
        <w:ind w:firstLine="420"/>
        <w:rPr>
          <w:lang w:val="pl-PL"/>
        </w:rPr>
      </w:pPr>
    </w:p>
    <w:p w14:paraId="67DB70BC" w14:textId="77777777" w:rsidR="007F7155" w:rsidRDefault="007F7155">
      <w:pPr>
        <w:spacing w:line="240" w:lineRule="auto"/>
        <w:jc w:val="left"/>
        <w:rPr>
          <w:rFonts w:ascii="Palatino Linotype" w:hAnsi="Palatino Linotype"/>
          <w:i/>
          <w:noProof/>
          <w:snapToGrid w:val="0"/>
          <w:sz w:val="20"/>
          <w:szCs w:val="22"/>
          <w:lang w:val="pl-PL" w:bidi="en-US"/>
        </w:rPr>
      </w:pPr>
      <w:r>
        <w:rPr>
          <w:lang w:val="pl-PL"/>
        </w:rPr>
        <w:br w:type="page"/>
      </w:r>
    </w:p>
    <w:p w14:paraId="5BC2A42A" w14:textId="3A97AD2D" w:rsidR="00B90311" w:rsidRDefault="00B90311" w:rsidP="00B90311">
      <w:pPr>
        <w:pStyle w:val="MDPI22heading2"/>
        <w:rPr>
          <w:lang w:val="pl-PL"/>
        </w:rPr>
      </w:pPr>
      <w:r w:rsidRPr="001A76B9">
        <w:rPr>
          <w:lang w:val="pl-PL"/>
        </w:rPr>
        <w:lastRenderedPageBreak/>
        <w:t>5.</w:t>
      </w:r>
      <w:r>
        <w:rPr>
          <w:lang w:val="pl-PL"/>
        </w:rPr>
        <w:t>4.</w:t>
      </w:r>
      <w:r w:rsidRPr="001A76B9">
        <w:rPr>
          <w:lang w:val="pl-PL"/>
        </w:rPr>
        <w:t xml:space="preserve"> </w:t>
      </w:r>
      <w:r>
        <w:rPr>
          <w:lang w:val="pl-PL"/>
        </w:rPr>
        <w:t xml:space="preserve">Niepewność pomiarowa typu </w:t>
      </w:r>
      <w:r>
        <w:rPr>
          <w:lang w:val="pl-PL"/>
        </w:rPr>
        <w:t>B dla multimetrów w wykorzystanych układach</w:t>
      </w:r>
    </w:p>
    <w:p w14:paraId="49A758C5" w14:textId="27ED2DE5" w:rsidR="00B90311" w:rsidRDefault="00F64B71" w:rsidP="00B90311">
      <w:pPr>
        <w:pStyle w:val="MDPI31text"/>
        <w:rPr>
          <w:lang w:val="pl-PL"/>
        </w:rPr>
      </w:pPr>
      <w:r>
        <w:rPr>
          <w:lang w:val="pl-PL"/>
        </w:rPr>
        <w:t xml:space="preserve">Przy obliczaniu niepewności przyrządów pomiarowych przyjęto, że rozkład statystyczny błędów ma kształt prostokątny. Zgodnie z danymi otrzymanymi od prowadzącego, za niepewność multimetru HP przyjęto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u</m:t>
            </m:r>
          </m:e>
          <m:sub>
            <m:r>
              <w:rPr>
                <w:rFonts w:ascii="Cambria Math" w:hAnsi="Cambria Math"/>
                <w:lang w:val="pl-PL"/>
              </w:rPr>
              <m:t>HP</m:t>
            </m:r>
          </m:sub>
        </m:sSub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1%</m:t>
        </m:r>
      </m:oMath>
      <w:r>
        <w:rPr>
          <w:lang w:val="pl-PL"/>
        </w:rPr>
        <w:t xml:space="preserve">, natomiast za niepewność multimetru </w:t>
      </w:r>
      <w:proofErr w:type="spellStart"/>
      <w:r>
        <w:rPr>
          <w:lang w:val="pl-PL"/>
        </w:rPr>
        <w:t>PeakTech</w:t>
      </w:r>
      <w:proofErr w:type="spellEnd"/>
      <w:r>
        <w:rPr>
          <w:lang w:val="pl-PL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u</m:t>
            </m:r>
          </m:e>
          <m:sub>
            <m:r>
              <w:rPr>
                <w:rFonts w:ascii="Cambria Math" w:hAnsi="Cambria Math"/>
                <w:lang w:val="pl-PL"/>
              </w:rPr>
              <m:t>PT</m:t>
            </m:r>
          </m:sub>
        </m:sSub>
        <m: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>1,5%</m:t>
        </m:r>
      </m:oMath>
      <w:r>
        <w:rPr>
          <w:lang w:val="pl-PL"/>
        </w:rPr>
        <w:t>.</w:t>
      </w:r>
    </w:p>
    <w:p w14:paraId="3EAB6507" w14:textId="4B12583C" w:rsidR="00F64B71" w:rsidRDefault="00F64B71" w:rsidP="00B90311">
      <w:pPr>
        <w:pStyle w:val="MDPI31text"/>
        <w:rPr>
          <w:lang w:val="pl-PL"/>
        </w:rPr>
      </w:pPr>
      <w:r>
        <w:rPr>
          <w:lang w:val="pl-PL"/>
        </w:rPr>
        <w:t>Na podstawie powyższych danych, błędy przyrządów policzono zgodnie z poniższą zależnością:</w:t>
      </w:r>
    </w:p>
    <w:p w14:paraId="19CFDFAC" w14:textId="77777777" w:rsidR="007F7155" w:rsidRDefault="007F7155" w:rsidP="00B90311">
      <w:pPr>
        <w:pStyle w:val="MDPI31text"/>
        <w:rPr>
          <w:lang w:val="pl-PL"/>
        </w:rPr>
      </w:pPr>
    </w:p>
    <w:p w14:paraId="1BC36F10" w14:textId="56C49636" w:rsidR="00F64B71" w:rsidRPr="007F7155" w:rsidRDefault="00F64B71" w:rsidP="00B90311">
      <w:pPr>
        <w:pStyle w:val="MDPI31text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hAnsi="Cambria Math"/>
                  <w:lang w:val="pl-PL"/>
                </w:rPr>
                <m:t>B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pl-PL"/>
                </w:rPr>
                <m:t>100</m:t>
              </m:r>
            </m:den>
          </m:f>
          <m:r>
            <w:rPr>
              <w:rFonts w:ascii="Cambria Math" w:hAnsi="Cambria Math"/>
              <w:lang w:val="pl-PL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max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pl-PL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śr</m:t>
                  </m:r>
                </m:sub>
              </m:sSub>
            </m:den>
          </m:f>
        </m:oMath>
      </m:oMathPara>
    </w:p>
    <w:p w14:paraId="4EC36F75" w14:textId="77777777" w:rsidR="007F7155" w:rsidRPr="004971DF" w:rsidRDefault="007F7155" w:rsidP="00B90311">
      <w:pPr>
        <w:pStyle w:val="MDPI31text"/>
        <w:rPr>
          <w:lang w:val="pl-PL"/>
        </w:rPr>
      </w:pPr>
    </w:p>
    <w:p w14:paraId="338CDDD2" w14:textId="6880D0E2" w:rsidR="004971DF" w:rsidRDefault="004971DF" w:rsidP="00B90311">
      <w:pPr>
        <w:pStyle w:val="MDPI31text"/>
        <w:rPr>
          <w:lang w:val="pl-PL"/>
        </w:rPr>
      </w:pPr>
      <w:r>
        <w:rPr>
          <w:lang w:val="pl-PL"/>
        </w:rPr>
        <w:t>Stąd, dla multimetru HP niepewność typu B wynosi:</w:t>
      </w:r>
    </w:p>
    <w:p w14:paraId="30DA6038" w14:textId="77777777" w:rsidR="007F7155" w:rsidRDefault="007F7155" w:rsidP="00B90311">
      <w:pPr>
        <w:pStyle w:val="MDPI31text"/>
        <w:rPr>
          <w:lang w:val="pl-PL"/>
        </w:rPr>
      </w:pPr>
    </w:p>
    <w:p w14:paraId="4CF2E470" w14:textId="77777777" w:rsidR="004971DF" w:rsidRPr="004971DF" w:rsidRDefault="004971DF" w:rsidP="004971DF">
      <w:pPr>
        <w:pStyle w:val="MDPI31text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HP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100</m:t>
              </m:r>
            </m:den>
          </m:f>
          <m:r>
            <w:rPr>
              <w:rFonts w:ascii="Cambria Math" w:hAnsi="Cambria Math"/>
              <w:lang w:val="pl-PL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1000 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pl-PL"/>
                </w:rPr>
                <m:t>⋅100,413 V</m:t>
              </m:r>
            </m:den>
          </m:f>
          <m:r>
            <w:rPr>
              <w:rFonts w:ascii="Cambria Math" w:hAnsi="Cambria Math"/>
              <w:lang w:val="pl-PL"/>
            </w:rPr>
            <m:t>=5,75 %</m:t>
          </m:r>
        </m:oMath>
      </m:oMathPara>
    </w:p>
    <w:p w14:paraId="40EF76CE" w14:textId="77777777" w:rsidR="004971DF" w:rsidRDefault="004971DF" w:rsidP="004971DF">
      <w:pPr>
        <w:pStyle w:val="MDPI31text"/>
        <w:rPr>
          <w:lang w:val="pl-PL"/>
        </w:rPr>
      </w:pPr>
    </w:p>
    <w:p w14:paraId="2C42FF7C" w14:textId="44AA1052" w:rsidR="004971DF" w:rsidRDefault="004971DF" w:rsidP="004971DF">
      <w:pPr>
        <w:pStyle w:val="MDPI31text"/>
        <w:rPr>
          <w:lang w:val="pl-PL"/>
        </w:rPr>
      </w:pPr>
      <w:r>
        <w:rPr>
          <w:lang w:val="pl-PL"/>
        </w:rPr>
        <w:t xml:space="preserve">Natomiast dla multimetru </w:t>
      </w:r>
      <w:proofErr w:type="spellStart"/>
      <w:r>
        <w:rPr>
          <w:lang w:val="pl-PL"/>
        </w:rPr>
        <w:t>PeakTech</w:t>
      </w:r>
      <w:proofErr w:type="spellEnd"/>
      <w:r>
        <w:rPr>
          <w:lang w:val="pl-PL"/>
        </w:rPr>
        <w:t>, niepewność typu B:</w:t>
      </w:r>
    </w:p>
    <w:p w14:paraId="4B40FAAC" w14:textId="77777777" w:rsidR="007F7155" w:rsidRDefault="007F7155" w:rsidP="004971DF">
      <w:pPr>
        <w:pStyle w:val="MDPI31text"/>
        <w:rPr>
          <w:lang w:val="pl-PL"/>
        </w:rPr>
      </w:pPr>
    </w:p>
    <w:p w14:paraId="7DE812E9" w14:textId="63D84E81" w:rsidR="004971DF" w:rsidRPr="004971DF" w:rsidRDefault="004971DF" w:rsidP="004971DF">
      <w:pPr>
        <w:pStyle w:val="MDPI31text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PT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100</m:t>
              </m:r>
            </m:den>
          </m:f>
          <m:r>
            <w:rPr>
              <w:rFonts w:ascii="Cambria Math" w:hAnsi="Cambria Math"/>
              <w:lang w:val="pl-PL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20</m:t>
              </m:r>
              <m:r>
                <w:rPr>
                  <w:rFonts w:ascii="Cambria Math" w:hAnsi="Cambria Math"/>
                  <w:lang w:val="pl-PL"/>
                </w:rPr>
                <m:t>0 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pl-PL"/>
                </w:rPr>
                <m:t>⋅</m:t>
              </m:r>
              <m:r>
                <w:rPr>
                  <w:rFonts w:ascii="Cambria Math" w:hAnsi="Cambria Math"/>
                  <w:lang w:val="pl-PL"/>
                </w:rPr>
                <m:t>115,77</m:t>
              </m:r>
              <m:r>
                <w:rPr>
                  <w:rFonts w:ascii="Cambria Math" w:hAnsi="Cambria Math"/>
                  <w:lang w:val="pl-PL"/>
                </w:rPr>
                <m:t xml:space="preserve"> V</m:t>
              </m:r>
            </m:den>
          </m:f>
          <m:r>
            <w:rPr>
              <w:rFonts w:ascii="Cambria Math" w:hAnsi="Cambria Math"/>
              <w:lang w:val="pl-PL"/>
            </w:rPr>
            <m:t xml:space="preserve">=1,5% </m:t>
          </m:r>
        </m:oMath>
      </m:oMathPara>
    </w:p>
    <w:p w14:paraId="01A8F738" w14:textId="35866E92" w:rsidR="00B90311" w:rsidRPr="001A76B9" w:rsidRDefault="00B90311" w:rsidP="00B90311">
      <w:pPr>
        <w:pStyle w:val="MDPI22heading2"/>
        <w:rPr>
          <w:lang w:val="pl-PL"/>
        </w:rPr>
      </w:pPr>
      <w:r w:rsidRPr="001A76B9">
        <w:rPr>
          <w:lang w:val="pl-PL"/>
        </w:rPr>
        <w:t>5.</w:t>
      </w:r>
      <w:r>
        <w:rPr>
          <w:lang w:val="pl-PL"/>
        </w:rPr>
        <w:t>5</w:t>
      </w:r>
      <w:r>
        <w:rPr>
          <w:lang w:val="pl-PL"/>
        </w:rPr>
        <w:t>.</w:t>
      </w:r>
      <w:r w:rsidRPr="001A76B9">
        <w:rPr>
          <w:lang w:val="pl-PL"/>
        </w:rPr>
        <w:t xml:space="preserve"> </w:t>
      </w:r>
      <w:r>
        <w:rPr>
          <w:lang w:val="pl-PL"/>
        </w:rPr>
        <w:t xml:space="preserve">Niepewność pomiarowa typu B dla </w:t>
      </w:r>
      <w:r>
        <w:rPr>
          <w:lang w:val="pl-PL"/>
        </w:rPr>
        <w:t>dzielnika napięciowego w układzie odniesienia</w:t>
      </w:r>
      <w:r>
        <w:rPr>
          <w:lang w:val="pl-PL"/>
        </w:rPr>
        <w:t xml:space="preserve"> </w:t>
      </w:r>
    </w:p>
    <w:p w14:paraId="216901EA" w14:textId="0AFF67DA" w:rsidR="005A61A9" w:rsidRDefault="004971DF" w:rsidP="004971DF">
      <w:pPr>
        <w:pStyle w:val="MDPI31text"/>
        <w:ind w:firstLine="0"/>
        <w:rPr>
          <w:lang w:val="pl-PL"/>
        </w:rPr>
      </w:pPr>
      <w:r>
        <w:rPr>
          <w:lang w:val="pl-PL"/>
        </w:rPr>
        <w:tab/>
        <w:t xml:space="preserve">Niepewność pomiarową typu B dla dzielnika napięciowego w układzie odniesienia obliczono, korzystając z jego tabliczki znamionowej. Zgodnie z nią, współczynnik skali dzielnika to 909,3 z niepewnością pomiaru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U</m:t>
            </m:r>
          </m:e>
          <m:sub>
            <m:r>
              <w:rPr>
                <w:rFonts w:ascii="Cambria Math" w:hAnsi="Cambria Math"/>
                <w:lang w:val="pl-PL"/>
              </w:rPr>
              <m:t>d</m:t>
            </m:r>
          </m:sub>
        </m:sSub>
        <m:r>
          <w:rPr>
            <w:rFonts w:ascii="Cambria Math" w:hAnsi="Cambria Math"/>
            <w:lang w:val="pl-PL"/>
          </w:rPr>
          <m:t>=1,5%</m:t>
        </m:r>
      </m:oMath>
      <w:r>
        <w:rPr>
          <w:lang w:val="pl-PL"/>
        </w:rPr>
        <w:t xml:space="preserve"> przy </w:t>
      </w:r>
      <m:oMath>
        <m:r>
          <w:rPr>
            <w:rFonts w:ascii="Cambria Math" w:hAnsi="Cambria Math"/>
            <w:lang w:val="pl-PL"/>
          </w:rPr>
          <m:t>p=95%</m:t>
        </m:r>
      </m:oMath>
      <w:r>
        <w:rPr>
          <w:lang w:val="pl-PL"/>
        </w:rPr>
        <w:t xml:space="preserve">. Przyjęto współczynnik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=2,27</m:t>
        </m:r>
      </m:oMath>
      <w:r>
        <w:rPr>
          <w:lang w:val="pl-PL"/>
        </w:rPr>
        <w:t xml:space="preserve">. </w:t>
      </w:r>
    </w:p>
    <w:p w14:paraId="033FCD1F" w14:textId="2960C737" w:rsidR="004971DF" w:rsidRDefault="004971DF" w:rsidP="004971DF">
      <w:pPr>
        <w:pStyle w:val="MDPI31text"/>
        <w:ind w:firstLine="0"/>
        <w:rPr>
          <w:lang w:val="pl-PL"/>
        </w:rPr>
      </w:pPr>
      <w:r>
        <w:rPr>
          <w:lang w:val="pl-PL"/>
        </w:rPr>
        <w:tab/>
        <w:t>Do obliczenia niepewności typu B dzielnika, wykorzystano poniższą zależność:</w:t>
      </w:r>
    </w:p>
    <w:p w14:paraId="00C742C1" w14:textId="671C324B" w:rsidR="004971DF" w:rsidRPr="004971DF" w:rsidRDefault="004971DF" w:rsidP="004971DF">
      <w:pPr>
        <w:pStyle w:val="MDPI31text"/>
        <w:ind w:firstLine="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1,5%</m:t>
              </m:r>
            </m:num>
            <m:den>
              <m:r>
                <w:rPr>
                  <w:rFonts w:ascii="Cambria Math" w:hAnsi="Cambria Math"/>
                  <w:lang w:val="pl-PL"/>
                </w:rPr>
                <m:t>2,27</m:t>
              </m:r>
            </m:den>
          </m:f>
          <m:r>
            <w:rPr>
              <w:rFonts w:ascii="Cambria Math" w:hAnsi="Cambria Math"/>
              <w:lang w:val="pl-PL"/>
            </w:rPr>
            <m:t>=0,77%</m:t>
          </m:r>
        </m:oMath>
      </m:oMathPara>
    </w:p>
    <w:p w14:paraId="3FC2522B" w14:textId="5A05F51D" w:rsidR="004971DF" w:rsidRDefault="004971DF" w:rsidP="004971DF">
      <w:pPr>
        <w:pStyle w:val="MDPI31text"/>
        <w:ind w:firstLine="0"/>
        <w:rPr>
          <w:lang w:val="pl-PL"/>
        </w:rPr>
      </w:pPr>
    </w:p>
    <w:p w14:paraId="00F3029B" w14:textId="1631D441" w:rsidR="004971DF" w:rsidRDefault="004971DF" w:rsidP="004971DF">
      <w:pPr>
        <w:pStyle w:val="MDPI22heading2"/>
        <w:rPr>
          <w:lang w:val="pl-PL"/>
        </w:rPr>
      </w:pPr>
      <w:r w:rsidRPr="001A76B9">
        <w:rPr>
          <w:lang w:val="pl-PL"/>
        </w:rPr>
        <w:t>5.</w:t>
      </w:r>
      <w:r>
        <w:rPr>
          <w:lang w:val="pl-PL"/>
        </w:rPr>
        <w:t>6</w:t>
      </w:r>
      <w:r>
        <w:rPr>
          <w:lang w:val="pl-PL"/>
        </w:rPr>
        <w:t>.</w:t>
      </w:r>
      <w:r w:rsidRPr="001A76B9">
        <w:rPr>
          <w:lang w:val="pl-PL"/>
        </w:rPr>
        <w:t xml:space="preserve"> </w:t>
      </w:r>
      <w:r>
        <w:rPr>
          <w:lang w:val="pl-PL"/>
        </w:rPr>
        <w:t xml:space="preserve">Niepewność </w:t>
      </w:r>
      <w:r>
        <w:rPr>
          <w:lang w:val="pl-PL"/>
        </w:rPr>
        <w:t>całkowita pomiaru</w:t>
      </w:r>
    </w:p>
    <w:p w14:paraId="2CD74B54" w14:textId="0A4BFA97" w:rsidR="004971DF" w:rsidRDefault="004971DF" w:rsidP="004971DF">
      <w:pPr>
        <w:pStyle w:val="MDPI31text"/>
        <w:rPr>
          <w:lang w:val="pl-PL"/>
        </w:rPr>
      </w:pPr>
      <w:r>
        <w:rPr>
          <w:lang w:val="pl-PL"/>
        </w:rPr>
        <w:t>Całkowitą niepewność pomiaru obliczono zgodnie z zależnością:</w:t>
      </w:r>
    </w:p>
    <w:p w14:paraId="3199468F" w14:textId="36EB5157" w:rsidR="004971DF" w:rsidRPr="004971DF" w:rsidRDefault="004971DF" w:rsidP="007F7155">
      <w:pPr>
        <w:pStyle w:val="MDPI31text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U= 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HP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PT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pl-PL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0,077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5,75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1,5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0,77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pl-PL"/>
            </w:rPr>
            <m:t>=±9,79%</m:t>
          </m:r>
        </m:oMath>
      </m:oMathPara>
    </w:p>
    <w:p w14:paraId="14946633" w14:textId="16DD6D02" w:rsidR="0077139F" w:rsidRPr="007F7155" w:rsidRDefault="00713515" w:rsidP="007F7155">
      <w:pPr>
        <w:pStyle w:val="MDPI31text"/>
        <w:spacing w:before="240"/>
        <w:ind w:firstLine="0"/>
        <w:rPr>
          <w:b/>
          <w:bCs/>
          <w:sz w:val="22"/>
          <w:szCs w:val="24"/>
          <w:lang w:val="pl-PL"/>
        </w:rPr>
      </w:pPr>
      <w:r w:rsidRPr="001A76B9">
        <w:rPr>
          <w:b/>
          <w:bCs/>
          <w:sz w:val="22"/>
          <w:szCs w:val="24"/>
          <w:lang w:val="pl-PL"/>
        </w:rPr>
        <w:t>6</w:t>
      </w:r>
      <w:r w:rsidR="00314751" w:rsidRPr="001A76B9">
        <w:rPr>
          <w:b/>
          <w:bCs/>
          <w:sz w:val="22"/>
          <w:szCs w:val="24"/>
          <w:lang w:val="pl-PL"/>
        </w:rPr>
        <w:t>. Wykresy</w:t>
      </w:r>
    </w:p>
    <w:p w14:paraId="2E3201D5" w14:textId="5A6128F3" w:rsidR="001B2208" w:rsidRPr="007A5668" w:rsidRDefault="0080066D" w:rsidP="001B2208">
      <w:pPr>
        <w:pStyle w:val="MDPI31text"/>
        <w:rPr>
          <w:lang w:val="pl-PL"/>
        </w:rPr>
      </w:pPr>
      <w:r>
        <w:rPr>
          <w:lang w:val="pl-PL"/>
        </w:rPr>
        <w:t xml:space="preserve">Na rysunku </w:t>
      </w:r>
      <w:r w:rsidR="007A5668">
        <w:rPr>
          <w:lang w:val="pl-PL"/>
        </w:rPr>
        <w:t>2</w:t>
      </w:r>
      <w:r>
        <w:rPr>
          <w:lang w:val="pl-PL"/>
        </w:rPr>
        <w:t xml:space="preserve"> przedstawiono </w:t>
      </w:r>
      <w:r w:rsidR="007A5668">
        <w:rPr>
          <w:lang w:val="pl-PL"/>
        </w:rPr>
        <w:t>wartości współczynnika skali F</w:t>
      </w:r>
      <w:r w:rsidR="007A5668" w:rsidRPr="007A5668">
        <w:rPr>
          <w:vertAlign w:val="subscript"/>
          <w:lang w:val="pl-PL"/>
        </w:rPr>
        <w:t>m</w:t>
      </w:r>
      <w:r w:rsidR="007A5668">
        <w:rPr>
          <w:lang w:val="pl-PL"/>
        </w:rPr>
        <w:t xml:space="preserve"> w zależności od napięcia po stronie wysokiej układu.</w:t>
      </w:r>
    </w:p>
    <w:p w14:paraId="27CE7FEB" w14:textId="6787155E" w:rsidR="009A4DCA" w:rsidRPr="001A76B9" w:rsidRDefault="007A5668" w:rsidP="009A4DCA">
      <w:pPr>
        <w:pStyle w:val="MDPI31text"/>
        <w:keepNext/>
        <w:spacing w:before="240"/>
        <w:ind w:firstLine="0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44B976E" wp14:editId="429CCEAC">
            <wp:extent cx="5772150" cy="2382982"/>
            <wp:effectExtent l="0" t="0" r="6350" b="177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2A511BD-CE08-ED49-8002-52C673790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3CF4C6" w14:textId="76E16226" w:rsidR="00142298" w:rsidRPr="007F7155" w:rsidRDefault="009A4DCA" w:rsidP="007F7155">
      <w:pPr>
        <w:pStyle w:val="MDPI51figurecaption"/>
        <w:jc w:val="center"/>
        <w:rPr>
          <w:b/>
          <w:bCs/>
          <w:sz w:val="22"/>
          <w:szCs w:val="24"/>
          <w:lang w:val="pl-PL"/>
        </w:rPr>
      </w:pPr>
      <w:r w:rsidRPr="001A76B9">
        <w:rPr>
          <w:lang w:val="pl-PL"/>
        </w:rPr>
        <w:t xml:space="preserve">Rysunek </w:t>
      </w:r>
      <w:r w:rsidRPr="001A76B9">
        <w:rPr>
          <w:lang w:val="pl-PL"/>
        </w:rPr>
        <w:fldChar w:fldCharType="begin"/>
      </w:r>
      <w:r w:rsidRPr="001A76B9">
        <w:rPr>
          <w:lang w:val="pl-PL"/>
        </w:rPr>
        <w:instrText xml:space="preserve"> SEQ Rysunek \* ARABIC </w:instrText>
      </w:r>
      <w:r w:rsidRPr="001A76B9">
        <w:rPr>
          <w:lang w:val="pl-PL"/>
        </w:rPr>
        <w:fldChar w:fldCharType="separate"/>
      </w:r>
      <w:r w:rsidR="004971DF">
        <w:rPr>
          <w:noProof/>
          <w:lang w:val="pl-PL"/>
        </w:rPr>
        <w:t>2</w:t>
      </w:r>
      <w:r w:rsidRPr="001A76B9">
        <w:rPr>
          <w:lang w:val="pl-PL"/>
        </w:rPr>
        <w:fldChar w:fldCharType="end"/>
      </w:r>
      <w:r w:rsidR="00A47773" w:rsidRPr="001A76B9">
        <w:rPr>
          <w:lang w:val="pl-PL"/>
        </w:rPr>
        <w:t xml:space="preserve">. </w:t>
      </w:r>
      <w:bookmarkEnd w:id="3"/>
      <w:bookmarkEnd w:id="4"/>
      <w:r w:rsidR="00142298">
        <w:rPr>
          <w:lang w:val="pl-PL"/>
        </w:rPr>
        <w:t>Wartość współczynnika skali F</w:t>
      </w:r>
      <w:r w:rsidR="00142298">
        <w:rPr>
          <w:vertAlign w:val="subscript"/>
          <w:lang w:val="pl-PL"/>
        </w:rPr>
        <w:t>m</w:t>
      </w:r>
      <w:r w:rsidR="00142298">
        <w:rPr>
          <w:lang w:val="pl-PL"/>
        </w:rPr>
        <w:t xml:space="preserve"> w zależności od napięcia po stronie wysokiej układu</w:t>
      </w:r>
    </w:p>
    <w:p w14:paraId="5B9F5181" w14:textId="5B688180" w:rsidR="00314751" w:rsidRPr="001A76B9" w:rsidRDefault="00713515" w:rsidP="00EC3888">
      <w:pPr>
        <w:pStyle w:val="MDPI21heading1"/>
        <w:rPr>
          <w:sz w:val="22"/>
          <w:szCs w:val="24"/>
          <w:lang w:val="pl-PL"/>
        </w:rPr>
      </w:pPr>
      <w:r w:rsidRPr="001A76B9">
        <w:rPr>
          <w:sz w:val="22"/>
          <w:szCs w:val="24"/>
          <w:lang w:val="pl-PL"/>
        </w:rPr>
        <w:lastRenderedPageBreak/>
        <w:t>7</w:t>
      </w:r>
      <w:r w:rsidR="00EC3888" w:rsidRPr="001A76B9">
        <w:rPr>
          <w:sz w:val="22"/>
          <w:szCs w:val="24"/>
          <w:lang w:val="pl-PL"/>
        </w:rPr>
        <w:t>. Wnioski</w:t>
      </w:r>
    </w:p>
    <w:p w14:paraId="6567BC43" w14:textId="1F9B6087" w:rsidR="002E0E24" w:rsidRDefault="001E12E7" w:rsidP="00142298">
      <w:pPr>
        <w:pStyle w:val="MDPI31text"/>
        <w:ind w:firstLine="0"/>
        <w:rPr>
          <w:lang w:val="pl-PL"/>
        </w:rPr>
      </w:pPr>
      <w:r w:rsidRPr="001A76B9">
        <w:rPr>
          <w:lang w:val="pl-PL"/>
        </w:rPr>
        <w:tab/>
      </w:r>
      <w:r w:rsidR="00142298">
        <w:rPr>
          <w:lang w:val="pl-PL"/>
        </w:rPr>
        <w:t xml:space="preserve">Wykonanie pomiarów pozwoliło na zapoznanie się z metodami wyznaczania współczynnika skali układu </w:t>
      </w:r>
      <w:r w:rsidR="00A27DF7">
        <w:rPr>
          <w:lang w:val="pl-PL"/>
        </w:rPr>
        <w:t>z</w:t>
      </w:r>
      <w:r w:rsidR="00142298">
        <w:rPr>
          <w:lang w:val="pl-PL"/>
        </w:rPr>
        <w:t xml:space="preserve"> </w:t>
      </w:r>
      <w:r w:rsidR="00142298">
        <w:rPr>
          <w:lang w:val="pl-PL"/>
        </w:rPr>
        <w:t>dzielni</w:t>
      </w:r>
      <w:r w:rsidR="00A27DF7">
        <w:rPr>
          <w:lang w:val="pl-PL"/>
        </w:rPr>
        <w:t>kiem</w:t>
      </w:r>
      <w:r w:rsidR="00142298">
        <w:rPr>
          <w:lang w:val="pl-PL"/>
        </w:rPr>
        <w:t xml:space="preserve"> napięcia. </w:t>
      </w:r>
      <w:r w:rsidR="00C10EEC">
        <w:rPr>
          <w:lang w:val="pl-PL"/>
        </w:rPr>
        <w:t xml:space="preserve">Opracowanie wyników pomiarów pozwoliło na ocenę rzetelności otrzymanych wyników. </w:t>
      </w:r>
    </w:p>
    <w:p w14:paraId="6926A256" w14:textId="0A2EB1C2" w:rsidR="00C10EEC" w:rsidRDefault="00C10EEC" w:rsidP="00142298">
      <w:pPr>
        <w:pStyle w:val="MDPI31text"/>
        <w:ind w:firstLine="0"/>
        <w:rPr>
          <w:lang w:val="pl-PL"/>
        </w:rPr>
      </w:pPr>
    </w:p>
    <w:p w14:paraId="3C662443" w14:textId="79619AD8" w:rsidR="00C10EEC" w:rsidRDefault="00C10EEC" w:rsidP="00142298">
      <w:pPr>
        <w:pStyle w:val="MDPI31text"/>
        <w:ind w:firstLine="0"/>
        <w:rPr>
          <w:lang w:val="pl-PL"/>
        </w:rPr>
      </w:pPr>
      <w:r>
        <w:rPr>
          <w:lang w:val="pl-PL"/>
        </w:rPr>
        <w:tab/>
        <w:t xml:space="preserve">Choć współczynnik skali dzielnika w badanym układzie – zgodnie z informacjami podanymi na obudowie – powinien mieć wartość 798,7, </w:t>
      </w:r>
      <w:r w:rsidR="00114648">
        <w:rPr>
          <w:lang w:val="pl-PL"/>
        </w:rPr>
        <w:t>pomiary wykazały, że cały układ pomiarowy ma współczynnik skali o wartości ok. 788,7. To pokazuje, dlaczego istotne jest wyznaczanie współczynnika skali dla całego układu pomiarowego, a nie tylko dla pojedynczych urządzeń.</w:t>
      </w:r>
    </w:p>
    <w:p w14:paraId="307E57F1" w14:textId="7A007B9C" w:rsidR="00114648" w:rsidRDefault="00114648" w:rsidP="00142298">
      <w:pPr>
        <w:pStyle w:val="MDPI31text"/>
        <w:ind w:firstLine="0"/>
        <w:rPr>
          <w:lang w:val="pl-PL"/>
        </w:rPr>
      </w:pPr>
    </w:p>
    <w:p w14:paraId="7F92FF50" w14:textId="334949D4" w:rsidR="00114648" w:rsidRDefault="00114648" w:rsidP="00142298">
      <w:pPr>
        <w:pStyle w:val="MDPI31text"/>
        <w:ind w:firstLine="0"/>
        <w:rPr>
          <w:lang w:val="pl-PL"/>
        </w:rPr>
      </w:pPr>
      <w:r>
        <w:rPr>
          <w:lang w:val="pl-PL"/>
        </w:rPr>
        <w:tab/>
        <w:t xml:space="preserve">Obliczenia wykazały, że liniowość współczynnika skali w badanym układzie jest zachowana. W żadnym punkcie pomiarowym odchyłka wartości tego współczynnika nie przekroczyła 1% względem wartości średniej. Warto przy tym zauważyć, że wykres na rysunku 2 wskazuje na to, że współczynnik skali spada wraz ze wzrostem napięcia. Być może wyjaśnieniem tego zjawiska jest uwidacznianie się wpływu pojemności doziemnych układu. </w:t>
      </w:r>
    </w:p>
    <w:p w14:paraId="1DA2188B" w14:textId="6E944DC2" w:rsidR="00114648" w:rsidRDefault="00114648" w:rsidP="00142298">
      <w:pPr>
        <w:pStyle w:val="MDPI31text"/>
        <w:ind w:firstLine="0"/>
        <w:rPr>
          <w:lang w:val="pl-PL"/>
        </w:rPr>
      </w:pPr>
    </w:p>
    <w:p w14:paraId="4A77ED55" w14:textId="6642595B" w:rsidR="00114648" w:rsidRPr="002E0E24" w:rsidRDefault="00114648" w:rsidP="00142298">
      <w:pPr>
        <w:pStyle w:val="MDPI31text"/>
        <w:ind w:firstLine="0"/>
        <w:rPr>
          <w:lang w:val="pl-PL"/>
        </w:rPr>
      </w:pPr>
      <w:r>
        <w:rPr>
          <w:lang w:val="pl-PL"/>
        </w:rPr>
        <w:tab/>
        <w:t xml:space="preserve">Oszacowanie całkowitej niepewności pomiaru wskazało, że całkowita niedokładność wyniosła około 9,79%. Oznacza to, że pomiar zdecydowanie nie spełnia oczekiwań normy, zgodnie z którymi niepewność pomiaru współczynnika skali nie powinna przekraczać 3%. Warto tu zaznaczyć, że głównym źródłem niepewności jest multimetr HP, którym mierzono wartości znacznie poniżej maksymalnego zakresu pomiarowego, </w:t>
      </w:r>
      <w:r w:rsidR="005972E8">
        <w:rPr>
          <w:lang w:val="pl-PL"/>
        </w:rPr>
        <w:t>a oprócz tego</w:t>
      </w:r>
      <w:r>
        <w:rPr>
          <w:lang w:val="pl-PL"/>
        </w:rPr>
        <w:t xml:space="preserve"> niepewność wyznaczono z uproszczonej zależności, przyjmując klasę przyrządu 1%. Płynie stąd wniosek, że wymiana tego przyrządu na inny lub pomiar większych wartości napięcia – np. w układzie z </w:t>
      </w:r>
      <w:r w:rsidR="009F7E1D">
        <w:rPr>
          <w:lang w:val="pl-PL"/>
        </w:rPr>
        <w:t xml:space="preserve">mniejszym współczynnikiem skali dzielnika pojemnościowego – mogłyby znacząco ograniczyć niepewność całkowitą pomiaru. </w:t>
      </w:r>
      <w:r>
        <w:rPr>
          <w:lang w:val="pl-PL"/>
        </w:rPr>
        <w:t xml:space="preserve"> </w:t>
      </w:r>
    </w:p>
    <w:sectPr w:rsidR="00114648" w:rsidRPr="002E0E24" w:rsidSect="00151A32">
      <w:headerReference w:type="even" r:id="rId13"/>
      <w:headerReference w:type="default" r:id="rId14"/>
      <w:headerReference w:type="first" r:id="rId15"/>
      <w:pgSz w:w="11906" w:h="16838" w:code="9"/>
      <w:pgMar w:top="1417" w:right="1274" w:bottom="1077" w:left="1134" w:header="1020" w:footer="850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99A1" w14:textId="77777777" w:rsidR="002807DA" w:rsidRDefault="002807DA">
      <w:pPr>
        <w:spacing w:line="240" w:lineRule="auto"/>
      </w:pPr>
      <w:r>
        <w:separator/>
      </w:r>
    </w:p>
  </w:endnote>
  <w:endnote w:type="continuationSeparator" w:id="0">
    <w:p w14:paraId="1A057D63" w14:textId="77777777" w:rsidR="002807DA" w:rsidRDefault="002807DA">
      <w:pPr>
        <w:spacing w:line="240" w:lineRule="auto"/>
      </w:pPr>
      <w:r>
        <w:continuationSeparator/>
      </w:r>
    </w:p>
  </w:endnote>
  <w:endnote w:type="continuationNotice" w:id="1">
    <w:p w14:paraId="4DBB54CB" w14:textId="77777777" w:rsidR="002807DA" w:rsidRDefault="002807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7B7A" w14:textId="77777777" w:rsidR="002807DA" w:rsidRDefault="002807DA">
      <w:pPr>
        <w:spacing w:line="240" w:lineRule="auto"/>
      </w:pPr>
      <w:r>
        <w:separator/>
      </w:r>
    </w:p>
  </w:footnote>
  <w:footnote w:type="continuationSeparator" w:id="0">
    <w:p w14:paraId="2DBBBC32" w14:textId="77777777" w:rsidR="002807DA" w:rsidRDefault="002807DA">
      <w:pPr>
        <w:spacing w:line="240" w:lineRule="auto"/>
      </w:pPr>
      <w:r>
        <w:continuationSeparator/>
      </w:r>
    </w:p>
  </w:footnote>
  <w:footnote w:type="continuationNotice" w:id="1">
    <w:p w14:paraId="3BED34F6" w14:textId="77777777" w:rsidR="002807DA" w:rsidRDefault="002807D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8D84" w14:textId="77777777" w:rsidR="00792BAD" w:rsidRDefault="00792BAD" w:rsidP="00922B1F">
    <w:pPr>
      <w:pStyle w:val="Nagwek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535E" w14:textId="77777777" w:rsidR="00792BAD" w:rsidRPr="00B913EA" w:rsidRDefault="00792BAD" w:rsidP="007154F9">
    <w:pPr>
      <w:tabs>
        <w:tab w:val="right" w:pos="8844"/>
      </w:tabs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PAGE   \* MERGEFORMAT </w:instrText>
    </w:r>
    <w:r>
      <w:rPr>
        <w:rFonts w:ascii="Palatino Linotype" w:hAnsi="Palatino Linotype"/>
        <w:sz w:val="16"/>
      </w:rPr>
      <w:fldChar w:fldCharType="separate"/>
    </w:r>
    <w:r>
      <w:rPr>
        <w:rFonts w:ascii="Palatino Linotype" w:hAnsi="Palatino Linotype"/>
        <w:noProof/>
        <w:sz w:val="16"/>
      </w:rPr>
      <w:t>3</w:t>
    </w:r>
    <w:r>
      <w:rPr>
        <w:rFonts w:ascii="Palatino Linotype" w:hAnsi="Palatino Linotype"/>
        <w:sz w:val="16"/>
      </w:rPr>
      <w:fldChar w:fldCharType="end"/>
    </w:r>
    <w:r>
      <w:rPr>
        <w:rFonts w:ascii="Palatino Linotype" w:hAnsi="Palatino Linotype"/>
        <w:sz w:val="16"/>
      </w:rPr>
      <w:t xml:space="preserve"> of </w:t>
    </w: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NUMPAGES   \* MERGEFORMAT </w:instrText>
    </w:r>
    <w:r>
      <w:rPr>
        <w:rFonts w:ascii="Palatino Linotype" w:hAnsi="Palatino Linotype"/>
        <w:sz w:val="16"/>
      </w:rPr>
      <w:fldChar w:fldCharType="separate"/>
    </w:r>
    <w:r>
      <w:rPr>
        <w:rFonts w:ascii="Palatino Linotype" w:hAnsi="Palatino Linotype"/>
        <w:noProof/>
        <w:sz w:val="16"/>
      </w:rPr>
      <w:t>3</w:t>
    </w:r>
    <w:r>
      <w:rPr>
        <w:rFonts w:ascii="Palatino Linotype" w:hAnsi="Palatino Linotype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1796"/>
      <w:gridCol w:w="2990"/>
      <w:gridCol w:w="2126"/>
      <w:gridCol w:w="2072"/>
    </w:tblGrid>
    <w:tr w:rsidR="00792BAD" w:rsidRPr="00394B55" w14:paraId="1A50653A" w14:textId="77777777" w:rsidTr="009A7B9F">
      <w:tc>
        <w:tcPr>
          <w:tcW w:w="1796" w:type="dxa"/>
        </w:tcPr>
        <w:p w14:paraId="1CCC0146" w14:textId="77777777" w:rsidR="00792BAD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</w:rPr>
          </w:pPr>
          <w:r w:rsidRPr="007A39D4">
            <w:rPr>
              <w:i w:val="0"/>
              <w:noProof/>
              <w:lang w:val="pl-PL" w:eastAsia="pl-PL"/>
            </w:rPr>
            <w:drawing>
              <wp:inline distT="0" distB="0" distL="0" distR="0" wp14:anchorId="43100D1F" wp14:editId="59D4315B">
                <wp:extent cx="906780" cy="1203960"/>
                <wp:effectExtent l="0" t="0" r="0" b="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8" w:type="dxa"/>
          <w:gridSpan w:val="3"/>
          <w:vAlign w:val="center"/>
        </w:tcPr>
        <w:p w14:paraId="59599ACB" w14:textId="77777777" w:rsidR="00792BAD" w:rsidRPr="009A7B9F" w:rsidRDefault="00792BAD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/>
              <w:i w:val="0"/>
              <w:sz w:val="28"/>
              <w:lang w:val="pl-PL"/>
            </w:rPr>
          </w:pPr>
          <w:r w:rsidRPr="009A7B9F">
            <w:rPr>
              <w:b/>
              <w:i w:val="0"/>
              <w:sz w:val="28"/>
              <w:lang w:val="pl-PL"/>
            </w:rPr>
            <w:t>Laboratorium</w:t>
          </w:r>
        </w:p>
        <w:p w14:paraId="10686385" w14:textId="77777777" w:rsidR="00394B55" w:rsidRDefault="00394B55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/>
              <w:i w:val="0"/>
              <w:sz w:val="28"/>
              <w:lang w:val="pl-PL"/>
            </w:rPr>
          </w:pPr>
          <w:r>
            <w:rPr>
              <w:b/>
              <w:i w:val="0"/>
              <w:sz w:val="28"/>
              <w:lang w:val="pl-PL"/>
            </w:rPr>
            <w:t xml:space="preserve">Miernictwa Wysokonapięciowego </w:t>
          </w:r>
        </w:p>
        <w:p w14:paraId="405A7EFE" w14:textId="144AB0AC" w:rsidR="00792BAD" w:rsidRDefault="00394B55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/>
              <w:i w:val="0"/>
              <w:sz w:val="28"/>
              <w:lang w:val="pl-PL"/>
            </w:rPr>
          </w:pPr>
          <w:r>
            <w:rPr>
              <w:b/>
              <w:i w:val="0"/>
              <w:sz w:val="28"/>
              <w:lang w:val="pl-PL"/>
            </w:rPr>
            <w:t>i Diagnostyki Izolacji</w:t>
          </w:r>
        </w:p>
        <w:p w14:paraId="48D8CD09" w14:textId="77777777" w:rsidR="00792BAD" w:rsidRPr="00546B77" w:rsidRDefault="00792BAD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Cs/>
              <w:i w:val="0"/>
              <w:szCs w:val="20"/>
              <w:lang w:val="pl-PL"/>
            </w:rPr>
          </w:pPr>
          <w:r w:rsidRPr="00546B77">
            <w:rPr>
              <w:bCs/>
              <w:i w:val="0"/>
              <w:szCs w:val="20"/>
              <w:lang w:val="pl-PL"/>
            </w:rPr>
            <w:t>Wydział Elektryczny</w:t>
          </w:r>
        </w:p>
        <w:p w14:paraId="5D9438B5" w14:textId="0014E79E" w:rsidR="00792BAD" w:rsidRPr="00546B77" w:rsidRDefault="00792BAD" w:rsidP="009A7B9F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bCs/>
              <w:i w:val="0"/>
              <w:sz w:val="28"/>
              <w:lang w:val="pl-PL"/>
            </w:rPr>
          </w:pPr>
          <w:r w:rsidRPr="00546B77">
            <w:rPr>
              <w:bCs/>
              <w:i w:val="0"/>
              <w:sz w:val="20"/>
              <w:szCs w:val="16"/>
              <w:lang w:val="pl-PL"/>
            </w:rPr>
            <w:t xml:space="preserve">Katedra </w:t>
          </w:r>
          <w:r w:rsidR="00B27D9E">
            <w:rPr>
              <w:bCs/>
              <w:i w:val="0"/>
              <w:sz w:val="20"/>
              <w:szCs w:val="16"/>
              <w:lang w:val="pl-PL"/>
            </w:rPr>
            <w:t>Podstaw Elektrotechniki i Elektrotechnologii</w:t>
          </w:r>
        </w:p>
      </w:tc>
    </w:tr>
    <w:tr w:rsidR="00792BAD" w:rsidRPr="00394B55" w14:paraId="74577E9E" w14:textId="77777777" w:rsidTr="005573DB">
      <w:tc>
        <w:tcPr>
          <w:tcW w:w="8984" w:type="dxa"/>
          <w:gridSpan w:val="4"/>
        </w:tcPr>
        <w:p w14:paraId="19482403" w14:textId="77777777" w:rsidR="00792BAD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Tytuł ćwiczenia:</w:t>
          </w:r>
        </w:p>
        <w:p w14:paraId="59DFA8B1" w14:textId="2645A79F" w:rsidR="00792BAD" w:rsidRPr="0068134D" w:rsidRDefault="00394B55" w:rsidP="0068134D">
          <w:pPr>
            <w:spacing w:line="240" w:lineRule="auto"/>
            <w:jc w:val="left"/>
            <w:rPr>
              <w:rFonts w:ascii="Palatino Linotype" w:hAnsi="Palatino Linotype" w:cs="Segoe UI"/>
              <w:color w:val="auto"/>
              <w:szCs w:val="24"/>
              <w:lang w:val="pl-PL" w:eastAsia="pl-PL"/>
            </w:rPr>
          </w:pPr>
          <w:r>
            <w:rPr>
              <w:rFonts w:ascii="Palatino Linotype" w:hAnsi="Palatino Linotype" w:cs="Segoe UI"/>
              <w:color w:val="auto"/>
              <w:szCs w:val="24"/>
              <w:lang w:val="pl-PL" w:eastAsia="pl-PL"/>
            </w:rPr>
            <w:t xml:space="preserve">Wyznaczanie współczynników skali układów pomiarowych wysokiego napięcia przemiennego 50 </w:t>
          </w:r>
          <w:proofErr w:type="spellStart"/>
          <w:r>
            <w:rPr>
              <w:rFonts w:ascii="Palatino Linotype" w:hAnsi="Palatino Linotype" w:cs="Segoe UI"/>
              <w:color w:val="auto"/>
              <w:szCs w:val="24"/>
              <w:lang w:val="pl-PL" w:eastAsia="pl-PL"/>
            </w:rPr>
            <w:t>Hz</w:t>
          </w:r>
          <w:proofErr w:type="spellEnd"/>
        </w:p>
      </w:tc>
    </w:tr>
    <w:tr w:rsidR="00792BAD" w:rsidRPr="007A39D4" w14:paraId="32BB30B0" w14:textId="77777777" w:rsidTr="00EF38C5">
      <w:trPr>
        <w:trHeight w:val="797"/>
      </w:trPr>
      <w:tc>
        <w:tcPr>
          <w:tcW w:w="4786" w:type="dxa"/>
          <w:gridSpan w:val="2"/>
          <w:vMerge w:val="restart"/>
        </w:tcPr>
        <w:p w14:paraId="5BA157F3" w14:textId="7D64222A" w:rsidR="00792BAD" w:rsidRPr="007A39D4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Grupa A:</w:t>
          </w:r>
        </w:p>
        <w:p w14:paraId="57B7FC7D" w14:textId="29FC3E8F" w:rsidR="00792BAD" w:rsidRPr="00394B55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u w:val="single"/>
              <w:lang w:val="pl-PL"/>
            </w:rPr>
          </w:pPr>
          <w:r w:rsidRPr="00394B55">
            <w:rPr>
              <w:i w:val="0"/>
              <w:u w:val="single"/>
              <w:lang w:val="pl-PL"/>
            </w:rPr>
            <w:t>Kacper Borucki (sprawozdanie)</w:t>
          </w:r>
        </w:p>
        <w:p w14:paraId="6E4CF1C9" w14:textId="26E7BF63" w:rsidR="00394B55" w:rsidRDefault="00394B55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Krystian Kapral</w:t>
          </w:r>
        </w:p>
        <w:p w14:paraId="4CF8C984" w14:textId="6ED14B91" w:rsidR="00B27D9E" w:rsidRPr="0097378A" w:rsidRDefault="00B27D9E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 w:rsidRPr="0097378A">
            <w:rPr>
              <w:i w:val="0"/>
              <w:lang w:val="pl-PL"/>
            </w:rPr>
            <w:t>Michał Kołodyński</w:t>
          </w:r>
        </w:p>
        <w:p w14:paraId="485E20E0" w14:textId="7E154D45" w:rsidR="00792BAD" w:rsidRPr="0097378A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 w:rsidRPr="0097378A">
            <w:rPr>
              <w:i w:val="0"/>
              <w:lang w:val="pl-PL"/>
            </w:rPr>
            <w:t>Robert Leśniak</w:t>
          </w:r>
        </w:p>
        <w:p w14:paraId="1242482E" w14:textId="593C3C34" w:rsidR="00B27D9E" w:rsidRDefault="00B27D9E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 w:rsidRPr="0097378A">
            <w:rPr>
              <w:i w:val="0"/>
              <w:lang w:val="pl-PL"/>
            </w:rPr>
            <w:t xml:space="preserve">Piotr </w:t>
          </w:r>
          <w:proofErr w:type="spellStart"/>
          <w:r w:rsidRPr="0097378A">
            <w:rPr>
              <w:i w:val="0"/>
              <w:lang w:val="pl-PL"/>
            </w:rPr>
            <w:t>Oleszczyszczyn</w:t>
          </w:r>
          <w:proofErr w:type="spellEnd"/>
        </w:p>
        <w:p w14:paraId="76DE6EA1" w14:textId="7AB437E5" w:rsidR="00394B55" w:rsidRPr="0097378A" w:rsidRDefault="00394B55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Paweł Sobczak</w:t>
          </w:r>
        </w:p>
        <w:p w14:paraId="3B69FF1A" w14:textId="27763D2A" w:rsidR="00B27D9E" w:rsidRPr="00E75708" w:rsidRDefault="00B27D9E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de-DE"/>
            </w:rPr>
          </w:pPr>
          <w:r>
            <w:rPr>
              <w:i w:val="0"/>
              <w:lang w:val="de-DE"/>
            </w:rPr>
            <w:t xml:space="preserve">Andrzej </w:t>
          </w:r>
          <w:proofErr w:type="spellStart"/>
          <w:r>
            <w:rPr>
              <w:i w:val="0"/>
              <w:lang w:val="de-DE"/>
            </w:rPr>
            <w:t>Tatarczuk</w:t>
          </w:r>
          <w:proofErr w:type="spellEnd"/>
        </w:p>
      </w:tc>
      <w:tc>
        <w:tcPr>
          <w:tcW w:w="2126" w:type="dxa"/>
          <w:tcBorders>
            <w:bottom w:val="single" w:sz="4" w:space="0" w:color="auto"/>
          </w:tcBorders>
        </w:tcPr>
        <w:p w14:paraId="6C6C6EB8" w14:textId="77777777" w:rsidR="00792BAD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Nr ćwiczenia:</w:t>
          </w:r>
        </w:p>
        <w:p w14:paraId="16E086BA" w14:textId="64B03BDE" w:rsidR="00792BAD" w:rsidRPr="007A39D4" w:rsidRDefault="00394B55" w:rsidP="00EF38C5">
          <w:pPr>
            <w:pStyle w:val="MDPIheaderjournallogo"/>
            <w:tabs>
              <w:tab w:val="left" w:pos="8304"/>
              <w:tab w:val="right" w:pos="8844"/>
            </w:tabs>
            <w:jc w:val="center"/>
            <w:rPr>
              <w:i w:val="0"/>
              <w:lang w:val="pl-PL"/>
            </w:rPr>
          </w:pPr>
          <w:r>
            <w:rPr>
              <w:i w:val="0"/>
              <w:lang w:val="pl-PL"/>
            </w:rPr>
            <w:t>3</w:t>
          </w:r>
        </w:p>
      </w:tc>
      <w:tc>
        <w:tcPr>
          <w:tcW w:w="2072" w:type="dxa"/>
          <w:tcBorders>
            <w:bottom w:val="single" w:sz="4" w:space="0" w:color="auto"/>
          </w:tcBorders>
        </w:tcPr>
        <w:p w14:paraId="3E9D470A" w14:textId="77777777" w:rsidR="00792BAD" w:rsidRPr="007A39D4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Ocena:</w:t>
          </w:r>
        </w:p>
      </w:tc>
    </w:tr>
    <w:tr w:rsidR="00792BAD" w:rsidRPr="007A39D4" w14:paraId="5FC02EC6" w14:textId="77777777" w:rsidTr="007F7693">
      <w:trPr>
        <w:trHeight w:val="668"/>
      </w:trPr>
      <w:tc>
        <w:tcPr>
          <w:tcW w:w="4786" w:type="dxa"/>
          <w:gridSpan w:val="2"/>
          <w:vMerge/>
          <w:tcBorders>
            <w:bottom w:val="single" w:sz="4" w:space="0" w:color="auto"/>
          </w:tcBorders>
        </w:tcPr>
        <w:p w14:paraId="5247928C" w14:textId="77777777" w:rsidR="00792BAD" w:rsidRPr="007A39D4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</w:p>
      </w:tc>
      <w:tc>
        <w:tcPr>
          <w:tcW w:w="2126" w:type="dxa"/>
          <w:tcBorders>
            <w:bottom w:val="single" w:sz="4" w:space="0" w:color="auto"/>
          </w:tcBorders>
        </w:tcPr>
        <w:p w14:paraId="1ECDF10F" w14:textId="77777777" w:rsidR="00792BAD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Data ćwiczenia:</w:t>
          </w:r>
        </w:p>
        <w:p w14:paraId="5DA58B03" w14:textId="7D1E8BF7" w:rsidR="00792BAD" w:rsidRPr="007A39D4" w:rsidRDefault="00394B55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28</w:t>
          </w:r>
          <w:r w:rsidR="00792BAD">
            <w:rPr>
              <w:i w:val="0"/>
              <w:lang w:val="pl-PL"/>
            </w:rPr>
            <w:t>.</w:t>
          </w:r>
          <w:r w:rsidR="00B27D9E">
            <w:rPr>
              <w:i w:val="0"/>
              <w:lang w:val="pl-PL"/>
            </w:rPr>
            <w:t>10</w:t>
          </w:r>
          <w:r w:rsidR="00792BAD">
            <w:rPr>
              <w:i w:val="0"/>
              <w:lang w:val="pl-PL"/>
            </w:rPr>
            <w:t>.2021</w:t>
          </w:r>
        </w:p>
      </w:tc>
      <w:tc>
        <w:tcPr>
          <w:tcW w:w="2072" w:type="dxa"/>
          <w:tcBorders>
            <w:bottom w:val="single" w:sz="4" w:space="0" w:color="auto"/>
          </w:tcBorders>
        </w:tcPr>
        <w:p w14:paraId="32D2E5A1" w14:textId="77777777" w:rsidR="00792BAD" w:rsidRPr="007A39D4" w:rsidRDefault="00792BAD" w:rsidP="007A39D4">
          <w:pPr>
            <w:pStyle w:val="MDPIheaderjournallogo"/>
            <w:tabs>
              <w:tab w:val="left" w:pos="8304"/>
              <w:tab w:val="right" w:pos="8844"/>
            </w:tabs>
            <w:rPr>
              <w:i w:val="0"/>
              <w:lang w:val="pl-PL"/>
            </w:rPr>
          </w:pPr>
          <w:r>
            <w:rPr>
              <w:i w:val="0"/>
              <w:lang w:val="pl-PL"/>
            </w:rPr>
            <w:t>Podpis:</w:t>
          </w:r>
        </w:p>
      </w:tc>
    </w:tr>
  </w:tbl>
  <w:p w14:paraId="6ACF413C" w14:textId="77777777" w:rsidR="00792BAD" w:rsidRPr="007A39D4" w:rsidRDefault="00792BAD" w:rsidP="007A39D4">
    <w:pPr>
      <w:pStyle w:val="MDPIheaderjournallogo"/>
      <w:tabs>
        <w:tab w:val="left" w:pos="8304"/>
        <w:tab w:val="right" w:pos="8844"/>
      </w:tabs>
      <w:rPr>
        <w:i w:val="0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24BD"/>
    <w:multiLevelType w:val="hybridMultilevel"/>
    <w:tmpl w:val="099275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1A03"/>
    <w:multiLevelType w:val="hybridMultilevel"/>
    <w:tmpl w:val="45509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6B74"/>
    <w:multiLevelType w:val="hybridMultilevel"/>
    <w:tmpl w:val="1F1E275C"/>
    <w:lvl w:ilvl="0" w:tplc="360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C58"/>
    <w:multiLevelType w:val="hybridMultilevel"/>
    <w:tmpl w:val="6686B7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D5D0A"/>
    <w:multiLevelType w:val="hybridMultilevel"/>
    <w:tmpl w:val="099275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2154"/>
    <w:multiLevelType w:val="hybridMultilevel"/>
    <w:tmpl w:val="B802C368"/>
    <w:lvl w:ilvl="0" w:tplc="27BA8A72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4EF56DC"/>
    <w:multiLevelType w:val="hybridMultilevel"/>
    <w:tmpl w:val="E0E8D80E"/>
    <w:lvl w:ilvl="0" w:tplc="04150011">
      <w:start w:val="1"/>
      <w:numFmt w:val="decimal"/>
      <w:lvlText w:val="%1)"/>
      <w:lvlJc w:val="left"/>
      <w:pPr>
        <w:ind w:left="1135" w:hanging="360"/>
      </w:pPr>
    </w:lvl>
    <w:lvl w:ilvl="1" w:tplc="04150019" w:tentative="1">
      <w:start w:val="1"/>
      <w:numFmt w:val="lowerLetter"/>
      <w:lvlText w:val="%2."/>
      <w:lvlJc w:val="left"/>
      <w:pPr>
        <w:ind w:left="1855" w:hanging="360"/>
      </w:pPr>
    </w:lvl>
    <w:lvl w:ilvl="2" w:tplc="0415001B" w:tentative="1">
      <w:start w:val="1"/>
      <w:numFmt w:val="lowerRoman"/>
      <w:lvlText w:val="%3."/>
      <w:lvlJc w:val="right"/>
      <w:pPr>
        <w:ind w:left="2575" w:hanging="180"/>
      </w:pPr>
    </w:lvl>
    <w:lvl w:ilvl="3" w:tplc="0415000F" w:tentative="1">
      <w:start w:val="1"/>
      <w:numFmt w:val="decimal"/>
      <w:lvlText w:val="%4."/>
      <w:lvlJc w:val="left"/>
      <w:pPr>
        <w:ind w:left="3295" w:hanging="360"/>
      </w:pPr>
    </w:lvl>
    <w:lvl w:ilvl="4" w:tplc="04150019" w:tentative="1">
      <w:start w:val="1"/>
      <w:numFmt w:val="lowerLetter"/>
      <w:lvlText w:val="%5."/>
      <w:lvlJc w:val="left"/>
      <w:pPr>
        <w:ind w:left="4015" w:hanging="360"/>
      </w:pPr>
    </w:lvl>
    <w:lvl w:ilvl="5" w:tplc="0415001B" w:tentative="1">
      <w:start w:val="1"/>
      <w:numFmt w:val="lowerRoman"/>
      <w:lvlText w:val="%6."/>
      <w:lvlJc w:val="right"/>
      <w:pPr>
        <w:ind w:left="4735" w:hanging="180"/>
      </w:pPr>
    </w:lvl>
    <w:lvl w:ilvl="6" w:tplc="0415000F" w:tentative="1">
      <w:start w:val="1"/>
      <w:numFmt w:val="decimal"/>
      <w:lvlText w:val="%7."/>
      <w:lvlJc w:val="left"/>
      <w:pPr>
        <w:ind w:left="5455" w:hanging="360"/>
      </w:pPr>
    </w:lvl>
    <w:lvl w:ilvl="7" w:tplc="04150019" w:tentative="1">
      <w:start w:val="1"/>
      <w:numFmt w:val="lowerLetter"/>
      <w:lvlText w:val="%8."/>
      <w:lvlJc w:val="left"/>
      <w:pPr>
        <w:ind w:left="6175" w:hanging="360"/>
      </w:pPr>
    </w:lvl>
    <w:lvl w:ilvl="8" w:tplc="0415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7" w15:restartNumberingAfterBreak="0">
    <w:nsid w:val="176E19BF"/>
    <w:multiLevelType w:val="hybridMultilevel"/>
    <w:tmpl w:val="CC3A647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E5437"/>
    <w:multiLevelType w:val="hybridMultilevel"/>
    <w:tmpl w:val="EF0892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2E49"/>
    <w:multiLevelType w:val="hybridMultilevel"/>
    <w:tmpl w:val="CA0A8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E4FD9"/>
    <w:multiLevelType w:val="hybridMultilevel"/>
    <w:tmpl w:val="F59292EE"/>
    <w:lvl w:ilvl="0" w:tplc="3600092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112E7A"/>
    <w:multiLevelType w:val="hybridMultilevel"/>
    <w:tmpl w:val="87F07A76"/>
    <w:lvl w:ilvl="0" w:tplc="360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30849"/>
    <w:multiLevelType w:val="hybridMultilevel"/>
    <w:tmpl w:val="307EB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330FA"/>
    <w:multiLevelType w:val="hybridMultilevel"/>
    <w:tmpl w:val="68B43926"/>
    <w:lvl w:ilvl="0" w:tplc="0415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2FE2E23"/>
    <w:multiLevelType w:val="hybridMultilevel"/>
    <w:tmpl w:val="12301D9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69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0ED0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E2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4B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86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E66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47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ACC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844AF"/>
    <w:multiLevelType w:val="hybridMultilevel"/>
    <w:tmpl w:val="5FAA510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3895056"/>
    <w:multiLevelType w:val="hybridMultilevel"/>
    <w:tmpl w:val="2FB00168"/>
    <w:lvl w:ilvl="0" w:tplc="329AC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F3F76"/>
    <w:multiLevelType w:val="hybridMultilevel"/>
    <w:tmpl w:val="B6ECF4B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096050D"/>
    <w:multiLevelType w:val="hybridMultilevel"/>
    <w:tmpl w:val="F4F6480C"/>
    <w:lvl w:ilvl="0" w:tplc="3600092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7537061E"/>
    <w:multiLevelType w:val="hybridMultilevel"/>
    <w:tmpl w:val="B9D23A6E"/>
    <w:lvl w:ilvl="0" w:tplc="0415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23" w15:restartNumberingAfterBreak="0">
    <w:nsid w:val="76E44993"/>
    <w:multiLevelType w:val="hybridMultilevel"/>
    <w:tmpl w:val="AA424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B189E"/>
    <w:multiLevelType w:val="hybridMultilevel"/>
    <w:tmpl w:val="099275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0"/>
  </w:num>
  <w:num w:numId="7">
    <w:abstractNumId w:val="17"/>
  </w:num>
  <w:num w:numId="8">
    <w:abstractNumId w:val="23"/>
  </w:num>
  <w:num w:numId="9">
    <w:abstractNumId w:val="21"/>
  </w:num>
  <w:num w:numId="10">
    <w:abstractNumId w:val="6"/>
  </w:num>
  <w:num w:numId="11">
    <w:abstractNumId w:val="14"/>
  </w:num>
  <w:num w:numId="12">
    <w:abstractNumId w:val="0"/>
  </w:num>
  <w:num w:numId="13">
    <w:abstractNumId w:val="4"/>
  </w:num>
  <w:num w:numId="14">
    <w:abstractNumId w:val="24"/>
  </w:num>
  <w:num w:numId="15">
    <w:abstractNumId w:val="2"/>
  </w:num>
  <w:num w:numId="16">
    <w:abstractNumId w:val="7"/>
  </w:num>
  <w:num w:numId="17">
    <w:abstractNumId w:val="10"/>
  </w:num>
  <w:num w:numId="18">
    <w:abstractNumId w:val="9"/>
  </w:num>
  <w:num w:numId="19">
    <w:abstractNumId w:val="19"/>
  </w:num>
  <w:num w:numId="20">
    <w:abstractNumId w:val="16"/>
  </w:num>
  <w:num w:numId="21">
    <w:abstractNumId w:val="8"/>
  </w:num>
  <w:num w:numId="22">
    <w:abstractNumId w:val="3"/>
  </w:num>
  <w:num w:numId="23">
    <w:abstractNumId w:val="15"/>
  </w:num>
  <w:num w:numId="24">
    <w:abstractNumId w:val="5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attachedTemplate r:id="rId1"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D4"/>
    <w:rsid w:val="00007E40"/>
    <w:rsid w:val="000213BE"/>
    <w:rsid w:val="00027C6C"/>
    <w:rsid w:val="00033892"/>
    <w:rsid w:val="000339E8"/>
    <w:rsid w:val="0003783F"/>
    <w:rsid w:val="0004194B"/>
    <w:rsid w:val="000438AA"/>
    <w:rsid w:val="00055E67"/>
    <w:rsid w:val="00056691"/>
    <w:rsid w:val="000622DD"/>
    <w:rsid w:val="00070013"/>
    <w:rsid w:val="00082BA6"/>
    <w:rsid w:val="00086D24"/>
    <w:rsid w:val="0009574A"/>
    <w:rsid w:val="000A0F10"/>
    <w:rsid w:val="000A11A0"/>
    <w:rsid w:val="000B18AB"/>
    <w:rsid w:val="000B72D4"/>
    <w:rsid w:val="000C5803"/>
    <w:rsid w:val="000D1AFF"/>
    <w:rsid w:val="000D1D43"/>
    <w:rsid w:val="000D1D7A"/>
    <w:rsid w:val="000D4131"/>
    <w:rsid w:val="000E421D"/>
    <w:rsid w:val="000F52FB"/>
    <w:rsid w:val="0010024F"/>
    <w:rsid w:val="00106A87"/>
    <w:rsid w:val="00110EB0"/>
    <w:rsid w:val="00112BEF"/>
    <w:rsid w:val="001140CF"/>
    <w:rsid w:val="00114648"/>
    <w:rsid w:val="00115B4F"/>
    <w:rsid w:val="00116671"/>
    <w:rsid w:val="001205C9"/>
    <w:rsid w:val="00120E6A"/>
    <w:rsid w:val="00123D9B"/>
    <w:rsid w:val="00135D3D"/>
    <w:rsid w:val="00140EED"/>
    <w:rsid w:val="00142298"/>
    <w:rsid w:val="00146BE2"/>
    <w:rsid w:val="00147BA5"/>
    <w:rsid w:val="00151A32"/>
    <w:rsid w:val="00155350"/>
    <w:rsid w:val="001612C3"/>
    <w:rsid w:val="001714DD"/>
    <w:rsid w:val="001734B6"/>
    <w:rsid w:val="00193659"/>
    <w:rsid w:val="001939D6"/>
    <w:rsid w:val="00194523"/>
    <w:rsid w:val="001A1E09"/>
    <w:rsid w:val="001A652A"/>
    <w:rsid w:val="001A76B9"/>
    <w:rsid w:val="001B2208"/>
    <w:rsid w:val="001B26C9"/>
    <w:rsid w:val="001B4797"/>
    <w:rsid w:val="001B5447"/>
    <w:rsid w:val="001B6104"/>
    <w:rsid w:val="001C341E"/>
    <w:rsid w:val="001C3A2C"/>
    <w:rsid w:val="001C439B"/>
    <w:rsid w:val="001D4675"/>
    <w:rsid w:val="001E12E7"/>
    <w:rsid w:val="001E2296"/>
    <w:rsid w:val="001E29A3"/>
    <w:rsid w:val="001E2AEB"/>
    <w:rsid w:val="001E597E"/>
    <w:rsid w:val="002033F6"/>
    <w:rsid w:val="00213ACF"/>
    <w:rsid w:val="002234D7"/>
    <w:rsid w:val="00234A20"/>
    <w:rsid w:val="00240CAA"/>
    <w:rsid w:val="00270794"/>
    <w:rsid w:val="002749FA"/>
    <w:rsid w:val="002807DA"/>
    <w:rsid w:val="002817E4"/>
    <w:rsid w:val="00284BF6"/>
    <w:rsid w:val="002856B8"/>
    <w:rsid w:val="00285DD2"/>
    <w:rsid w:val="00290BFF"/>
    <w:rsid w:val="00290E63"/>
    <w:rsid w:val="002A441E"/>
    <w:rsid w:val="002A49D8"/>
    <w:rsid w:val="002A648E"/>
    <w:rsid w:val="002A6908"/>
    <w:rsid w:val="002C6A45"/>
    <w:rsid w:val="002D1F19"/>
    <w:rsid w:val="002D4185"/>
    <w:rsid w:val="002D612A"/>
    <w:rsid w:val="002D6E5A"/>
    <w:rsid w:val="002E0E24"/>
    <w:rsid w:val="002E5279"/>
    <w:rsid w:val="002F2EB4"/>
    <w:rsid w:val="002F5B9B"/>
    <w:rsid w:val="002F6E5B"/>
    <w:rsid w:val="002F7C21"/>
    <w:rsid w:val="0030140E"/>
    <w:rsid w:val="00303EFA"/>
    <w:rsid w:val="00305316"/>
    <w:rsid w:val="00314751"/>
    <w:rsid w:val="00316CFB"/>
    <w:rsid w:val="00317FF7"/>
    <w:rsid w:val="00320BAD"/>
    <w:rsid w:val="00321D23"/>
    <w:rsid w:val="00325D7B"/>
    <w:rsid w:val="00326141"/>
    <w:rsid w:val="003454FF"/>
    <w:rsid w:val="00347BAA"/>
    <w:rsid w:val="00347BFA"/>
    <w:rsid w:val="003565DB"/>
    <w:rsid w:val="00361869"/>
    <w:rsid w:val="00363D87"/>
    <w:rsid w:val="003743F1"/>
    <w:rsid w:val="003753D6"/>
    <w:rsid w:val="003753EA"/>
    <w:rsid w:val="00384EAB"/>
    <w:rsid w:val="00392345"/>
    <w:rsid w:val="00392506"/>
    <w:rsid w:val="003933D3"/>
    <w:rsid w:val="003937FD"/>
    <w:rsid w:val="00394B55"/>
    <w:rsid w:val="003B0223"/>
    <w:rsid w:val="003C2263"/>
    <w:rsid w:val="003D1580"/>
    <w:rsid w:val="003D3CFF"/>
    <w:rsid w:val="003D5E21"/>
    <w:rsid w:val="003D7009"/>
    <w:rsid w:val="003E6905"/>
    <w:rsid w:val="00401D30"/>
    <w:rsid w:val="00402D5C"/>
    <w:rsid w:val="004045AE"/>
    <w:rsid w:val="00405838"/>
    <w:rsid w:val="00414845"/>
    <w:rsid w:val="0041487C"/>
    <w:rsid w:val="00421F87"/>
    <w:rsid w:val="00430A25"/>
    <w:rsid w:val="00433351"/>
    <w:rsid w:val="004352CB"/>
    <w:rsid w:val="004354BA"/>
    <w:rsid w:val="0044168C"/>
    <w:rsid w:val="00443AFC"/>
    <w:rsid w:val="00446ACB"/>
    <w:rsid w:val="00454C6B"/>
    <w:rsid w:val="00455B3A"/>
    <w:rsid w:val="004568C4"/>
    <w:rsid w:val="0046469D"/>
    <w:rsid w:val="0046567E"/>
    <w:rsid w:val="00472BCC"/>
    <w:rsid w:val="0047731A"/>
    <w:rsid w:val="004851C7"/>
    <w:rsid w:val="00486F35"/>
    <w:rsid w:val="00487046"/>
    <w:rsid w:val="00493626"/>
    <w:rsid w:val="00494E0B"/>
    <w:rsid w:val="004971DF"/>
    <w:rsid w:val="00497229"/>
    <w:rsid w:val="004B2144"/>
    <w:rsid w:val="004B5F11"/>
    <w:rsid w:val="004D79B5"/>
    <w:rsid w:val="004F2820"/>
    <w:rsid w:val="004F33F3"/>
    <w:rsid w:val="004F4A2F"/>
    <w:rsid w:val="004F5CBB"/>
    <w:rsid w:val="00525FF6"/>
    <w:rsid w:val="00541FA5"/>
    <w:rsid w:val="00546B77"/>
    <w:rsid w:val="00556EB8"/>
    <w:rsid w:val="005573DB"/>
    <w:rsid w:val="00564209"/>
    <w:rsid w:val="00567FA4"/>
    <w:rsid w:val="00570F73"/>
    <w:rsid w:val="0057611E"/>
    <w:rsid w:val="0057714D"/>
    <w:rsid w:val="00580080"/>
    <w:rsid w:val="00581FD3"/>
    <w:rsid w:val="0058327C"/>
    <w:rsid w:val="00583A1E"/>
    <w:rsid w:val="00583F1C"/>
    <w:rsid w:val="00596344"/>
    <w:rsid w:val="005972E8"/>
    <w:rsid w:val="005A61A9"/>
    <w:rsid w:val="005A6936"/>
    <w:rsid w:val="005A7379"/>
    <w:rsid w:val="005B1251"/>
    <w:rsid w:val="005B2AD8"/>
    <w:rsid w:val="005D059B"/>
    <w:rsid w:val="005D2370"/>
    <w:rsid w:val="005E0ED6"/>
    <w:rsid w:val="005E2C13"/>
    <w:rsid w:val="005E64AA"/>
    <w:rsid w:val="005E7EBC"/>
    <w:rsid w:val="005F20E7"/>
    <w:rsid w:val="005F35C9"/>
    <w:rsid w:val="005F3A9B"/>
    <w:rsid w:val="005F7A06"/>
    <w:rsid w:val="00600C94"/>
    <w:rsid w:val="00602973"/>
    <w:rsid w:val="00607D21"/>
    <w:rsid w:val="00622129"/>
    <w:rsid w:val="00627CBE"/>
    <w:rsid w:val="00645908"/>
    <w:rsid w:val="006468A7"/>
    <w:rsid w:val="00660AD4"/>
    <w:rsid w:val="00670931"/>
    <w:rsid w:val="00671D70"/>
    <w:rsid w:val="00676952"/>
    <w:rsid w:val="006802E6"/>
    <w:rsid w:val="0068134D"/>
    <w:rsid w:val="00683DC6"/>
    <w:rsid w:val="00690D0D"/>
    <w:rsid w:val="00692393"/>
    <w:rsid w:val="00692B57"/>
    <w:rsid w:val="0069636B"/>
    <w:rsid w:val="00696FBD"/>
    <w:rsid w:val="00697607"/>
    <w:rsid w:val="006976CA"/>
    <w:rsid w:val="006B13A9"/>
    <w:rsid w:val="006B767A"/>
    <w:rsid w:val="006C08F3"/>
    <w:rsid w:val="006D0E64"/>
    <w:rsid w:val="006D54DE"/>
    <w:rsid w:val="006D5C91"/>
    <w:rsid w:val="006E46F3"/>
    <w:rsid w:val="006E4E52"/>
    <w:rsid w:val="006E5A12"/>
    <w:rsid w:val="006F1202"/>
    <w:rsid w:val="006F3F9B"/>
    <w:rsid w:val="0070364C"/>
    <w:rsid w:val="00703FEC"/>
    <w:rsid w:val="0070473A"/>
    <w:rsid w:val="00705A9E"/>
    <w:rsid w:val="00713515"/>
    <w:rsid w:val="007154F9"/>
    <w:rsid w:val="007425D9"/>
    <w:rsid w:val="007433AA"/>
    <w:rsid w:val="00751E66"/>
    <w:rsid w:val="007531CB"/>
    <w:rsid w:val="00757EB4"/>
    <w:rsid w:val="00766E28"/>
    <w:rsid w:val="007707A8"/>
    <w:rsid w:val="0077139F"/>
    <w:rsid w:val="00772B29"/>
    <w:rsid w:val="00775768"/>
    <w:rsid w:val="007825D3"/>
    <w:rsid w:val="00790197"/>
    <w:rsid w:val="00792BAD"/>
    <w:rsid w:val="00795B20"/>
    <w:rsid w:val="007A10E2"/>
    <w:rsid w:val="007A39D4"/>
    <w:rsid w:val="007A5668"/>
    <w:rsid w:val="007B72DF"/>
    <w:rsid w:val="007C2C40"/>
    <w:rsid w:val="007E0B48"/>
    <w:rsid w:val="007E3DCB"/>
    <w:rsid w:val="007F3A5E"/>
    <w:rsid w:val="007F7155"/>
    <w:rsid w:val="007F7693"/>
    <w:rsid w:val="0080066D"/>
    <w:rsid w:val="008010C2"/>
    <w:rsid w:val="00803041"/>
    <w:rsid w:val="0080795D"/>
    <w:rsid w:val="008131ED"/>
    <w:rsid w:val="00813558"/>
    <w:rsid w:val="00813755"/>
    <w:rsid w:val="00813DAB"/>
    <w:rsid w:val="00815090"/>
    <w:rsid w:val="00821E52"/>
    <w:rsid w:val="00827300"/>
    <w:rsid w:val="0083730C"/>
    <w:rsid w:val="008410F7"/>
    <w:rsid w:val="0084243F"/>
    <w:rsid w:val="008561B2"/>
    <w:rsid w:val="0086044C"/>
    <w:rsid w:val="00864983"/>
    <w:rsid w:val="0087423A"/>
    <w:rsid w:val="00881E17"/>
    <w:rsid w:val="00882902"/>
    <w:rsid w:val="00896C61"/>
    <w:rsid w:val="008A5C46"/>
    <w:rsid w:val="008A7E4E"/>
    <w:rsid w:val="008B7159"/>
    <w:rsid w:val="008C088C"/>
    <w:rsid w:val="008C2739"/>
    <w:rsid w:val="008C28BE"/>
    <w:rsid w:val="008C42AE"/>
    <w:rsid w:val="008E0834"/>
    <w:rsid w:val="008E7A9A"/>
    <w:rsid w:val="008E7D98"/>
    <w:rsid w:val="008F0A4F"/>
    <w:rsid w:val="008F0DCA"/>
    <w:rsid w:val="008F0F8F"/>
    <w:rsid w:val="008F3FBB"/>
    <w:rsid w:val="008F7826"/>
    <w:rsid w:val="00905FF9"/>
    <w:rsid w:val="00922B1F"/>
    <w:rsid w:val="00925D8F"/>
    <w:rsid w:val="0092686D"/>
    <w:rsid w:val="00942031"/>
    <w:rsid w:val="00947C75"/>
    <w:rsid w:val="009508FC"/>
    <w:rsid w:val="0095491B"/>
    <w:rsid w:val="00957FA5"/>
    <w:rsid w:val="00967473"/>
    <w:rsid w:val="0097378A"/>
    <w:rsid w:val="00981F53"/>
    <w:rsid w:val="009839B5"/>
    <w:rsid w:val="009A1B03"/>
    <w:rsid w:val="009A4DCA"/>
    <w:rsid w:val="009A7B9F"/>
    <w:rsid w:val="009B47A9"/>
    <w:rsid w:val="009C2A35"/>
    <w:rsid w:val="009C69D7"/>
    <w:rsid w:val="009D1518"/>
    <w:rsid w:val="009D5330"/>
    <w:rsid w:val="009D6A77"/>
    <w:rsid w:val="009E5DCB"/>
    <w:rsid w:val="009F1E5E"/>
    <w:rsid w:val="009F2CA0"/>
    <w:rsid w:val="009F2FBB"/>
    <w:rsid w:val="009F67AA"/>
    <w:rsid w:val="009F70E6"/>
    <w:rsid w:val="009F7E1D"/>
    <w:rsid w:val="00A01F2B"/>
    <w:rsid w:val="00A11E88"/>
    <w:rsid w:val="00A12FD1"/>
    <w:rsid w:val="00A2467B"/>
    <w:rsid w:val="00A24B22"/>
    <w:rsid w:val="00A27DF7"/>
    <w:rsid w:val="00A40599"/>
    <w:rsid w:val="00A40886"/>
    <w:rsid w:val="00A47773"/>
    <w:rsid w:val="00A74336"/>
    <w:rsid w:val="00A74A5C"/>
    <w:rsid w:val="00A812AE"/>
    <w:rsid w:val="00A9241A"/>
    <w:rsid w:val="00A97164"/>
    <w:rsid w:val="00AA3D46"/>
    <w:rsid w:val="00AA5A76"/>
    <w:rsid w:val="00AA7176"/>
    <w:rsid w:val="00AB5100"/>
    <w:rsid w:val="00AD3CA6"/>
    <w:rsid w:val="00AE018F"/>
    <w:rsid w:val="00AE32BD"/>
    <w:rsid w:val="00AF511D"/>
    <w:rsid w:val="00AF5482"/>
    <w:rsid w:val="00B04D7A"/>
    <w:rsid w:val="00B05BFC"/>
    <w:rsid w:val="00B13F7D"/>
    <w:rsid w:val="00B27D9E"/>
    <w:rsid w:val="00B33F4C"/>
    <w:rsid w:val="00B37231"/>
    <w:rsid w:val="00B402AB"/>
    <w:rsid w:val="00B4093F"/>
    <w:rsid w:val="00B4096A"/>
    <w:rsid w:val="00B43755"/>
    <w:rsid w:val="00B449E8"/>
    <w:rsid w:val="00B5718A"/>
    <w:rsid w:val="00B5758C"/>
    <w:rsid w:val="00B624A7"/>
    <w:rsid w:val="00B64D10"/>
    <w:rsid w:val="00B676EB"/>
    <w:rsid w:val="00B70C0F"/>
    <w:rsid w:val="00B752BC"/>
    <w:rsid w:val="00B76A8D"/>
    <w:rsid w:val="00B7762E"/>
    <w:rsid w:val="00B85566"/>
    <w:rsid w:val="00B865DB"/>
    <w:rsid w:val="00B90311"/>
    <w:rsid w:val="00B96104"/>
    <w:rsid w:val="00BB33DB"/>
    <w:rsid w:val="00BB67D1"/>
    <w:rsid w:val="00BC5B8B"/>
    <w:rsid w:val="00BC6C85"/>
    <w:rsid w:val="00BC76EA"/>
    <w:rsid w:val="00BD283D"/>
    <w:rsid w:val="00BF6B4E"/>
    <w:rsid w:val="00BF7ED1"/>
    <w:rsid w:val="00C10059"/>
    <w:rsid w:val="00C10EEC"/>
    <w:rsid w:val="00C14295"/>
    <w:rsid w:val="00C144B9"/>
    <w:rsid w:val="00C2154E"/>
    <w:rsid w:val="00C320A0"/>
    <w:rsid w:val="00C326B9"/>
    <w:rsid w:val="00C36270"/>
    <w:rsid w:val="00C40636"/>
    <w:rsid w:val="00C40D67"/>
    <w:rsid w:val="00C4708D"/>
    <w:rsid w:val="00C54CFC"/>
    <w:rsid w:val="00C54EA0"/>
    <w:rsid w:val="00C56649"/>
    <w:rsid w:val="00C56BE0"/>
    <w:rsid w:val="00C5739B"/>
    <w:rsid w:val="00C730E2"/>
    <w:rsid w:val="00C748F4"/>
    <w:rsid w:val="00C74E88"/>
    <w:rsid w:val="00C90DB2"/>
    <w:rsid w:val="00C95A9A"/>
    <w:rsid w:val="00C96372"/>
    <w:rsid w:val="00CA4DB4"/>
    <w:rsid w:val="00CB6A0E"/>
    <w:rsid w:val="00CC0145"/>
    <w:rsid w:val="00CC1028"/>
    <w:rsid w:val="00CC2F72"/>
    <w:rsid w:val="00CD0E05"/>
    <w:rsid w:val="00CD6BFE"/>
    <w:rsid w:val="00CE059F"/>
    <w:rsid w:val="00D04543"/>
    <w:rsid w:val="00D12881"/>
    <w:rsid w:val="00D12980"/>
    <w:rsid w:val="00D21EA4"/>
    <w:rsid w:val="00D27233"/>
    <w:rsid w:val="00D4207A"/>
    <w:rsid w:val="00D452FB"/>
    <w:rsid w:val="00D45955"/>
    <w:rsid w:val="00D45EF6"/>
    <w:rsid w:val="00D51A7B"/>
    <w:rsid w:val="00D5313E"/>
    <w:rsid w:val="00D56E8F"/>
    <w:rsid w:val="00D70D68"/>
    <w:rsid w:val="00D74BB2"/>
    <w:rsid w:val="00D80613"/>
    <w:rsid w:val="00D81F88"/>
    <w:rsid w:val="00D84C38"/>
    <w:rsid w:val="00D87BF7"/>
    <w:rsid w:val="00D900D3"/>
    <w:rsid w:val="00DA32C7"/>
    <w:rsid w:val="00DA453D"/>
    <w:rsid w:val="00DB3AD2"/>
    <w:rsid w:val="00DB45B7"/>
    <w:rsid w:val="00DB4F37"/>
    <w:rsid w:val="00DB7EFE"/>
    <w:rsid w:val="00DC351F"/>
    <w:rsid w:val="00DC7F4C"/>
    <w:rsid w:val="00DE1473"/>
    <w:rsid w:val="00DE31D2"/>
    <w:rsid w:val="00DE34CD"/>
    <w:rsid w:val="00DE437F"/>
    <w:rsid w:val="00DE7C0E"/>
    <w:rsid w:val="00DF4FBF"/>
    <w:rsid w:val="00E03521"/>
    <w:rsid w:val="00E048FA"/>
    <w:rsid w:val="00E06A10"/>
    <w:rsid w:val="00E1198A"/>
    <w:rsid w:val="00E1214E"/>
    <w:rsid w:val="00E125B4"/>
    <w:rsid w:val="00E17A26"/>
    <w:rsid w:val="00E24431"/>
    <w:rsid w:val="00E24722"/>
    <w:rsid w:val="00E2625C"/>
    <w:rsid w:val="00E2660C"/>
    <w:rsid w:val="00E26A38"/>
    <w:rsid w:val="00E3773A"/>
    <w:rsid w:val="00E4516A"/>
    <w:rsid w:val="00E47DC7"/>
    <w:rsid w:val="00E75708"/>
    <w:rsid w:val="00E82577"/>
    <w:rsid w:val="00E8311E"/>
    <w:rsid w:val="00E83281"/>
    <w:rsid w:val="00E847BE"/>
    <w:rsid w:val="00E90B4B"/>
    <w:rsid w:val="00EA40C0"/>
    <w:rsid w:val="00EA5287"/>
    <w:rsid w:val="00EA58A4"/>
    <w:rsid w:val="00EB12AA"/>
    <w:rsid w:val="00EB56FC"/>
    <w:rsid w:val="00EC1818"/>
    <w:rsid w:val="00EC3888"/>
    <w:rsid w:val="00EC4450"/>
    <w:rsid w:val="00ED50FF"/>
    <w:rsid w:val="00EF38C5"/>
    <w:rsid w:val="00F0545F"/>
    <w:rsid w:val="00F14CEF"/>
    <w:rsid w:val="00F21AA7"/>
    <w:rsid w:val="00F223DD"/>
    <w:rsid w:val="00F30188"/>
    <w:rsid w:val="00F34874"/>
    <w:rsid w:val="00F35F37"/>
    <w:rsid w:val="00F36BB8"/>
    <w:rsid w:val="00F43BCC"/>
    <w:rsid w:val="00F4583E"/>
    <w:rsid w:val="00F47C26"/>
    <w:rsid w:val="00F52D08"/>
    <w:rsid w:val="00F62B01"/>
    <w:rsid w:val="00F64B71"/>
    <w:rsid w:val="00F6595B"/>
    <w:rsid w:val="00F767BA"/>
    <w:rsid w:val="00F904D1"/>
    <w:rsid w:val="00F9449A"/>
    <w:rsid w:val="00F94D63"/>
    <w:rsid w:val="00FA2221"/>
    <w:rsid w:val="00FB4C3C"/>
    <w:rsid w:val="00FB62CB"/>
    <w:rsid w:val="00FC0982"/>
    <w:rsid w:val="00FC09C4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49121"/>
  <w15:docId w15:val="{497BEDC4-321D-45D6-919D-82045266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2AB"/>
    <w:pPr>
      <w:spacing w:line="340" w:lineRule="atLeast"/>
      <w:jc w:val="both"/>
    </w:pPr>
    <w:rPr>
      <w:rFonts w:ascii="Times New Roman" w:eastAsia="Times New Roman" w:hAnsi="Times New Roman"/>
      <w:color w:val="000000"/>
      <w:sz w:val="24"/>
      <w:lang w:val="en-US" w:eastAsia="de-D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6B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B402AB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B402AB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val="en-US"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B402AB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Normalny"/>
    <w:qFormat/>
    <w:rsid w:val="00B402AB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B402AB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B402AB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Normalny"/>
    <w:qFormat/>
    <w:rsid w:val="00B402AB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B402AB"/>
    <w:pPr>
      <w:pBdr>
        <w:bottom w:val="single" w:sz="6" w:space="1" w:color="auto"/>
      </w:pBdr>
      <w:ind w:firstLine="0"/>
    </w:pPr>
    <w:rPr>
      <w:snapToGrid/>
      <w:szCs w:val="24"/>
    </w:rPr>
  </w:style>
  <w:style w:type="paragraph" w:styleId="Stopka">
    <w:name w:val="footer"/>
    <w:basedOn w:val="Normalny"/>
    <w:link w:val="StopkaZnak"/>
    <w:uiPriority w:val="99"/>
    <w:rsid w:val="00B402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StopkaZnak">
    <w:name w:val="Stopka Znak"/>
    <w:link w:val="Stopka"/>
    <w:uiPriority w:val="99"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styleId="Nagwek">
    <w:name w:val="header"/>
    <w:basedOn w:val="Normalny"/>
    <w:link w:val="NagwekZnak"/>
    <w:uiPriority w:val="99"/>
    <w:rsid w:val="00B4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NagwekZnak">
    <w:name w:val="Nagłówek Znak"/>
    <w:link w:val="Nagwek"/>
    <w:uiPriority w:val="99"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B402AB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val="en-US" w:eastAsia="de-CH"/>
    </w:rPr>
  </w:style>
  <w:style w:type="paragraph" w:customStyle="1" w:styleId="MDPI32textnoindent">
    <w:name w:val="MDPI_3.2_text_no_indent"/>
    <w:basedOn w:val="MDPI31text"/>
    <w:qFormat/>
    <w:rsid w:val="00B402AB"/>
    <w:pPr>
      <w:ind w:firstLine="0"/>
    </w:pPr>
  </w:style>
  <w:style w:type="paragraph" w:customStyle="1" w:styleId="MDPI33textspaceafter">
    <w:name w:val="MDPI_3.3_text_space_after"/>
    <w:basedOn w:val="MDPI31text"/>
    <w:qFormat/>
    <w:rsid w:val="00B402AB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B402AB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B402AB"/>
    <w:pPr>
      <w:spacing w:after="120"/>
    </w:pPr>
  </w:style>
  <w:style w:type="paragraph" w:customStyle="1" w:styleId="MDPI36textafterlist">
    <w:name w:val="MDPI_3.6_text_after_list"/>
    <w:basedOn w:val="MDPI31text"/>
    <w:qFormat/>
    <w:rsid w:val="00B402AB"/>
    <w:pPr>
      <w:spacing w:before="120"/>
    </w:pPr>
  </w:style>
  <w:style w:type="paragraph" w:customStyle="1" w:styleId="MDPI37itemize">
    <w:name w:val="MDPI_3.7_itemize"/>
    <w:basedOn w:val="MDPI31text"/>
    <w:qFormat/>
    <w:rsid w:val="00B402AB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B402AB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B402AB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B402AB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B402AB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val="en-US" w:eastAsia="de-DE" w:bidi="en-US"/>
    </w:rPr>
  </w:style>
  <w:style w:type="paragraph" w:customStyle="1" w:styleId="MDPI41tablecaption">
    <w:name w:val="MDPI_4.1_table_caption"/>
    <w:basedOn w:val="MDPI62Acknowledgments"/>
    <w:qFormat/>
    <w:rsid w:val="00B402AB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B865D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B402AB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B402AB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B402AB"/>
    <w:pPr>
      <w:jc w:val="center"/>
    </w:pPr>
    <w:rPr>
      <w:rFonts w:ascii="Palatino Linotype" w:eastAsia="Times New Roman" w:hAnsi="Palatino Linotype"/>
      <w:snapToGrid w:val="0"/>
      <w:color w:val="000000"/>
      <w:sz w:val="24"/>
      <w:lang w:val="en-US" w:eastAsia="de-DE" w:bidi="en-US"/>
    </w:rPr>
  </w:style>
  <w:style w:type="paragraph" w:customStyle="1" w:styleId="MDPI61Supplementary">
    <w:name w:val="MDPI_6.1_Supplementary"/>
    <w:basedOn w:val="MDPI62Acknowledgments"/>
    <w:qFormat/>
    <w:rsid w:val="00B402AB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B402AB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B402AB"/>
  </w:style>
  <w:style w:type="paragraph" w:customStyle="1" w:styleId="MDPI81theorem">
    <w:name w:val="MDPI_8.1_theorem"/>
    <w:basedOn w:val="MDPI32textnoindent"/>
    <w:qFormat/>
    <w:rsid w:val="00B402AB"/>
    <w:rPr>
      <w:i/>
    </w:rPr>
  </w:style>
  <w:style w:type="paragraph" w:customStyle="1" w:styleId="MDPI82proof">
    <w:name w:val="MDPI_8.2_proof"/>
    <w:basedOn w:val="MDPI32textnoindent"/>
    <w:qFormat/>
    <w:rsid w:val="00B402AB"/>
  </w:style>
  <w:style w:type="paragraph" w:customStyle="1" w:styleId="MDPIfooterfirstpage">
    <w:name w:val="MDPI_footer_firstpage"/>
    <w:basedOn w:val="Normalny"/>
    <w:qFormat/>
    <w:rsid w:val="00B402AB"/>
    <w:pPr>
      <w:tabs>
        <w:tab w:val="right" w:pos="8845"/>
      </w:tabs>
      <w:adjustRightInd w:val="0"/>
      <w:snapToGrid w:val="0"/>
      <w:spacing w:before="120" w:line="160" w:lineRule="exact"/>
      <w:jc w:val="left"/>
    </w:pPr>
    <w:rPr>
      <w:rFonts w:ascii="Palatino Linotype" w:hAnsi="Palatino Linotype"/>
      <w:color w:val="auto"/>
      <w:sz w:val="16"/>
    </w:rPr>
  </w:style>
  <w:style w:type="paragraph" w:customStyle="1" w:styleId="MDPI31text">
    <w:name w:val="MDPI_3.1_text"/>
    <w:qFormat/>
    <w:rsid w:val="00B402AB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MDPI23heading3">
    <w:name w:val="MDPI_2.3_heading3"/>
    <w:basedOn w:val="MDPI31text"/>
    <w:qFormat/>
    <w:rsid w:val="00B402AB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B402AB"/>
    <w:pPr>
      <w:outlineLvl w:val="0"/>
    </w:pPr>
    <w:rPr>
      <w:b/>
    </w:rPr>
  </w:style>
  <w:style w:type="paragraph" w:customStyle="1" w:styleId="MDPI22heading2">
    <w:name w:val="MDPI_2.2_heading2"/>
    <w:basedOn w:val="Normalny"/>
    <w:qFormat/>
    <w:rsid w:val="00B402AB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jc w:val="lef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B402AB"/>
    <w:pPr>
      <w:numPr>
        <w:numId w:val="3"/>
      </w:numPr>
      <w:spacing w:before="0" w:line="260" w:lineRule="atLeast"/>
      <w:ind w:left="425" w:hanging="425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02AB"/>
    <w:pPr>
      <w:spacing w:line="240" w:lineRule="auto"/>
    </w:pPr>
    <w:rPr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B402AB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Numerwiersza">
    <w:name w:val="line number"/>
    <w:basedOn w:val="Domylnaczcionkaakapitu"/>
    <w:uiPriority w:val="99"/>
    <w:semiHidden/>
    <w:unhideWhenUsed/>
    <w:rsid w:val="00B402AB"/>
  </w:style>
  <w:style w:type="table" w:customStyle="1" w:styleId="MDPI41threelinetable">
    <w:name w:val="MDPI_4.1_three_line_table"/>
    <w:basedOn w:val="Standardowy"/>
    <w:uiPriority w:val="99"/>
    <w:rsid w:val="00B865DB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Calibri Light" w:hAnsi="Calibri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ipercze">
    <w:name w:val="Hyperlink"/>
    <w:uiPriority w:val="99"/>
    <w:unhideWhenUsed/>
    <w:rsid w:val="00AF511D"/>
    <w:rPr>
      <w:color w:val="0563C1"/>
      <w:u w:val="single"/>
    </w:rPr>
  </w:style>
  <w:style w:type="character" w:customStyle="1" w:styleId="Nierozpoznanawzmianka1">
    <w:name w:val="Nierozpoznana wzmianka1"/>
    <w:uiPriority w:val="99"/>
    <w:semiHidden/>
    <w:unhideWhenUsed/>
    <w:rsid w:val="00FB62CB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84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wykatabela41">
    <w:name w:val="Zwykła tabela 41"/>
    <w:basedOn w:val="Standardowy"/>
    <w:uiPriority w:val="44"/>
    <w:rsid w:val="00E847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kapitzlist">
    <w:name w:val="List Paragraph"/>
    <w:basedOn w:val="Normalny"/>
    <w:uiPriority w:val="34"/>
    <w:qFormat/>
    <w:rsid w:val="006E4E5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2FBB"/>
    <w:rPr>
      <w:color w:val="808080"/>
    </w:rPr>
  </w:style>
  <w:style w:type="paragraph" w:styleId="NormalnyWeb">
    <w:name w:val="Normal (Web)"/>
    <w:basedOn w:val="Normalny"/>
    <w:uiPriority w:val="99"/>
    <w:unhideWhenUsed/>
    <w:rsid w:val="005573DB"/>
    <w:pPr>
      <w:spacing w:before="100" w:beforeAutospacing="1" w:after="100" w:afterAutospacing="1" w:line="240" w:lineRule="auto"/>
      <w:jc w:val="left"/>
    </w:pPr>
    <w:rPr>
      <w:color w:val="auto"/>
      <w:szCs w:val="24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46B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paragraph" w:styleId="Legenda">
    <w:name w:val="caption"/>
    <w:basedOn w:val="Normalny"/>
    <w:next w:val="Normalny"/>
    <w:uiPriority w:val="35"/>
    <w:unhideWhenUsed/>
    <w:qFormat/>
    <w:rsid w:val="00DF4F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33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z%20Czapka\AppData\Local\Packages\Microsoft.MicrosoftEdge_8wekyb3d8bbwe\TempState\Downloads\energies-template%20(1)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orutzki/Desktop/miernictwo-lab3/protokol-miernictwo-c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Zwiększanie napięcia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Arkusz1!$L$3:$L$7</c:f>
              <c:numCache>
                <c:formatCode>0</c:formatCode>
                <c:ptCount val="5"/>
                <c:pt idx="0">
                  <c:v>18246.013799999997</c:v>
                </c:pt>
                <c:pt idx="1">
                  <c:v>36800.280299999999</c:v>
                </c:pt>
                <c:pt idx="2">
                  <c:v>55056.296399999999</c:v>
                </c:pt>
                <c:pt idx="3">
                  <c:v>73240.477800000008</c:v>
                </c:pt>
                <c:pt idx="4">
                  <c:v>90982.739400000006</c:v>
                </c:pt>
              </c:numCache>
            </c:numRef>
          </c:xVal>
          <c:yVal>
            <c:numRef>
              <c:f>Arkusz1!$M$3:$M$7</c:f>
              <c:numCache>
                <c:formatCode>0.0</c:formatCode>
                <c:ptCount val="5"/>
                <c:pt idx="0">
                  <c:v>793.30494782608685</c:v>
                </c:pt>
                <c:pt idx="1">
                  <c:v>791.40387741935479</c:v>
                </c:pt>
                <c:pt idx="2">
                  <c:v>789.90382209469146</c:v>
                </c:pt>
                <c:pt idx="3">
                  <c:v>790.08066666666673</c:v>
                </c:pt>
                <c:pt idx="4">
                  <c:v>788.41195320623922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94-E948-82F3-5F0A5EEE6721}"/>
            </c:ext>
          </c:extLst>
        </c:ser>
        <c:ser>
          <c:idx val="1"/>
          <c:order val="1"/>
          <c:tx>
            <c:v>Zmniejszanie napięcia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Arkusz1!$L$8:$L$12</c:f>
              <c:numCache>
                <c:formatCode>0</c:formatCode>
                <c:ptCount val="5"/>
                <c:pt idx="0">
                  <c:v>91080.034499999994</c:v>
                </c:pt>
                <c:pt idx="1">
                  <c:v>72951.320399999997</c:v>
                </c:pt>
                <c:pt idx="2">
                  <c:v>54517.9908</c:v>
                </c:pt>
                <c:pt idx="3">
                  <c:v>36798.4617</c:v>
                </c:pt>
                <c:pt idx="4">
                  <c:v>17960.493599999998</c:v>
                </c:pt>
              </c:numCache>
            </c:numRef>
          </c:xVal>
          <c:yVal>
            <c:numRef>
              <c:f>Arkusz1!$M$8:$M$12</c:f>
              <c:numCache>
                <c:formatCode>0.0</c:formatCode>
                <c:ptCount val="5"/>
                <c:pt idx="0">
                  <c:v>788.57172727272723</c:v>
                </c:pt>
                <c:pt idx="1">
                  <c:v>789.51645454545451</c:v>
                </c:pt>
                <c:pt idx="2">
                  <c:v>791.26256603773572</c:v>
                </c:pt>
                <c:pt idx="3">
                  <c:v>791.36476774193545</c:v>
                </c:pt>
                <c:pt idx="4">
                  <c:v>794.71210619469014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A94-E948-82F3-5F0A5EEE6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2006560"/>
        <c:axId val="1062094816"/>
      </c:scatterChart>
      <c:valAx>
        <c:axId val="106200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94816"/>
        <c:crosses val="autoZero"/>
        <c:crossBetween val="midCat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pl-PL"/>
                    <a:t>U</a:t>
                  </a:r>
                  <a:r>
                    <a:rPr lang="pl-PL" baseline="-25000"/>
                    <a:t>H</a:t>
                  </a:r>
                  <a:r>
                    <a:rPr lang="pl-PL" baseline="0"/>
                    <a:t> </a:t>
                  </a:r>
                  <a:r>
                    <a:rPr lang="pl-PL"/>
                    <a:t>[kV]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valAx>
        <c:axId val="10620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</a:t>
                </a:r>
                <a:r>
                  <a:rPr lang="pl-PL" baseline="-25000"/>
                  <a:t>m</a:t>
                </a:r>
                <a:r>
                  <a:rPr lang="pl-PL"/>
                  <a:t> [-]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2006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11" ma:contentTypeDescription="Create a new document." ma:contentTypeScope="" ma:versionID="b8a2dd4b69314133a0cf4fa5e26383a2">
  <xsd:schema xmlns:xsd="http://www.w3.org/2001/XMLSchema" xmlns:xs="http://www.w3.org/2001/XMLSchema" xmlns:p="http://schemas.microsoft.com/office/2006/metadata/properties" xmlns:ns3="60bc125f-eb64-41fb-a234-ea5e69369081" xmlns:ns4="98274316-8ace-4328-a53c-2489d5f9b4a4" targetNamespace="http://schemas.microsoft.com/office/2006/metadata/properties" ma:root="true" ma:fieldsID="6b9930a7ec5916bd0d4850e59af1306c" ns3:_="" ns4:_="">
    <xsd:import namespace="60bc125f-eb64-41fb-a234-ea5e69369081"/>
    <xsd:import namespace="98274316-8ace-4328-a53c-2489d5f9b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74316-8ace-4328-a53c-2489d5f9b4a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BAE4D-39A4-4267-B36B-4D37FA3649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1E0276-A05E-4D68-9A29-8EC29D1A6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98274316-8ace-4328-a53c-2489d5f9b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BC313B-0D4F-4BC9-8CD5-1D0D1C3651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FFDE9-B916-4908-BC47-CC46C4831F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C:\Users\Tomasz Czapka\AppData\Local\Packages\Microsoft.MicrosoftEdge_8wekyb3d8bbwe\TempState\Downloads\energies-template (1).dot</Template>
  <TotalTime>165</TotalTime>
  <Pages>5</Pages>
  <Words>983</Words>
  <Characters>5899</Characters>
  <Application>Microsoft Office Word</Application>
  <DocSecurity>0</DocSecurity>
  <Lines>49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6869</CharactersWithSpaces>
  <SharedDoc>false</SharedDoc>
  <HLinks>
    <vt:vector size="6" baseType="variant"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http://img.mdpi.org/data/contributor-role-instruction.pdf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Czapka</dc:creator>
  <cp:keywords/>
  <dc:description/>
  <cp:lastModifiedBy>Kacper Borucki (245365)</cp:lastModifiedBy>
  <cp:revision>47</cp:revision>
  <cp:lastPrinted>2021-10-30T09:50:00Z</cp:lastPrinted>
  <dcterms:created xsi:type="dcterms:W3CDTF">2021-10-12T15:48:00Z</dcterms:created>
  <dcterms:modified xsi:type="dcterms:W3CDTF">2021-10-30T10:52:00Z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  <property fmtid="{D5CDD505-2E9C-101B-9397-08002B2CF9AE}" pid="3" name="ZOTERO_PREF_1">
    <vt:lpwstr>&lt;data data-version="3" zotero-version="5.0.96.3"&gt;&lt;session id="MSLeovGq"/&gt;&lt;style id="http://www.zotero.org/styles/ieee" locale="pl-PL" hasBibliography="1" bibliographyStyleHasBeenSet="0"/&gt;&lt;prefs&gt;&lt;pref name="fieldType" value="Field"/&gt;&lt;pref name="automaticJo</vt:lpwstr>
  </property>
  <property fmtid="{D5CDD505-2E9C-101B-9397-08002B2CF9AE}" pid="4" name="ZOTERO_PREF_2">
    <vt:lpwstr>urnalAbbreviations" value="true"/&gt;&lt;/prefs&gt;&lt;/data&gt;</vt:lpwstr>
  </property>
</Properties>
</file>