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Za chwilę rozpocznie się pierwszy etap części treningowej, dzięki któremu zapozna się Pan/i z zadaniem.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Zadanie będzie polegało na ocenianiu, w którą stronę pochylony jest pojawiający się na ekranie wzór.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 początku każdej próby na środku ekranu pojawi się krzyżyk. Istotne jest, aby za każdym razem gdy się pojawi, skoncentrować na nim swój wzrok. Po zniknięciu krzyżyka na ekranie pojawi się wzór, a Pana/Pani zadaniem będzie ocena, czy jest on pochylony w lewo czy w prawo. Prosimy reagować możliwie szybko, używając przycisków myszy. Jeżeli wzór będzie skierowany w lewo, należy nacisnąć LEWY przycisk myszy, jeżli wzór będzie pochylony w prawo, PRAWY przycisk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Prosimy zachować skupienie w trakcie trwania eksperymentu. Prosimy pamiętać, by nie przysuwać się w kierunku ekranu.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Teraz rozpocznie się pierwszy etap części treningowej zadania. Jeśli cokolwiek będzie niejasne, należy zasygnalizować to podniesieniem ręki.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Aby rozpocząć pierwszy etap części treningowej, należy nacisnąć przycisk "Dalej".</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