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vertAlign w:val="baseline"/>
          <w:rtl w:val="0"/>
        </w:rPr>
        <w:t xml:space="preserve">Za chwilę weźmie Pani/Pan udział w badaniu dotyczącym percepcji bodźców wzrokowych. Na ekranie będzie wyświetlany (czasami bardzo krótko) wzór - niewyraźny pasek, pochylony w lewo lub w prawo. Po każdej prezentacji wzoru pojawia się pytanie o to, w którą stronę był on pochylony. Odpowiedzi należy udzielić </w:t>
      </w:r>
      <w:r w:rsidDel="00000000" w:rsidR="00000000" w:rsidRPr="00000000">
        <w:rPr>
          <w:rtl w:val="0"/>
        </w:rPr>
        <w:t xml:space="preserve">poprzez naciśnięcie</w:t>
      </w:r>
      <w:r w:rsidDel="00000000" w:rsidR="00000000" w:rsidRPr="00000000">
        <w:rPr>
          <w:vertAlign w:val="baseline"/>
          <w:rtl w:val="0"/>
        </w:rPr>
        <w:t xml:space="preserve"> </w:t>
      </w:r>
      <w:r w:rsidDel="00000000" w:rsidR="00000000" w:rsidRPr="00000000">
        <w:rPr>
          <w:rtl w:val="0"/>
        </w:rPr>
        <w:t xml:space="preserve">przycisku </w:t>
      </w:r>
      <w:r w:rsidDel="00000000" w:rsidR="00000000" w:rsidRPr="00000000">
        <w:rPr>
          <w:vertAlign w:val="baseline"/>
          <w:rtl w:val="0"/>
        </w:rPr>
        <w:t xml:space="preserve">myszy.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-22859</wp:posOffset>
            </wp:positionH>
            <wp:positionV relativeFrom="paragraph">
              <wp:posOffset>65405</wp:posOffset>
            </wp:positionV>
            <wp:extent cx="763270" cy="780415"/>
            <wp:effectExtent b="0" l="0" r="0" t="0"/>
            <wp:wrapSquare wrapText="bothSides" distB="0" distT="0" distL="0" distR="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763270" cy="780415"/>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contextualSpacing w:val="0"/>
        <w:jc w:val="both"/>
      </w:pPr>
      <w:bookmarkStart w:colFirst="0" w:colLast="0" w:name="h.gjdgxs" w:id="0"/>
      <w:bookmarkEnd w:id="0"/>
      <w:r w:rsidDel="00000000" w:rsidR="00000000" w:rsidRPr="00000000">
        <w:rPr>
          <w:vertAlign w:val="baseline"/>
          <w:rtl w:val="0"/>
        </w:rPr>
        <w:t xml:space="preserve"> wzór pochylony w lewą stronę – reakcja lewym </w:t>
      </w:r>
      <w:r w:rsidDel="00000000" w:rsidR="00000000" w:rsidRPr="00000000">
        <w:rPr>
          <w:rtl w:val="0"/>
        </w:rPr>
        <w:t xml:space="preserve">przyciskiem myszy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-21589</wp:posOffset>
            </wp:positionH>
            <wp:positionV relativeFrom="paragraph">
              <wp:posOffset>54610</wp:posOffset>
            </wp:positionV>
            <wp:extent cx="769620" cy="751840"/>
            <wp:effectExtent b="0" l="0" r="0" t="0"/>
            <wp:wrapSquare wrapText="bothSides" distB="0" distT="0" distL="0" distR="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769620" cy="751840"/>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bookmarkStart w:colFirst="0" w:colLast="0" w:name="h.30j0zll" w:id="1"/>
      <w:bookmarkEnd w:id="1"/>
      <w:r w:rsidDel="00000000" w:rsidR="00000000" w:rsidRPr="00000000">
        <w:rPr>
          <w:vertAlign w:val="baseline"/>
          <w:rtl w:val="0"/>
        </w:rPr>
        <w:t xml:space="preserve"> wzór pochylony w prawą stronę – reakcja prawym </w:t>
      </w:r>
      <w:r w:rsidDel="00000000" w:rsidR="00000000" w:rsidRPr="00000000">
        <w:rPr>
          <w:rtl w:val="0"/>
        </w:rPr>
        <w:t xml:space="preserve">przyciskiem myszy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Po każdej takiej reakcji będzie Pan/i proszony/a o ocenę stopnia widoczności prezentowanego bodźca, tzn. tego, jak dobrze widział/a Pan/Pani prezentowany wzór. </w:t>
      </w:r>
      <w:r w:rsidDel="00000000" w:rsidR="00000000" w:rsidRPr="00000000">
        <w:rPr>
          <w:rtl w:val="0"/>
        </w:rPr>
        <w:t xml:space="preserve"> Odpowiedzi </w:t>
      </w:r>
      <w:r w:rsidDel="00000000" w:rsidR="00000000" w:rsidRPr="00000000">
        <w:rPr>
          <w:rtl w:val="0"/>
        </w:rPr>
        <w:t xml:space="preserve">proszę </w:t>
      </w:r>
      <w:r w:rsidDel="00000000" w:rsidR="00000000" w:rsidRPr="00000000">
        <w:rPr>
          <w:rtl w:val="0"/>
        </w:rPr>
        <w:t xml:space="preserve">udziela</w:t>
      </w:r>
      <w:r w:rsidDel="00000000" w:rsidR="00000000" w:rsidRPr="00000000">
        <w:rPr>
          <w:rtl w:val="0"/>
        </w:rPr>
        <w:t xml:space="preserve">ć</w:t>
      </w:r>
      <w:r w:rsidDel="00000000" w:rsidR="00000000" w:rsidRPr="00000000">
        <w:rPr>
          <w:rtl w:val="0"/>
        </w:rPr>
        <w:t xml:space="preserve"> umieszczając wskaźnik wewnątrz odpowiedniej kategorii skali.</w:t>
      </w:r>
    </w:p>
    <w:p w:rsidR="00000000" w:rsidDel="00000000" w:rsidP="00000000" w:rsidRDefault="00000000" w:rsidRPr="00000000">
      <w:pPr>
        <w:contextualSpacing w:val="0"/>
        <w:jc w:val="both"/>
      </w:pPr>
      <w:r w:rsidDel="00000000" w:rsidR="00000000" w:rsidRPr="00000000">
        <w:rPr>
          <w:rtl w:val="0"/>
        </w:rPr>
        <w:t xml:space="preserve">                                             </w:t>
      </w:r>
      <w:r w:rsidDel="00000000" w:rsidR="00000000" w:rsidRPr="00000000">
        <mc:AlternateContent>
          <mc:Choice Requires="wpg">
            <w:drawing>
              <wp:inline distB="114300" distT="114300" distL="114300" distR="114300">
                <wp:extent cx="6123623" cy="1436071"/>
                <wp:effectExtent b="0" l="0" r="0" t="0"/>
                <wp:docPr id="3" name=""/>
                <a:graphic>
                  <a:graphicData uri="http://schemas.microsoft.com/office/word/2010/wordprocessingGroup">
                    <wpg:wgp>
                      <wpg:cNvGrpSpPr/>
                      <wpg:grpSpPr>
                        <a:xfrm>
                          <a:off x="0" y="371475"/>
                          <a:ext cx="6123623" cy="1436071"/>
                          <a:chOff x="0" y="371475"/>
                          <a:chExt cx="8791575" cy="1592700"/>
                        </a:xfrm>
                      </wpg:grpSpPr>
                      <wps:wsp>
                        <wps:cNvSpPr/>
                        <wps:cNvPr id="2" name="Shape 2"/>
                        <wps:spPr>
                          <a:xfrm>
                            <a:off x="0" y="1323975"/>
                            <a:ext cx="1704900" cy="6402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Nic nie widziałam/em</w:t>
                              </w:r>
                            </w:p>
                          </w:txbxContent>
                        </wps:txbx>
                        <wps:bodyPr anchorCtr="0" anchor="ctr" bIns="91425" lIns="91425" rIns="91425" tIns="91425"/>
                      </wps:wsp>
                      <wps:wsp>
                        <wps:cNvSpPr/>
                        <wps:cNvPr id="3" name="Shape 3"/>
                        <wps:spPr>
                          <a:xfrm>
                            <a:off x="1704900" y="1323975"/>
                            <a:ext cx="1704900" cy="6402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Widziałam/em niewyraźnie</w:t>
                              </w:r>
                            </w:p>
                          </w:txbxContent>
                        </wps:txbx>
                        <wps:bodyPr anchorCtr="0" anchor="ctr" bIns="91425" lIns="91425" rIns="91425" tIns="91425"/>
                      </wps:wsp>
                      <wps:wsp>
                        <wps:cNvSpPr/>
                        <wps:cNvPr id="4" name="Shape 4"/>
                        <wps:spPr>
                          <a:xfrm>
                            <a:off x="3409800" y="1323975"/>
                            <a:ext cx="1704900" cy="6402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Widziałam/em</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dość wyraźnie</w:t>
                              </w:r>
                            </w:p>
                          </w:txbxContent>
                        </wps:txbx>
                        <wps:bodyPr anchorCtr="0" anchor="ctr" bIns="91425" lIns="91425" rIns="91425" tIns="91425"/>
                      </wps:wsp>
                      <wps:wsp>
                        <wps:cNvSpPr/>
                        <wps:cNvPr id="5" name="Shape 5"/>
                        <wps:spPr>
                          <a:xfrm>
                            <a:off x="5114700" y="1323975"/>
                            <a:ext cx="1704900" cy="6402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Widziałam/em bardzo wyraźnie</w:t>
                              </w:r>
                            </w:p>
                          </w:txbxContent>
                        </wps:txbx>
                        <wps:bodyPr anchorCtr="0" anchor="ctr" bIns="91425" lIns="91425" rIns="91425" tIns="91425"/>
                      </wps:wsp>
                      <wps:wsp>
                        <wps:cNvCnPr/>
                        <wps:spPr>
                          <a:xfrm flipH="1" rot="10800000">
                            <a:off x="3143250" y="1325025"/>
                            <a:ext cx="9600" cy="6381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wps:wsp>
                        <wps:cNvCnPr/>
                        <wps:spPr>
                          <a:xfrm flipH="1">
                            <a:off x="3162375" y="742950"/>
                            <a:ext cx="333300" cy="543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8" name="Shape 8"/>
                        <wps:spPr>
                          <a:xfrm>
                            <a:off x="3305175" y="371475"/>
                            <a:ext cx="54864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Wzkaźnik (przykładowa pozycja)</w:t>
                              </w:r>
                            </w:p>
                          </w:txbxContent>
                        </wps:txbx>
                        <wps:bodyPr anchorCtr="0" anchor="t" bIns="91425" lIns="91425" rIns="91425" tIns="91425"/>
                      </wps:wsp>
                    </wpg:wgp>
                  </a:graphicData>
                </a:graphic>
              </wp:inline>
            </w:drawing>
          </mc:Choice>
          <mc:Fallback>
            <w:drawing>
              <wp:inline distB="114300" distT="114300" distL="114300" distR="114300">
                <wp:extent cx="6123623" cy="1436071"/>
                <wp:effectExtent b="0" l="0" r="0" t="0"/>
                <wp:docPr id="3" name="image05.png"/>
                <a:graphic>
                  <a:graphicData uri="http://schemas.openxmlformats.org/drawingml/2006/picture">
                    <pic:pic>
                      <pic:nvPicPr>
                        <pic:cNvPr id="0" name="image05.png"/>
                        <pic:cNvPicPr preferRelativeResize="0"/>
                      </pic:nvPicPr>
                      <pic:blipFill>
                        <a:blip r:embed="rId7"/>
                        <a:srcRect/>
                        <a:stretch>
                          <a:fillRect/>
                        </a:stretch>
                      </pic:blipFill>
                      <pic:spPr>
                        <a:xfrm>
                          <a:off x="0" y="0"/>
                          <a:ext cx="6123623" cy="143607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Lewy kraniec oznacza zupełny brak widoczności wzoru. Kolejne miejsca na skali odnoszą się do doświadczeń pośrednich pomiędzy brakiem zauważenia wzoru, a jego pełną widocznością. Innymi słowy: im bliżej prawego krańca skali, tym silniejsze doświadczenie spostrzeżenia wzoru. Prawy kraniec oznacza wyraźne dostrzeżenie wzoru. Skala wewnątrz kategorii jest ciągła, aby umożliwić jak najbardziej precyzyjną ocenę widoczności wzoru. Znaczy to, że </w:t>
      </w:r>
      <w:r w:rsidDel="00000000" w:rsidR="00000000" w:rsidRPr="00000000">
        <w:rPr>
          <w:b w:val="1"/>
          <w:rtl w:val="0"/>
        </w:rPr>
        <w:t xml:space="preserve">można różnicować doświadczenie wewnątrz poniższych kategorii </w:t>
      </w:r>
      <w:r w:rsidDel="00000000" w:rsidR="00000000" w:rsidRPr="00000000">
        <w:rPr>
          <w:rtl w:val="0"/>
        </w:rPr>
        <w:t xml:space="preserve">(im bardziej po prawej w obrębie danej kategorii umieszcza się wskaźnik, oznacza że tym lepiej wzór był widoczny). Prosimy o jak najbardziej precyzyjną ocenę tego, jak wyraźnie widział/a Pan/i wzór.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vertAlign w:val="baseline"/>
          <w:rtl w:val="0"/>
        </w:rPr>
        <w:t xml:space="preserve">Całe badanie trwa około 45 minut. Badanie zawiera krótkie przerwy. Pojawienie się ewentualnych problemów prosimy zasygnalizować podniesieniem ręki. W czasie badania obowiązuje cisza. Uprzejmie prosimy o skoncentrowanie się na wykonywanym zadaniu.</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6838" w:w="11906"/>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 Id="rId7" Type="http://schemas.openxmlformats.org/officeDocument/2006/relationships/image" Target="media/image05.png"/></Relationships>
</file>