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pojawi się pytanie o to, w którą stronę był on pochylony. Odpowiedzi należy udzielić naciśnięciem </w:t>
      </w:r>
      <w:r w:rsidDel="00000000" w:rsidR="00000000" w:rsidRPr="00000000">
        <w:rPr>
          <w:rtl w:val="0"/>
        </w:rPr>
        <w:t xml:space="preserve">przycisku </w:t>
      </w:r>
      <w:r w:rsidDel="00000000" w:rsidR="00000000" w:rsidRPr="00000000">
        <w:rPr>
          <w:vertAlign w:val="baseline"/>
          <w:rtl w:val="0"/>
        </w:rPr>
        <w:t xml:space="preserve">myszy.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-22859</wp:posOffset>
            </wp:positionH>
            <wp:positionV relativeFrom="paragraph">
              <wp:posOffset>65405</wp:posOffset>
            </wp:positionV>
            <wp:extent cx="763270" cy="780415"/>
            <wp:effectExtent b="0" l="0" r="0" t="0"/>
            <wp:wrapSquare wrapText="bothSides" distB="0" distT="0" distL="0" distR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80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vertAlign w:val="baseline"/>
          <w:rtl w:val="0"/>
        </w:rPr>
        <w:t xml:space="preserve"> wzór pochylony w lewą stronę – reakcja lewym </w:t>
      </w:r>
      <w:r w:rsidDel="00000000" w:rsidR="00000000" w:rsidRPr="00000000">
        <w:rPr>
          <w:rtl w:val="0"/>
        </w:rPr>
        <w:t xml:space="preserve">przyciskiem myszy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-21589</wp:posOffset>
            </wp:positionH>
            <wp:positionV relativeFrom="paragraph">
              <wp:posOffset>54610</wp:posOffset>
            </wp:positionV>
            <wp:extent cx="769620" cy="751840"/>
            <wp:effectExtent b="0" l="0" r="0" t="0"/>
            <wp:wrapSquare wrapText="bothSides" distB="0" distT="0" distL="0" distR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51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vertAlign w:val="baseline"/>
          <w:rtl w:val="0"/>
        </w:rPr>
        <w:t xml:space="preserve"> wzór pochylony w prawą stronę – reakcja prawym </w:t>
      </w:r>
      <w:r w:rsidDel="00000000" w:rsidR="00000000" w:rsidRPr="00000000">
        <w:rPr>
          <w:rtl w:val="0"/>
        </w:rPr>
        <w:t xml:space="preserve">przyciskiem myszy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Po każdej takiej reakcji będzie Pan/i proszony/a o </w:t>
      </w:r>
      <w:r w:rsidDel="00000000" w:rsidR="00000000" w:rsidRPr="00000000">
        <w:rPr>
          <w:rtl w:val="0"/>
        </w:rPr>
        <w:t xml:space="preserve">ocenę stopnia widoczności prezentowanego bodźca, tzn. tego, jak dobrze widział/a Pan/Pani prezentowany wzór.</w:t>
      </w:r>
      <w:r w:rsidDel="00000000" w:rsidR="00000000" w:rsidRPr="00000000">
        <w:rPr>
          <w:vertAlign w:val="baseline"/>
          <w:rtl w:val="0"/>
        </w:rPr>
        <w:t xml:space="preserve"> Odpowiedzi proszę </w:t>
      </w:r>
      <w:r w:rsidDel="00000000" w:rsidR="00000000" w:rsidRPr="00000000">
        <w:rPr>
          <w:rtl w:val="0"/>
        </w:rPr>
        <w:t xml:space="preserve">udzielać klikając lewym przyciskiem myszy</w:t>
      </w:r>
      <w:r w:rsidDel="00000000" w:rsidR="00000000" w:rsidRPr="00000000">
        <w:rPr>
          <w:vertAlign w:val="baseline"/>
          <w:rtl w:val="0"/>
        </w:rPr>
        <w:t xml:space="preserve"> w odpowiedni</w:t>
      </w:r>
      <w:r w:rsidDel="00000000" w:rsidR="00000000" w:rsidRPr="00000000">
        <w:rPr>
          <w:rtl w:val="0"/>
        </w:rPr>
        <w:t xml:space="preserve">ą kategorię skali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Skala zawiera 4 kategorie, aby umożliwić jak najbardziej precyzyjną ocenę widoczności wzoru.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24525" cy="5508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23975"/>
                          <a:ext cx="5724525" cy="550896"/>
                          <a:chOff x="0" y="1323975"/>
                          <a:chExt cx="6819600" cy="64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Nic nie widziałam/em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0490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Widziałam/em niewyraźnie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0980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Widziałam/em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dość wyraźnie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11470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Widziałam/em bardzo wyraźnie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550896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5508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Kategoria “Nic nie widziałam/em”</w:t>
      </w:r>
      <w:r w:rsidDel="00000000" w:rsidR="00000000" w:rsidRPr="00000000">
        <w:rPr>
          <w:vertAlign w:val="baseline"/>
          <w:rtl w:val="0"/>
        </w:rPr>
        <w:t xml:space="preserve"> oznacza zupełny brak widoczności wzoru. Kolejne </w:t>
      </w:r>
      <w:r w:rsidDel="00000000" w:rsidR="00000000" w:rsidRPr="00000000">
        <w:rPr>
          <w:rtl w:val="0"/>
        </w:rPr>
        <w:t xml:space="preserve">kategorie skali odnoszą się do doświadczeń</w:t>
      </w:r>
      <w:r w:rsidDel="00000000" w:rsidR="00000000" w:rsidRPr="00000000">
        <w:rPr>
          <w:vertAlign w:val="baseline"/>
          <w:rtl w:val="0"/>
        </w:rPr>
        <w:t xml:space="preserve"> pośredni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vertAlign w:val="baseline"/>
          <w:rtl w:val="0"/>
        </w:rPr>
        <w:t xml:space="preserve"> pomiędzy brakiem zauważenia </w:t>
      </w:r>
      <w:r w:rsidDel="00000000" w:rsidR="00000000" w:rsidRPr="00000000">
        <w:rPr>
          <w:rtl w:val="0"/>
        </w:rPr>
        <w:t xml:space="preserve">wzoru</w:t>
      </w:r>
      <w:r w:rsidDel="00000000" w:rsidR="00000000" w:rsidRPr="00000000">
        <w:rPr>
          <w:vertAlign w:val="baseline"/>
          <w:rtl w:val="0"/>
        </w:rPr>
        <w:t xml:space="preserve">, a jego pełną </w:t>
      </w:r>
      <w:r w:rsidDel="00000000" w:rsidR="00000000" w:rsidRPr="00000000">
        <w:rPr>
          <w:rtl w:val="0"/>
        </w:rPr>
        <w:t xml:space="preserve">widocznością</w:t>
      </w:r>
      <w:r w:rsidDel="00000000" w:rsidR="00000000" w:rsidRPr="00000000">
        <w:rPr>
          <w:vertAlign w:val="baseline"/>
          <w:rtl w:val="0"/>
        </w:rPr>
        <w:t xml:space="preserve">. Innymi słowy: im </w:t>
      </w:r>
      <w:r w:rsidDel="00000000" w:rsidR="00000000" w:rsidRPr="00000000">
        <w:rPr>
          <w:rtl w:val="0"/>
        </w:rPr>
        <w:t xml:space="preserve">bliżej dana kategoria jest kategorii “Widziałam/em bardzo wyraźnie”</w:t>
      </w:r>
      <w:r w:rsidDel="00000000" w:rsidR="00000000" w:rsidRPr="00000000">
        <w:rPr>
          <w:vertAlign w:val="baseline"/>
          <w:rtl w:val="0"/>
        </w:rPr>
        <w:t xml:space="preserve">, tym silniejsze </w:t>
      </w:r>
      <w:r w:rsidDel="00000000" w:rsidR="00000000" w:rsidRPr="00000000">
        <w:rPr>
          <w:rtl w:val="0"/>
        </w:rPr>
        <w:t xml:space="preserve">doświadczenie spostrzeżenia</w:t>
      </w:r>
      <w:r w:rsidDel="00000000" w:rsidR="00000000" w:rsidRPr="00000000">
        <w:rPr>
          <w:vertAlign w:val="baseline"/>
          <w:rtl w:val="0"/>
        </w:rPr>
        <w:t xml:space="preserve"> wzoru. </w:t>
      </w:r>
      <w:r w:rsidDel="00000000" w:rsidR="00000000" w:rsidRPr="00000000">
        <w:rPr>
          <w:rtl w:val="0"/>
        </w:rPr>
        <w:t xml:space="preserve">Ostatnia kategoria skali</w:t>
      </w:r>
      <w:r w:rsidDel="00000000" w:rsidR="00000000" w:rsidRPr="00000000">
        <w:rPr>
          <w:vertAlign w:val="baseline"/>
          <w:rtl w:val="0"/>
        </w:rPr>
        <w:t xml:space="preserve"> oznacza wyraźne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ostrzeżenie wzoru. </w:t>
      </w:r>
      <w:r w:rsidDel="00000000" w:rsidR="00000000" w:rsidRPr="00000000">
        <w:rPr>
          <w:rtl w:val="0"/>
        </w:rPr>
        <w:t xml:space="preserve">Prosimy o jak najbardziej precyzyjną ocenę tego, jak wyraźnie widział/a Pan/i wzór.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Całe badanie trwa około 45 minut. Badanie zawiera krótkie przerwy. Pojawienie się ewentualnych problemów prosimy zasygnalizować podniesieniem ręki. W czasie badania obowiązuje cisza. Uprzejmie prosimy o skoncentrowanie się na wykonywanym zadaniu.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