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pojawia się pytanie o to, w którą stronę był on pochylony. Odpowiedzi należy udzielić naciśnięciem klawisza myszy.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-22859</wp:posOffset>
            </wp:positionH>
            <wp:positionV relativeFrom="paragraph">
              <wp:posOffset>65405</wp:posOffset>
            </wp:positionV>
            <wp:extent cx="763270" cy="780415"/>
            <wp:effectExtent b="0" l="0" r="0" t="0"/>
            <wp:wrapSquare wrapText="bothSides" distB="0" distT="0" distL="0" distR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80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 wzór pochylony w lewą stronę – reakcja lewym klawiszem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-21589</wp:posOffset>
            </wp:positionH>
            <wp:positionV relativeFrom="paragraph">
              <wp:posOffset>54610</wp:posOffset>
            </wp:positionV>
            <wp:extent cx="769620" cy="751840"/>
            <wp:effectExtent b="0" l="0" r="0" t="0"/>
            <wp:wrapSquare wrapText="bothSides" distB="0" distT="0" distL="0" distR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 wzór pochylony w prawą stronę – reakcja prawym klawiszem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każdej takiej reakcji będzie Pan/i proszony/a o ocenę stopnia widoczności prezentowanego bodźca, tzn. tego, jak dobrze widział/a Pan/Pani prezentowany wzór. </w:t>
      </w:r>
      <w:r w:rsidDel="00000000" w:rsidR="00000000" w:rsidRPr="00000000">
        <w:rPr>
          <w:vertAlign w:val="baseline"/>
          <w:rtl w:val="0"/>
        </w:rPr>
        <w:t xml:space="preserve"> Odpowiedzi proszę udzielać klikając </w:t>
      </w:r>
      <w:r w:rsidDel="00000000" w:rsidR="00000000" w:rsidRPr="00000000">
        <w:rPr>
          <w:rtl w:val="0"/>
        </w:rPr>
        <w:t xml:space="preserve">lewym przyciskiem myszy</w:t>
      </w:r>
      <w:r w:rsidDel="00000000" w:rsidR="00000000" w:rsidRPr="00000000">
        <w:rPr>
          <w:vertAlign w:val="baseline"/>
          <w:rtl w:val="0"/>
        </w:rPr>
        <w:t xml:space="preserve"> w odpowiednią kategorię skali szarości.</w:t>
      </w:r>
      <w:r w:rsidDel="00000000" w:rsidR="00000000" w:rsidRPr="00000000">
        <w:rPr>
          <w:rtl w:val="0"/>
        </w:rPr>
        <w:t xml:space="preserve"> Skala zawiera 12 kategorii, aby umożliwić jak najbardziej precyzyjną ocenę widoczności wzoru.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067425" cy="447675"/>
            <wp:effectExtent b="25400" l="25400" r="25400" t="25400"/>
            <wp:docPr descr="Zrzut ekranu 2016-03-05 o 17.49.23.png" id="3" name="image05.png"/>
            <a:graphic>
              <a:graphicData uri="http://schemas.openxmlformats.org/drawingml/2006/picture">
                <pic:pic>
                  <pic:nvPicPr>
                    <pic:cNvPr descr="Zrzut ekranu 2016-03-05 o 17.49.23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7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Kolor biały oznacza zupełny brak widoczności wzoru. Kolejne kategorie obrazują stopnie pośrednie pomiędzy brakiem zauważenia bodźca a pełną </w:t>
      </w:r>
      <w:r w:rsidDel="00000000" w:rsidR="00000000" w:rsidRPr="00000000">
        <w:rPr>
          <w:rtl w:val="0"/>
        </w:rPr>
        <w:t xml:space="preserve">widocznością</w:t>
      </w:r>
      <w:r w:rsidDel="00000000" w:rsidR="00000000" w:rsidRPr="00000000">
        <w:rPr>
          <w:vertAlign w:val="baseline"/>
          <w:rtl w:val="0"/>
        </w:rPr>
        <w:t xml:space="preserve"> wzoru. Innymi słowy: im ciemniejszy odcień, tym silniejsze </w:t>
      </w:r>
      <w:r w:rsidDel="00000000" w:rsidR="00000000" w:rsidRPr="00000000">
        <w:rPr>
          <w:rtl w:val="0"/>
        </w:rPr>
        <w:t xml:space="preserve">doświadczenie spostrzeżenia</w:t>
      </w:r>
      <w:r w:rsidDel="00000000" w:rsidR="00000000" w:rsidRPr="00000000">
        <w:rPr>
          <w:vertAlign w:val="baseline"/>
          <w:rtl w:val="0"/>
        </w:rPr>
        <w:t xml:space="preserve"> wzoru. Kolor czarny oznacza wyraźne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ostrzeżenie wzoru. </w:t>
      </w:r>
      <w:r w:rsidDel="00000000" w:rsidR="00000000" w:rsidRPr="00000000">
        <w:rPr>
          <w:rtl w:val="0"/>
        </w:rPr>
        <w:t xml:space="preserve">Prosimy o jak najbardziej precyzyjną ocenę tego, jak wyraźnie widział/a Pan/i wzór.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Całe badanie trwa około 45 minut. Badanie zawiera krótkie przerwy. Pojawienie się ewentualnych problemów prosimy zasygnalizować podniesieniem ręki. W czasie badania obowiązuje cisza. Uprzejmie prosimy o skoncentrowanie się na wykonywanym zadaniu.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Aby rozpocząć badanie należy zamknąć okno tej instrukcji.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