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77777777" w:rsidR="00A04335" w:rsidRPr="00EA7219" w:rsidRDefault="00A04335" w:rsidP="00A04335">
      <w:pPr>
        <w:pStyle w:val="Heading3"/>
        <w:spacing w:line="276" w:lineRule="auto"/>
        <w:rPr>
          <w:rFonts w:ascii="Garamond" w:hAnsi="Garamond"/>
          <w:sz w:val="28"/>
          <w:szCs w:val="28"/>
        </w:rPr>
      </w:pPr>
      <w:r>
        <w:rPr>
          <w:rFonts w:ascii="Garamond" w:hAnsi="Garamond"/>
          <w:b/>
          <w:bCs/>
          <w:sz w:val="28"/>
          <w:szCs w:val="28"/>
        </w:rPr>
        <w:t>Game Designer</w:t>
      </w:r>
      <w:r w:rsidRPr="00EA7219">
        <w:rPr>
          <w:rFonts w:ascii="Garamond" w:hAnsi="Garamond"/>
          <w:sz w:val="28"/>
          <w:szCs w:val="28"/>
        </w:rPr>
        <w:t xml:space="preserve">, </w:t>
      </w:r>
      <w:r>
        <w:rPr>
          <w:rFonts w:ascii="Garamond" w:hAnsi="Garamond"/>
          <w:sz w:val="28"/>
          <w:szCs w:val="28"/>
        </w:rPr>
        <w:t>Rubyshark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Authored new abilities to better express enemy intent and combat roles</w:t>
      </w:r>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41E5C197" w14:textId="27F0086E"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Assistant,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Left concise and communicative feedback on students’ VR/AR projects</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Integrated both local splitscreen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Dplyr, Factor Analysis, goodness of fit, AIC, Holdout Sample, Holt-Winters, Holt Winters, Impute, K-means, Knn, Regression, Maximum Likelihood, Multivariate Analysis, Pattern Recognition, Polynomial Regression, Data Science, Data Analyst, Data Modeling, Standardized Error, Bayes Theorem, Cross-Validation, Econometrics, Gradient Boosting, quantitative, RStudio, Git, Tableau, PowerBI, Power BI, Python, SuperLearner,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combatcompelling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Metroidvania,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Rougelikes, Rougelite,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Gacha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Soulsborne,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FD1A88">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E97F" w14:textId="77777777" w:rsidR="00094A3C" w:rsidRDefault="00094A3C" w:rsidP="00B003AB">
      <w:pPr>
        <w:spacing w:after="0" w:line="240" w:lineRule="auto"/>
      </w:pPr>
      <w:r>
        <w:separator/>
      </w:r>
    </w:p>
  </w:endnote>
  <w:endnote w:type="continuationSeparator" w:id="0">
    <w:p w14:paraId="019EFDBD" w14:textId="77777777" w:rsidR="00094A3C" w:rsidRDefault="00094A3C"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F58B" w14:textId="77777777" w:rsidR="00094A3C" w:rsidRDefault="00094A3C" w:rsidP="00B003AB">
      <w:pPr>
        <w:spacing w:after="0" w:line="240" w:lineRule="auto"/>
      </w:pPr>
      <w:r>
        <w:separator/>
      </w:r>
    </w:p>
  </w:footnote>
  <w:footnote w:type="continuationSeparator" w:id="0">
    <w:p w14:paraId="18A70FE1" w14:textId="77777777" w:rsidR="00094A3C" w:rsidRDefault="00094A3C"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56" style="width:6.75pt;height:3pt" coordsize="" o:spt="100" o:bullet="t" adj="0,,0" path="" stroked="f">
        <v:stroke joinstyle="miter"/>
        <v:imagedata r:id="rId1" o:title="image12"/>
        <v:formulas/>
        <v:path o:connecttype="segments"/>
      </v:shape>
    </w:pict>
  </w:numPicBullet>
  <w:numPicBullet w:numPicBulletId="1">
    <w:pict>
      <v:shape id="_x0000_i1057" style="width:6.75pt;height:3pt" coordsize="" o:spt="100" o:bullet="t" adj="0,,0" path="" stroked="f">
        <v:stroke joinstyle="miter"/>
        <v:imagedata r:id="rId2" o:title="image13"/>
        <v:formulas/>
        <v:path o:connecttype="segments"/>
      </v:shape>
    </w:pict>
  </w:numPicBullet>
  <w:numPicBullet w:numPicBulletId="2">
    <w:pict>
      <v:shape id="_x0000_i1058" style="width:6.75pt;height:3.75pt" coordsize="" o:spt="100" o:bullet="t" adj="0,,0" path="" stroked="f">
        <v:stroke joinstyle="miter"/>
        <v:imagedata r:id="rId3" o:title="image14"/>
        <v:formulas/>
        <v:path o:connecttype="segments"/>
      </v:shape>
    </w:pict>
  </w:numPicBullet>
  <w:numPicBullet w:numPicBulletId="3">
    <w:pict>
      <v:shape id="_x0000_i1059" style="width:6.75pt;height:3.75pt" coordsize="" o:spt="100" o:bullet="t" adj="0,,0" path="" stroked="f">
        <v:stroke joinstyle="miter"/>
        <v:imagedata r:id="rId4" o:title="image15"/>
        <v:formulas/>
        <v:path o:connecttype="segments"/>
      </v:shape>
    </w:pict>
  </w:numPicBullet>
  <w:numPicBullet w:numPicBulletId="4">
    <w:pict>
      <v:shape id="_x0000_i1060"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232</cp:revision>
  <cp:lastPrinted>2023-01-30T19:51:00Z</cp:lastPrinted>
  <dcterms:created xsi:type="dcterms:W3CDTF">2020-12-12T19:11:00Z</dcterms:created>
  <dcterms:modified xsi:type="dcterms:W3CDTF">2023-10-03T23:53:00Z</dcterms:modified>
</cp:coreProperties>
</file>