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Plus Germany GmbH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Luise-Ullrichstrasse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80636 Muenchen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Print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Printer ID: 81-87652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WiFi Access:</w:t>
      </w:r>
      <w:r w:rsidDel="00000000" w:rsidR="00000000" w:rsidRPr="00000000">
        <w:rPr>
          <w:rtl w:val="0"/>
        </w:rPr>
        <w:t xml:space="preserve"> Wifi@DO, PW: 9DPbBgWkV2vnGmRQLr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Community Manager</w:t>
      </w:r>
      <w:r w:rsidDel="00000000" w:rsidR="00000000" w:rsidRPr="00000000">
        <w:rPr>
          <w:rtl w:val="0"/>
        </w:rPr>
        <w:t xml:space="preserve">: Michael Thielking,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muenchen.nove@designoffices.de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juijiju</w:t>
      </w:r>
    </w:p>
    <w:p w:rsidR="00000000" w:rsidDel="00000000" w:rsidP="00000000" w:rsidRDefault="00000000" w:rsidRPr="00000000" w14:paraId="00000013">
      <w:pPr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sdfsfsd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CXSgQhK7RFc_aMSQmOd4auNzbkMk3kK/view?usp=sharing" TargetMode="External"/><Relationship Id="rId7" Type="http://schemas.openxmlformats.org/officeDocument/2006/relationships/hyperlink" Target="mailto:muenchen.nove@designoffices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