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8.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VecForge:</w:t>
      </w:r>
      <w:r>
        <w:t xml:space="preserve"> </w:t>
      </w:r>
      <w:r>
        <w:t xml:space="preserve">A</w:t>
      </w:r>
      <w:r>
        <w:t xml:space="preserve"> </w:t>
      </w:r>
      <w:r>
        <w:t xml:space="preserve">Local-First</w:t>
      </w:r>
      <w:r>
        <w:t xml:space="preserve"> </w:t>
      </w:r>
      <w:r>
        <w:t xml:space="preserve">Hybrid</w:t>
      </w:r>
      <w:r>
        <w:t xml:space="preserve"> </w:t>
      </w:r>
      <w:r>
        <w:t xml:space="preserve">Vector</w:t>
      </w:r>
      <w:r>
        <w:t xml:space="preserve"> </w:t>
      </w:r>
      <w:r>
        <w:t xml:space="preserve">Database</w:t>
      </w:r>
      <w:r>
        <w:t xml:space="preserve"> </w:t>
      </w:r>
      <w:r>
        <w:t xml:space="preserve">with</w:t>
      </w:r>
      <w:r>
        <w:t xml:space="preserve"> </w:t>
      </w:r>
      <w:r>
        <w:t xml:space="preserve">Persistent</w:t>
      </w:r>
      <w:r>
        <w:t xml:space="preserve"> </w:t>
      </w:r>
      <w:r>
        <w:t xml:space="preserve">Agent</w:t>
      </w:r>
      <w:r>
        <w:t xml:space="preserve"> </w:t>
      </w:r>
      <w:r>
        <w:t xml:space="preserve">Memory</w:t>
      </w:r>
      <w:r>
        <w:t xml:space="preserve"> </w:t>
      </w:r>
      <w:r>
        <w:t xml:space="preserve">and</w:t>
      </w:r>
      <w:r>
        <w:t xml:space="preserve"> </w:t>
      </w:r>
      <w:r>
        <w:t xml:space="preserve">a</w:t>
      </w:r>
      <w:r>
        <w:t xml:space="preserve"> </w:t>
      </w:r>
      <w:r>
        <w:t xml:space="preserve">Corrected</w:t>
      </w:r>
      <w:r>
        <w:t xml:space="preserve"> </w:t>
      </w:r>
      <w:r>
        <w:t xml:space="preserve">Grover-Inspired</w:t>
      </w:r>
      <w:r>
        <w:t xml:space="preserve"> </w:t>
      </w:r>
      <w:r>
        <w:t xml:space="preserve">Reranker</w:t>
      </w:r>
    </w:p>
    <w:p>
      <w:pPr>
        <w:pStyle w:val="Author"/>
      </w:pPr>
      <w:r>
        <w:t xml:space="preserve">Suneel</w:t>
      </w:r>
      <w:r>
        <w:t xml:space="preserve"> </w:t>
      </w:r>
      <w:r>
        <w:t xml:space="preserve">Bose</w:t>
      </w:r>
      <w:r>
        <w:t xml:space="preserve"> </w:t>
      </w:r>
      <w:r>
        <w:t xml:space="preserve">K</w:t>
      </w:r>
    </w:p>
    <w:p>
      <w:pPr>
        <w:pStyle w:val="Date"/>
      </w:pPr>
      <w:r>
        <w:t xml:space="preserve">ArcGX TechLabs Private Limited, Tiruchirappalli, Tamil Nadu, India · suneelbose@arcgx.in · October 2026</w:t>
      </w:r>
    </w:p>
    <w:p>
      <w:pPr>
        <w:pStyle w:val="AbstractTitle"/>
      </w:pPr>
      <w:r>
        <w:t xml:space="preserve">Abstract</w:t>
      </w:r>
    </w:p>
    <w:p>
      <w:pPr>
        <w:pStyle w:val="Abstract"/>
      </w:pPr>
      <w:r>
        <w:t xml:space="preserve">Retrieval-augmented</w:t>
      </w:r>
      <w:r>
        <w:t xml:space="preserve"> </w:t>
      </w:r>
      <w:r>
        <w:t xml:space="preserve">applications</w:t>
      </w:r>
      <w:r>
        <w:t xml:space="preserve"> </w:t>
      </w:r>
      <w:r>
        <w:t xml:space="preserve">and</w:t>
      </w:r>
      <w:r>
        <w:t xml:space="preserve"> </w:t>
      </w:r>
      <w:r>
        <w:t xml:space="preserve">AI</w:t>
      </w:r>
      <w:r>
        <w:t xml:space="preserve"> </w:t>
      </w:r>
      <w:r>
        <w:t xml:space="preserve">assistants</w:t>
      </w:r>
      <w:r>
        <w:t xml:space="preserve"> </w:t>
      </w:r>
      <w:r>
        <w:t xml:space="preserve">increasingly</w:t>
      </w:r>
      <w:r>
        <w:t xml:space="preserve"> </w:t>
      </w:r>
      <w:r>
        <w:t xml:space="preserve">need</w:t>
      </w:r>
      <w:r>
        <w:t xml:space="preserve"> </w:t>
      </w:r>
      <w:r>
        <w:t xml:space="preserve">a</w:t>
      </w:r>
      <w:r>
        <w:t xml:space="preserve"> </w:t>
      </w:r>
      <w:r>
        <w:t xml:space="preserve">vector</w:t>
      </w:r>
      <w:r>
        <w:t xml:space="preserve"> </w:t>
      </w:r>
      <w:r>
        <w:t xml:space="preserve">store</w:t>
      </w:r>
      <w:r>
        <w:t xml:space="preserve"> </w:t>
      </w:r>
      <w:r>
        <w:t xml:space="preserve">that</w:t>
      </w:r>
      <w:r>
        <w:t xml:space="preserve"> </w:t>
      </w:r>
      <w:r>
        <w:t xml:space="preserve">runs</w:t>
      </w:r>
      <w:r>
        <w:t xml:space="preserve"> </w:t>
      </w:r>
      <w:r>
        <w:t xml:space="preserve">inside</w:t>
      </w:r>
      <w:r>
        <w:t xml:space="preserve"> </w:t>
      </w:r>
      <w:r>
        <w:t xml:space="preserve">the</w:t>
      </w:r>
      <w:r>
        <w:t xml:space="preserve"> </w:t>
      </w:r>
      <w:r>
        <w:t xml:space="preserve">user’s</w:t>
      </w:r>
      <w:r>
        <w:t xml:space="preserve"> </w:t>
      </w:r>
      <w:r>
        <w:t xml:space="preserve">own</w:t>
      </w:r>
      <w:r>
        <w:t xml:space="preserve"> </w:t>
      </w:r>
      <w:r>
        <w:t xml:space="preserve">process,</w:t>
      </w:r>
      <w:r>
        <w:t xml:space="preserve"> </w:t>
      </w:r>
      <w:r>
        <w:t xml:space="preserve">keeps</w:t>
      </w:r>
      <w:r>
        <w:t xml:space="preserve"> </w:t>
      </w:r>
      <w:r>
        <w:t xml:space="preserve">data</w:t>
      </w:r>
      <w:r>
        <w:t xml:space="preserve"> </w:t>
      </w:r>
      <w:r>
        <w:t xml:space="preserve">encrypted</w:t>
      </w:r>
      <w:r>
        <w:t xml:space="preserve"> </w:t>
      </w:r>
      <w:r>
        <w:t xml:space="preserve">on</w:t>
      </w:r>
      <w:r>
        <w:t xml:space="preserve"> </w:t>
      </w:r>
      <w:r>
        <w:t xml:space="preserve">disk,</w:t>
      </w:r>
      <w:r>
        <w:t xml:space="preserve"> </w:t>
      </w:r>
      <w:r>
        <w:t xml:space="preserve">combines</w:t>
      </w:r>
      <w:r>
        <w:t xml:space="preserve"> </w:t>
      </w:r>
      <w:r>
        <w:t xml:space="preserve">semantic</w:t>
      </w:r>
      <w:r>
        <w:t xml:space="preserve"> </w:t>
      </w:r>
      <w:r>
        <w:t xml:space="preserve">and</w:t>
      </w:r>
      <w:r>
        <w:t xml:space="preserve"> </w:t>
      </w:r>
      <w:r>
        <w:t xml:space="preserve">keyword</w:t>
      </w:r>
      <w:r>
        <w:t xml:space="preserve"> </w:t>
      </w:r>
      <w:r>
        <w:t xml:space="preserve">retrieval,</w:t>
      </w:r>
      <w:r>
        <w:t xml:space="preserve"> </w:t>
      </w:r>
      <w:r>
        <w:t xml:space="preserve">and</w:t>
      </w:r>
      <w:r>
        <w:t xml:space="preserve"> </w:t>
      </w:r>
      <w:r>
        <w:t xml:space="preserve">remembers</w:t>
      </w:r>
      <w:r>
        <w:t xml:space="preserve"> </w:t>
      </w:r>
      <w:r>
        <w:t xml:space="preserve">information</w:t>
      </w:r>
      <w:r>
        <w:t xml:space="preserve"> </w:t>
      </w:r>
      <w:r>
        <w:t xml:space="preserve">across</w:t>
      </w:r>
      <w:r>
        <w:t xml:space="preserve"> </w:t>
      </w:r>
      <w:r>
        <w:t xml:space="preserve">conversations.</w:t>
      </w:r>
      <w:r>
        <w:t xml:space="preserve"> </w:t>
      </w:r>
      <w:r>
        <w:t xml:space="preserve">We</w:t>
      </w:r>
      <w:r>
        <w:t xml:space="preserve"> </w:t>
      </w:r>
      <w:r>
        <w:t xml:space="preserve">present</w:t>
      </w:r>
      <w:r>
        <w:t xml:space="preserve"> </w:t>
      </w:r>
      <w:r>
        <w:t xml:space="preserve">VecForge</w:t>
      </w:r>
      <w:r>
        <w:t xml:space="preserve"> </w:t>
      </w:r>
      <w:r>
        <w:t xml:space="preserve">2.0,</w:t>
      </w:r>
      <w:r>
        <w:t xml:space="preserve"> </w:t>
      </w:r>
      <w:r>
        <w:t xml:space="preserve">an</w:t>
      </w:r>
      <w:r>
        <w:t xml:space="preserve"> </w:t>
      </w:r>
      <w:r>
        <w:t xml:space="preserve">embedded</w:t>
      </w:r>
      <w:r>
        <w:t xml:space="preserve"> </w:t>
      </w:r>
      <w:r>
        <w:t xml:space="preserve">Python</w:t>
      </w:r>
      <w:r>
        <w:t xml:space="preserve"> </w:t>
      </w:r>
      <w:r>
        <w:t xml:space="preserve">vector</w:t>
      </w:r>
      <w:r>
        <w:t xml:space="preserve"> </w:t>
      </w:r>
      <w:r>
        <w:t xml:space="preserve">database</w:t>
      </w:r>
      <w:r>
        <w:t xml:space="preserve"> </w:t>
      </w:r>
      <w:r>
        <w:t xml:space="preserve">built</w:t>
      </w:r>
      <w:r>
        <w:t xml:space="preserve"> </w:t>
      </w:r>
      <w:r>
        <w:t xml:space="preserve">around</w:t>
      </w:r>
      <w:r>
        <w:t xml:space="preserve"> </w:t>
      </w:r>
      <w:r>
        <w:t xml:space="preserve">four</w:t>
      </w:r>
      <w:r>
        <w:t xml:space="preserve"> </w:t>
      </w:r>
      <w:r>
        <w:t xml:space="preserve">ideas.</w:t>
      </w:r>
      <w:r>
        <w:t xml:space="preserve"> </w:t>
      </w:r>
      <w:r>
        <w:t xml:space="preserve">First,</w:t>
      </w:r>
      <w:r>
        <w:t xml:space="preserve"> </w:t>
      </w:r>
      <w:r>
        <w:t xml:space="preserve">a</w:t>
      </w:r>
      <w:r>
        <w:t xml:space="preserve"> </w:t>
      </w:r>
      <w:r>
        <w:t xml:space="preserve">hybrid</w:t>
      </w:r>
      <w:r>
        <w:t xml:space="preserve"> </w:t>
      </w:r>
      <w:r>
        <w:t xml:space="preserve">retriever</w:t>
      </w:r>
      <w:r>
        <w:t xml:space="preserve"> </w:t>
      </w:r>
      <w:r>
        <w:t xml:space="preserve">fuses</w:t>
      </w:r>
      <w:r>
        <w:t xml:space="preserve"> </w:t>
      </w:r>
      <w:r>
        <w:t xml:space="preserve">FAISS</w:t>
      </w:r>
      <w:r>
        <w:t xml:space="preserve"> </w:t>
      </w:r>
      <w:r>
        <w:t xml:space="preserve">dense</w:t>
      </w:r>
      <w:r>
        <w:t xml:space="preserve"> </w:t>
      </w:r>
      <w:r>
        <w:t xml:space="preserve">search</w:t>
      </w:r>
      <w:r>
        <w:t xml:space="preserve"> </w:t>
      </w:r>
      <w:r>
        <w:t xml:space="preserve">with</w:t>
      </w:r>
      <w:r>
        <w:t xml:space="preserve"> </w:t>
      </w:r>
      <w:r>
        <w:t xml:space="preserve">an</w:t>
      </w:r>
      <w:r>
        <w:t xml:space="preserve"> </w:t>
      </w:r>
      <w:r>
        <w:t xml:space="preserve">incremental</w:t>
      </w:r>
      <w:r>
        <w:t xml:space="preserve"> </w:t>
      </w:r>
      <w:r>
        <w:t xml:space="preserve">inverted-index</w:t>
      </w:r>
      <w:r>
        <w:t xml:space="preserve"> </w:t>
      </w:r>
      <w:r>
        <w:t xml:space="preserve">BM25,</w:t>
      </w:r>
      <w:r>
        <w:t xml:space="preserve"> </w:t>
      </w:r>
      <w:r>
        <w:t xml:space="preserve">and</w:t>
      </w:r>
      <w:r>
        <w:t xml:space="preserve"> </w:t>
      </w:r>
      <w:r>
        <w:t xml:space="preserve">applies</w:t>
      </w:r>
      <w:r>
        <w:t xml:space="preserve"> </w:t>
      </w:r>
      <w:r>
        <w:t xml:space="preserve">namespace</w:t>
      </w:r>
      <w:r>
        <w:t xml:space="preserve"> </w:t>
      </w:r>
      <w:r>
        <w:t xml:space="preserve">and</w:t>
      </w:r>
      <w:r>
        <w:t xml:space="preserve"> </w:t>
      </w:r>
      <w:r>
        <w:t xml:space="preserve">deletion</w:t>
      </w:r>
      <w:r>
        <w:t xml:space="preserve"> </w:t>
      </w:r>
      <w:r>
        <w:t xml:space="preserve">constraints</w:t>
      </w:r>
      <w:r>
        <w:t xml:space="preserve"> </w:t>
      </w:r>
      <w:r>
        <w:t xml:space="preserve">inside</w:t>
      </w:r>
      <w:r>
        <w:t xml:space="preserve"> </w:t>
      </w:r>
      <w:r>
        <w:t xml:space="preserve">the</w:t>
      </w:r>
      <w:r>
        <w:t xml:space="preserve"> </w:t>
      </w:r>
      <w:r>
        <w:t xml:space="preserve">vector</w:t>
      </w:r>
      <w:r>
        <w:t xml:space="preserve"> </w:t>
      </w:r>
      <w:r>
        <w:t xml:space="preserve">index</w:t>
      </w:r>
      <w:r>
        <w:t xml:space="preserve"> </w:t>
      </w:r>
      <w:r>
        <w:t xml:space="preserve">rather</w:t>
      </w:r>
      <w:r>
        <w:t xml:space="preserve"> </w:t>
      </w:r>
      <w:r>
        <w:t xml:space="preserve">than</w:t>
      </w:r>
      <w:r>
        <w:t xml:space="preserve"> </w:t>
      </w:r>
      <w:r>
        <w:t xml:space="preserve">after</w:t>
      </w:r>
      <w:r>
        <w:t xml:space="preserve"> </w:t>
      </w:r>
      <w:r>
        <w:t xml:space="preserve">it.</w:t>
      </w:r>
      <w:r>
        <w:t xml:space="preserve"> </w:t>
      </w:r>
      <w:r>
        <w:t xml:space="preserve">Second,</w:t>
      </w:r>
      <w:r>
        <w:t xml:space="preserve"> </w:t>
      </w:r>
      <w:r>
        <w:t xml:space="preserve">index</w:t>
      </w:r>
      <w:r>
        <w:t xml:space="preserve"> </w:t>
      </w:r>
      <w:r>
        <w:t xml:space="preserve">snapshots</w:t>
      </w:r>
      <w:r>
        <w:t xml:space="preserve"> </w:t>
      </w:r>
      <w:r>
        <w:t xml:space="preserve">stored</w:t>
      </w:r>
      <w:r>
        <w:t xml:space="preserve"> </w:t>
      </w:r>
      <w:r>
        <w:t xml:space="preserve">inside</w:t>
      </w:r>
      <w:r>
        <w:t xml:space="preserve"> </w:t>
      </w:r>
      <w:r>
        <w:t xml:space="preserve">the</w:t>
      </w:r>
      <w:r>
        <w:t xml:space="preserve"> </w:t>
      </w:r>
      <w:r>
        <w:t xml:space="preserve">encrypted</w:t>
      </w:r>
      <w:r>
        <w:t xml:space="preserve"> </w:t>
      </w:r>
      <w:r>
        <w:t xml:space="preserve">SQLite</w:t>
      </w:r>
      <w:r>
        <w:t xml:space="preserve"> </w:t>
      </w:r>
      <w:r>
        <w:t xml:space="preserve">vault,</w:t>
      </w:r>
      <w:r>
        <w:t xml:space="preserve"> </w:t>
      </w:r>
      <w:r>
        <w:t xml:space="preserve">validated</w:t>
      </w:r>
      <w:r>
        <w:t xml:space="preserve"> </w:t>
      </w:r>
      <w:r>
        <w:t xml:space="preserve">by</w:t>
      </w:r>
      <w:r>
        <w:t xml:space="preserve"> </w:t>
      </w:r>
      <w:r>
        <w:t xml:space="preserve">a</w:t>
      </w:r>
      <w:r>
        <w:t xml:space="preserve"> </w:t>
      </w:r>
      <w:r>
        <w:t xml:space="preserve">generation</w:t>
      </w:r>
      <w:r>
        <w:t xml:space="preserve"> </w:t>
      </w:r>
      <w:r>
        <w:t xml:space="preserve">counter,</w:t>
      </w:r>
      <w:r>
        <w:t xml:space="preserve"> </w:t>
      </w:r>
      <w:r>
        <w:t xml:space="preserve">let</w:t>
      </w:r>
      <w:r>
        <w:t xml:space="preserve"> </w:t>
      </w:r>
      <w:r>
        <w:t xml:space="preserve">a</w:t>
      </w:r>
      <w:r>
        <w:t xml:space="preserve"> </w:t>
      </w:r>
      <w:r>
        <w:t xml:space="preserve">database</w:t>
      </w:r>
      <w:r>
        <w:t xml:space="preserve"> </w:t>
      </w:r>
      <w:r>
        <w:t xml:space="preserve">reopen</w:t>
      </w:r>
      <w:r>
        <w:t xml:space="preserve"> </w:t>
      </w:r>
      <w:r>
        <w:t xml:space="preserve">without</w:t>
      </w:r>
      <w:r>
        <w:t xml:space="preserve"> </w:t>
      </w:r>
      <w:r>
        <w:t xml:space="preserve">rebuilding</w:t>
      </w:r>
      <w:r>
        <w:t xml:space="preserve"> </w:t>
      </w:r>
      <w:r>
        <w:t xml:space="preserve">its</w:t>
      </w:r>
      <w:r>
        <w:t xml:space="preserve"> </w:t>
      </w:r>
      <w:r>
        <w:t xml:space="preserve">indexes.</w:t>
      </w:r>
      <w:r>
        <w:t xml:space="preserve"> </w:t>
      </w:r>
      <w:r>
        <w:t xml:space="preserve">Third,</w:t>
      </w:r>
      <w:r>
        <w:t xml:space="preserve"> </w:t>
      </w:r>
      <w:r>
        <w:t xml:space="preserve">a</w:t>
      </w:r>
      <w:r>
        <w:t xml:space="preserve"> </w:t>
      </w:r>
      <w:r>
        <w:t xml:space="preserve">persistent</w:t>
      </w:r>
      <w:r>
        <w:t xml:space="preserve"> </w:t>
      </w:r>
      <w:r>
        <w:t xml:space="preserve">memory</w:t>
      </w:r>
      <w:r>
        <w:t xml:space="preserve"> </w:t>
      </w:r>
      <w:r>
        <w:t xml:space="preserve">layer</w:t>
      </w:r>
      <w:r>
        <w:t xml:space="preserve"> </w:t>
      </w:r>
      <w:r>
        <w:t xml:space="preserve">exposed</w:t>
      </w:r>
      <w:r>
        <w:t xml:space="preserve"> </w:t>
      </w:r>
      <w:r>
        <w:t xml:space="preserve">over</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gives</w:t>
      </w:r>
      <w:r>
        <w:t xml:space="preserve"> </w:t>
      </w:r>
      <w:r>
        <w:t xml:space="preserve">assistants</w:t>
      </w:r>
      <w:r>
        <w:t xml:space="preserve"> </w:t>
      </w:r>
      <w:r>
        <w:t xml:space="preserve">such</w:t>
      </w:r>
      <w:r>
        <w:t xml:space="preserve"> </w:t>
      </w:r>
      <w:r>
        <w:t xml:space="preserve">as</w:t>
      </w:r>
      <w:r>
        <w:t xml:space="preserve"> </w:t>
      </w:r>
      <w:r>
        <w:t xml:space="preserve">Claude</w:t>
      </w:r>
      <w:r>
        <w:t xml:space="preserve"> </w:t>
      </w:r>
      <w:r>
        <w:t xml:space="preserve">long-term,</w:t>
      </w:r>
      <w:r>
        <w:t xml:space="preserve"> </w:t>
      </w:r>
      <w:r>
        <w:t xml:space="preserve">per-agent</w:t>
      </w:r>
      <w:r>
        <w:t xml:space="preserve"> </w:t>
      </w:r>
      <w:r>
        <w:t xml:space="preserve">memory</w:t>
      </w:r>
      <w:r>
        <w:t xml:space="preserve"> </w:t>
      </w:r>
      <w:r>
        <w:t xml:space="preserve">ranked</w:t>
      </w:r>
      <w:r>
        <w:t xml:space="preserve"> </w:t>
      </w:r>
      <w:r>
        <w:t xml:space="preserve">by</w:t>
      </w:r>
      <w:r>
        <w:t xml:space="preserve"> </w:t>
      </w:r>
      <w:r>
        <w:t xml:space="preserve">relevance,</w:t>
      </w:r>
      <w:r>
        <w:t xml:space="preserve"> </w:t>
      </w:r>
      <w:r>
        <w:t xml:space="preserve">importance</w:t>
      </w:r>
      <w:r>
        <w:t xml:space="preserve"> </w:t>
      </w:r>
      <w:r>
        <w:t xml:space="preserve">and</w:t>
      </w:r>
      <w:r>
        <w:t xml:space="preserve"> </w:t>
      </w:r>
      <w:r>
        <w:t xml:space="preserve">recency.</w:t>
      </w:r>
      <w:r>
        <w:t xml:space="preserve"> </w:t>
      </w:r>
      <w:r>
        <w:t xml:space="preserve">Fourth,</w:t>
      </w:r>
      <w:r>
        <w:t xml:space="preserve"> </w:t>
      </w:r>
      <w:r>
        <w:t xml:space="preserve">a</w:t>
      </w:r>
      <w:r>
        <w:t xml:space="preserve"> </w:t>
      </w:r>
      <w:r>
        <w:t xml:space="preserve">quantum-inspired</w:t>
      </w:r>
      <w:r>
        <w:t xml:space="preserve"> </w:t>
      </w:r>
      <w:r>
        <w:t xml:space="preserve">reranker</w:t>
      </w:r>
      <w:r>
        <w:t xml:space="preserve"> </w:t>
      </w:r>
      <w:r>
        <w:t xml:space="preserve">based</w:t>
      </w:r>
      <w:r>
        <w:t xml:space="preserve"> </w:t>
      </w:r>
      <w:r>
        <w:t xml:space="preserve">on</w:t>
      </w:r>
      <w:r>
        <w:t xml:space="preserve"> </w:t>
      </w:r>
      <w:r>
        <w:t xml:space="preserve">Grover</w:t>
      </w:r>
      <w:r>
        <w:t xml:space="preserve"> </w:t>
      </w:r>
      <w:r>
        <w:t xml:space="preserve">amplitude</w:t>
      </w:r>
      <w:r>
        <w:t xml:space="preserve"> </w:t>
      </w:r>
      <w:r>
        <w:t xml:space="preserve">amplification.</w:t>
      </w:r>
      <w:r>
        <w:t xml:space="preserve"> </w:t>
      </w:r>
      <w:r>
        <w:t xml:space="preserve">We</w:t>
      </w:r>
      <w:r>
        <w:t xml:space="preserve"> </w:t>
      </w:r>
      <w:r>
        <w:t xml:space="preserve">show</w:t>
      </w:r>
      <w:r>
        <w:t xml:space="preserve"> </w:t>
      </w:r>
      <w:r>
        <w:t xml:space="preserve">analytically</w:t>
      </w:r>
      <w:r>
        <w:t xml:space="preserve"> </w:t>
      </w:r>
      <w:r>
        <w:t xml:space="preserve">and</w:t>
      </w:r>
      <w:r>
        <w:t xml:space="preserve"> </w:t>
      </w:r>
      <w:r>
        <w:t xml:space="preserve">empirically</w:t>
      </w:r>
      <w:r>
        <w:t xml:space="preserve"> </w:t>
      </w:r>
      <w:r>
        <w:t xml:space="preserve">that</w:t>
      </w:r>
      <w:r>
        <w:t xml:space="preserve"> </w:t>
      </w:r>
      <w:r>
        <w:t xml:space="preserve">the</w:t>
      </w:r>
      <w:r>
        <w:t xml:space="preserve"> </w:t>
      </w:r>
      <w:r>
        <w:t xml:space="preserve">reranker</w:t>
      </w:r>
      <w:r>
        <w:t xml:space="preserve"> </w:t>
      </w:r>
      <w:r>
        <w:t xml:space="preserve">in</w:t>
      </w:r>
      <w:r>
        <w:t xml:space="preserve"> </w:t>
      </w:r>
      <w:r>
        <w:t xml:space="preserve">the</w:t>
      </w:r>
      <w:r>
        <w:t xml:space="preserve"> </w:t>
      </w:r>
      <w:r>
        <w:t xml:space="preserve">previous</w:t>
      </w:r>
      <w:r>
        <w:t xml:space="preserve"> </w:t>
      </w:r>
      <w:r>
        <w:t xml:space="preserve">release</w:t>
      </w:r>
      <w:r>
        <w:t xml:space="preserve"> </w:t>
      </w:r>
      <w:r>
        <w:t xml:space="preserve">applied</w:t>
      </w:r>
      <w:r>
        <w:t xml:space="preserve"> </w:t>
      </w:r>
      <w:r>
        <w:t xml:space="preserve">only</w:t>
      </w:r>
      <w:r>
        <w:t xml:space="preserve"> </w:t>
      </w:r>
      <w:r>
        <w:t xml:space="preserve">the</w:t>
      </w:r>
      <w:r>
        <w:t xml:space="preserve"> </w:t>
      </w:r>
      <w:r>
        <w:t xml:space="preserve">diffusion</w:t>
      </w:r>
      <w:r>
        <w:t xml:space="preserve"> </w:t>
      </w:r>
      <w:r>
        <w:t xml:space="preserve">half</w:t>
      </w:r>
      <w:r>
        <w:t xml:space="preserve"> </w:t>
      </w:r>
      <w:r>
        <w:t xml:space="preserve">of</w:t>
      </w:r>
      <w:r>
        <w:t xml:space="preserve"> </w:t>
      </w:r>
      <w:r>
        <w:t xml:space="preserve">Grover’s</w:t>
      </w:r>
      <w:r>
        <w:t xml:space="preserve"> </w:t>
      </w:r>
      <w:r>
        <w:t xml:space="preserve">algorithm,</w:t>
      </w:r>
      <w:r>
        <w:t xml:space="preserve"> </w:t>
      </w:r>
      <w:r>
        <w:t xml:space="preserve">which</w:t>
      </w:r>
      <w:r>
        <w:t xml:space="preserve"> </w:t>
      </w:r>
      <w:r>
        <w:t xml:space="preserve">is</w:t>
      </w:r>
      <w:r>
        <w:t xml:space="preserve"> </w:t>
      </w:r>
      <w:r>
        <w:t xml:space="preserve">an</w:t>
      </w:r>
      <w:r>
        <w:t xml:space="preserve"> </w:t>
      </w:r>
      <w:r>
        <w:t xml:space="preserve">involution:</w:t>
      </w:r>
      <w:r>
        <w:t xml:space="preserve"> </w:t>
      </w:r>
      <w:r>
        <w:t xml:space="preserve">it</w:t>
      </w:r>
      <w:r>
        <w:t xml:space="preserve"> </w:t>
      </w:r>
      <w:r>
        <w:t xml:space="preserve">reversed</w:t>
      </w:r>
      <w:r>
        <w:t xml:space="preserve"> </w:t>
      </w:r>
      <w:r>
        <w:t xml:space="preserve">the</w:t>
      </w:r>
      <w:r>
        <w:t xml:space="preserve"> </w:t>
      </w:r>
      <w:r>
        <w:t xml:space="preserve">ranking</w:t>
      </w:r>
      <w:r>
        <w:t xml:space="preserve"> </w:t>
      </w:r>
      <w:r>
        <w:t xml:space="preserve">for</w:t>
      </w:r>
      <w:r>
        <w:t xml:space="preserve"> </w:t>
      </w:r>
      <w:r>
        <w:t xml:space="preserve">50.2%</w:t>
      </w:r>
      <w:r>
        <w:t xml:space="preserve"> </w:t>
      </w:r>
      <w:r>
        <w:t xml:space="preserve">of</w:t>
      </w:r>
      <w:r>
        <w:t xml:space="preserve"> </w:t>
      </w:r>
      <w:r>
        <w:t xml:space="preserve">candidate-list</w:t>
      </w:r>
      <w:r>
        <w:t xml:space="preserve"> </w:t>
      </w:r>
      <w:r>
        <w:t xml:space="preserve">sizes</w:t>
      </w:r>
      <w:r>
        <w:t xml:space="preserve"> </w:t>
      </w:r>
      <w:r>
        <w:t xml:space="preserve">and</w:t>
      </w:r>
      <w:r>
        <w:t xml:space="preserve"> </w:t>
      </w:r>
      <w:r>
        <w:t xml:space="preserve">left</w:t>
      </w:r>
      <w:r>
        <w:t xml:space="preserve"> </w:t>
      </w:r>
      <w:r>
        <w:t xml:space="preserve">it</w:t>
      </w:r>
      <w:r>
        <w:t xml:space="preserve"> </w:t>
      </w:r>
      <w:r>
        <w:t xml:space="preserve">unchanged</w:t>
      </w:r>
      <w:r>
        <w:t xml:space="preserve"> </w:t>
      </w:r>
      <w:r>
        <w:t xml:space="preserve">for</w:t>
      </w:r>
      <w:r>
        <w:t xml:space="preserve"> </w:t>
      </w:r>
      <w:r>
        <w:t xml:space="preserve">the</w:t>
      </w:r>
      <w:r>
        <w:t xml:space="preserve"> </w:t>
      </w:r>
      <w:r>
        <w:t xml:space="preserve">rest.</w:t>
      </w:r>
      <w:r>
        <w:t xml:space="preserve"> </w:t>
      </w:r>
      <w:r>
        <w:t xml:space="preserve">VecForge</w:t>
      </w:r>
      <w:r>
        <w:t xml:space="preserve"> </w:t>
      </w:r>
      <w:r>
        <w:t xml:space="preserve">2.0</w:t>
      </w:r>
      <w:r>
        <w:t xml:space="preserve"> </w:t>
      </w:r>
      <w:r>
        <w:t xml:space="preserve">implements</w:t>
      </w:r>
      <w:r>
        <w:t xml:space="preserve"> </w:t>
      </w:r>
      <w:r>
        <w:t xml:space="preserve">oracle</w:t>
      </w:r>
      <w:r>
        <w:t xml:space="preserve"> </w:t>
      </w:r>
      <w:r>
        <w:t xml:space="preserve">and</w:t>
      </w:r>
      <w:r>
        <w:t xml:space="preserve"> </w:t>
      </w:r>
      <w:r>
        <w:t xml:space="preserve">diffusion</w:t>
      </w:r>
      <w:r>
        <w:t xml:space="preserve"> </w:t>
      </w:r>
      <w:r>
        <w:t xml:space="preserve">together</w:t>
      </w:r>
      <w:r>
        <w:t xml:space="preserve"> </w:t>
      </w:r>
      <w:r>
        <w:t xml:space="preserve">in</w:t>
      </w:r>
      <w:r>
        <w:t xml:space="preserve"> </w:t>
      </w:r>
      <w:r>
        <w:t xml:space="preserve">closed</w:t>
      </w:r>
      <w:r>
        <w:t xml:space="preserve"> </w:t>
      </w:r>
      <w:r>
        <w:t xml:space="preserve">form</w:t>
      </w:r>
      <w:r>
        <w:t xml:space="preserve"> </w:t>
      </w:r>
      <w:r>
        <w:t xml:space="preserve">in</w:t>
      </w:r>
      <w:r>
        <w:t xml:space="preserve"> </w:t>
      </w:r>
      <w:r>
        <w:t xml:space="preserve">O(N)</w:t>
      </w:r>
      <w:r>
        <w:t xml:space="preserve"> </w:t>
      </w:r>
      <w:r>
        <w:t xml:space="preserve">time,</w:t>
      </w:r>
      <w:r>
        <w:t xml:space="preserve"> </w:t>
      </w:r>
      <w:r>
        <w:t xml:space="preserve">provably</w:t>
      </w:r>
      <w:r>
        <w:t xml:space="preserve"> </w:t>
      </w:r>
      <w:r>
        <w:t xml:space="preserve">preserves</w:t>
      </w:r>
      <w:r>
        <w:t xml:space="preserve"> </w:t>
      </w:r>
      <w:r>
        <w:t xml:space="preserve">order</w:t>
      </w:r>
      <w:r>
        <w:t xml:space="preserve"> </w:t>
      </w:r>
      <w:r>
        <w:t xml:space="preserve">within</w:t>
      </w:r>
      <w:r>
        <w:t xml:space="preserve"> </w:t>
      </w:r>
      <w:r>
        <w:t xml:space="preserve">the</w:t>
      </w:r>
      <w:r>
        <w:t xml:space="preserve"> </w:t>
      </w:r>
      <w:r>
        <w:t xml:space="preserve">marked</w:t>
      </w:r>
      <w:r>
        <w:t xml:space="preserve"> </w:t>
      </w:r>
      <w:r>
        <w:t xml:space="preserve">and</w:t>
      </w:r>
      <w:r>
        <w:t xml:space="preserve"> </w:t>
      </w:r>
      <w:r>
        <w:t xml:space="preserve">unmarked</w:t>
      </w:r>
      <w:r>
        <w:t xml:space="preserve"> </w:t>
      </w:r>
      <w:r>
        <w:t xml:space="preserve">sets,</w:t>
      </w:r>
      <w:r>
        <w:t xml:space="preserve"> </w:t>
      </w:r>
      <w:r>
        <w:t xml:space="preserve">and</w:t>
      </w:r>
      <w:r>
        <w:t xml:space="preserve"> </w:t>
      </w:r>
      <w:r>
        <w:t xml:space="preserve">reranks</w:t>
      </w:r>
      <w:r>
        <w:t xml:space="preserve"> </w:t>
      </w:r>
      <w:r>
        <w:t xml:space="preserve">a</w:t>
      </w:r>
      <w:r>
        <w:t xml:space="preserve"> </w:t>
      </w:r>
      <w:r>
        <w:t xml:space="preserve">million</w:t>
      </w:r>
      <w:r>
        <w:t xml:space="preserve"> </w:t>
      </w:r>
      <w:r>
        <w:t xml:space="preserve">candidates</w:t>
      </w:r>
      <w:r>
        <w:t xml:space="preserve"> </w:t>
      </w:r>
      <w:r>
        <w:t xml:space="preserve">in</w:t>
      </w:r>
      <w:r>
        <w:t xml:space="preserve"> </w:t>
      </w:r>
      <w:r>
        <w:t xml:space="preserve">about</w:t>
      </w:r>
      <w:r>
        <w:t xml:space="preserve"> </w:t>
      </w:r>
      <w:r>
        <w:t xml:space="preserve">2</w:t>
      </w:r>
      <w:r>
        <w:t xml:space="preserve"> </w:t>
      </w:r>
      <w:r>
        <w:t xml:space="preserve">ms</w:t>
      </w:r>
      <w:r>
        <w:t xml:space="preserve"> </w:t>
      </w:r>
      <w:r>
        <w:t xml:space="preserve">at</w:t>
      </w:r>
      <w:r>
        <w:t xml:space="preserve"> </w:t>
      </w:r>
      <w:r>
        <w:t xml:space="preserve">the</w:t>
      </w:r>
      <w:r>
        <w:t xml:space="preserve"> </w:t>
      </w:r>
      <w:r>
        <w:t xml:space="preserve">median.</w:t>
      </w:r>
      <w:r>
        <w:t xml:space="preserve"> </w:t>
      </w:r>
      <w:r>
        <w:t xml:space="preserve">We</w:t>
      </w:r>
      <w:r>
        <w:t xml:space="preserve"> </w:t>
      </w:r>
      <w:r>
        <w:t xml:space="preserve">evaluate</w:t>
      </w:r>
      <w:r>
        <w:t xml:space="preserve"> </w:t>
      </w:r>
      <w:r>
        <w:t xml:space="preserve">each</w:t>
      </w:r>
      <w:r>
        <w:t xml:space="preserve"> </w:t>
      </w:r>
      <w:r>
        <w:t xml:space="preserve">component</w:t>
      </w:r>
      <w:r>
        <w:t xml:space="preserve"> </w:t>
      </w:r>
      <w:r>
        <w:t xml:space="preserve">on</w:t>
      </w:r>
      <w:r>
        <w:t xml:space="preserve"> </w:t>
      </w:r>
      <w:r>
        <w:t xml:space="preserve">commodity</w:t>
      </w:r>
      <w:r>
        <w:t xml:space="preserve"> </w:t>
      </w:r>
      <w:r>
        <w:t xml:space="preserve">hardware</w:t>
      </w:r>
      <w:r>
        <w:t xml:space="preserve"> </w:t>
      </w:r>
      <w:r>
        <w:t xml:space="preserve">against</w:t>
      </w:r>
      <w:r>
        <w:t xml:space="preserve"> </w:t>
      </w:r>
      <w:r>
        <w:t xml:space="preserve">the</w:t>
      </w:r>
      <w:r>
        <w:t xml:space="preserve"> </w:t>
      </w:r>
      <w:r>
        <w:t xml:space="preserve">1.x</w:t>
      </w:r>
      <w:r>
        <w:t xml:space="preserve"> </w:t>
      </w:r>
      <w:r>
        <w:t xml:space="preserve">code</w:t>
      </w:r>
      <w:r>
        <w:t xml:space="preserve"> </w:t>
      </w:r>
      <w:r>
        <w:t xml:space="preserve">as</w:t>
      </w:r>
      <w:r>
        <w:t xml:space="preserve"> </w:t>
      </w:r>
      <w:r>
        <w:t xml:space="preserve">a</w:t>
      </w:r>
      <w:r>
        <w:t xml:space="preserve"> </w:t>
      </w:r>
      <w:r>
        <w:t xml:space="preserve">baseline,</w:t>
      </w:r>
      <w:r>
        <w:t xml:space="preserve"> </w:t>
      </w:r>
      <w:r>
        <w:t xml:space="preserve">report</w:t>
      </w:r>
      <w:r>
        <w:t xml:space="preserve"> </w:t>
      </w:r>
      <w:r>
        <w:t xml:space="preserve">where</w:t>
      </w:r>
      <w:r>
        <w:t xml:space="preserve"> </w:t>
      </w:r>
      <w:r>
        <w:t xml:space="preserve">the</w:t>
      </w:r>
      <w:r>
        <w:t xml:space="preserve"> </w:t>
      </w:r>
      <w:r>
        <w:t xml:space="preserve">new</w:t>
      </w:r>
      <w:r>
        <w:t xml:space="preserve"> </w:t>
      </w:r>
      <w:r>
        <w:t xml:space="preserve">design</w:t>
      </w:r>
      <w:r>
        <w:t xml:space="preserve"> </w:t>
      </w:r>
      <w:r>
        <w:t xml:space="preserve">helps</w:t>
      </w:r>
      <w:r>
        <w:t xml:space="preserve"> </w:t>
      </w:r>
      <w:r>
        <w:t xml:space="preserve">and</w:t>
      </w:r>
      <w:r>
        <w:t xml:space="preserve"> </w:t>
      </w:r>
      <w:r>
        <w:t xml:space="preserve">where</w:t>
      </w:r>
      <w:r>
        <w:t xml:space="preserve"> </w:t>
      </w:r>
      <w:r>
        <w:t xml:space="preserve">it</w:t>
      </w:r>
      <w:r>
        <w:t xml:space="preserve"> </w:t>
      </w:r>
      <w:r>
        <w:t xml:space="preserve">does</w:t>
      </w:r>
      <w:r>
        <w:t xml:space="preserve"> </w:t>
      </w:r>
      <w:r>
        <w:t xml:space="preserve">not,</w:t>
      </w:r>
      <w:r>
        <w:t xml:space="preserve"> </w:t>
      </w:r>
      <w:r>
        <w:t xml:space="preserve">and</w:t>
      </w:r>
      <w:r>
        <w:t xml:space="preserve"> </w:t>
      </w:r>
      <w:r>
        <w:t xml:space="preserve">release</w:t>
      </w:r>
      <w:r>
        <w:t xml:space="preserve"> </w:t>
      </w:r>
      <w:r>
        <w:t xml:space="preserve">the</w:t>
      </w:r>
      <w:r>
        <w:t xml:space="preserve"> </w:t>
      </w:r>
      <w:r>
        <w:t xml:space="preserve">system,</w:t>
      </w:r>
      <w:r>
        <w:t xml:space="preserve"> </w:t>
      </w:r>
      <w:r>
        <w:t xml:space="preserve">experiments</w:t>
      </w:r>
      <w:r>
        <w:t xml:space="preserve"> </w:t>
      </w:r>
      <w:r>
        <w:t xml:space="preserve">and</w:t>
      </w:r>
      <w:r>
        <w:t xml:space="preserve"> </w:t>
      </w:r>
      <w:r>
        <w:t xml:space="preserve">data</w:t>
      </w:r>
      <w:r>
        <w:t xml:space="preserve"> </w:t>
      </w:r>
      <w:r>
        <w:t xml:space="preserve">generators</w:t>
      </w:r>
      <w:r>
        <w:t xml:space="preserve"> </w:t>
      </w:r>
      <w:r>
        <w:t xml:space="preserve">for</w:t>
      </w:r>
      <w:r>
        <w:t xml:space="preserve"> </w:t>
      </w:r>
      <w:r>
        <w:t xml:space="preserve">reproduction.</w:t>
      </w:r>
    </w:p>
    <w:bookmarkStart w:id="20" w:name="introduction"/>
    <w:p>
      <w:pPr>
        <w:pStyle w:val="Heading1"/>
      </w:pPr>
      <w:r>
        <w:rPr>
          <w:rStyle w:val="SectionNumber"/>
        </w:rPr>
        <w:t xml:space="preserve">1</w:t>
      </w:r>
      <w:r>
        <w:tab/>
      </w:r>
      <w:r>
        <w:t xml:space="preserve">Introduction</w:t>
      </w:r>
    </w:p>
    <w:p>
      <w:pPr>
        <w:pStyle w:val="FirstParagraph"/>
      </w:pPr>
      <w:r>
        <w:t xml:space="preserve">Large language models (LLMs) answer better when they can retrieve relevant context at inference time</w:t>
      </w:r>
      <w:r>
        <w:t xml:space="preserve"> </w:t>
      </w:r>
      <w:r>
        <w:t xml:space="preserve">[1]</w:t>
      </w:r>
      <w:r>
        <w:t xml:space="preserve">. In practice this requires a vector store: a system that embeds documents, indexes the vectors for approximate nearest-neighbour search, and returns the closest matches to a query. Most production vector databases are network services, either hosted</w:t>
      </w:r>
      <w:r>
        <w:t xml:space="preserve"> </w:t>
      </w:r>
      <w:r>
        <w:t xml:space="preserve">[2]</w:t>
      </w:r>
      <w:r>
        <w:t xml:space="preserve"> </w:t>
      </w:r>
      <w:r>
        <w:t xml:space="preserve">or self-managed</w:t>
      </w:r>
      <w:r>
        <w:t xml:space="preserve"> </w:t>
      </w:r>
      <w:r>
        <w:t xml:space="preserve">[3]</w:t>
      </w:r>
      <w:r>
        <w:t xml:space="preserve">. That model fits large shared deployments, but it is a poor fit for three growing groups of users: developers who want retrieval inside a single Python process, organisations whose data may not leave the machine for privacy or regulatory reasons, and AI assistants that need a private, durable memory of the person they work with.</w:t>
      </w:r>
    </w:p>
    <w:p>
      <w:pPr>
        <w:pStyle w:val="BodyText"/>
      </w:pPr>
      <w:r>
        <w:t xml:space="preserve">The third group is new. Assistants such as Claude can now call local tools through the Model Context Protocol (MCP)</w:t>
      </w:r>
      <w:r>
        <w:t xml:space="preserve"> </w:t>
      </w:r>
      <w:r>
        <w:t xml:space="preserve">[4]</w:t>
      </w:r>
      <w:r>
        <w:t xml:space="preserve">. A local memory store reachable over MCP lets an assistant remember a preference stated on Monday when a new conversation starts on Friday, without that memory ever leaving the user’s computer. Prior work on agent memory, such as the memory stream of Generative Agents</w:t>
      </w:r>
      <w:r>
        <w:t xml:space="preserve"> </w:t>
      </w:r>
      <w:r>
        <w:t xml:space="preserve">[5]</w:t>
      </w:r>
      <w:r>
        <w:t xml:space="preserve"> </w:t>
      </w:r>
      <w:r>
        <w:t xml:space="preserve">and the hierarchical memory of MemGPT</w:t>
      </w:r>
      <w:r>
        <w:t xml:space="preserve"> </w:t>
      </w:r>
      <w:r>
        <w:t xml:space="preserve">[6]</w:t>
      </w:r>
      <w:r>
        <w:t xml:space="preserve">, establishes that relevance, importance and recency all matter when deciding what an agent should recall. These systems describe memory architectures; they do not provide an embeddable, encrypted store with a standard tool interface.</w:t>
      </w:r>
    </w:p>
    <w:p>
      <w:pPr>
        <w:pStyle w:val="BodyText"/>
      </w:pPr>
      <w:r>
        <w:t xml:space="preserve">VecForge is an embedded, local-first</w:t>
      </w:r>
      <w:r>
        <w:t xml:space="preserve"> </w:t>
      </w:r>
      <w:r>
        <w:t xml:space="preserve">[7]</w:t>
      </w:r>
      <w:r>
        <w:t xml:space="preserve"> </w:t>
      </w:r>
      <w:r>
        <w:t xml:space="preserve">vector database for Python. Its first public releases (1.0 and 1.1) combined FAISS</w:t>
      </w:r>
      <w:r>
        <w:t xml:space="preserve"> </w:t>
      </w:r>
      <w:r>
        <w:t xml:space="preserve">[8, 9]</w:t>
      </w:r>
      <w:r>
        <w:t xml:space="preserve"> </w:t>
      </w:r>
      <w:r>
        <w:t xml:space="preserve">dense search, BM25 keyword search</w:t>
      </w:r>
      <w:r>
        <w:t xml:space="preserve"> </w:t>
      </w:r>
      <w:r>
        <w:t xml:space="preserve">[10]</w:t>
      </w:r>
      <w:r>
        <w:t xml:space="preserve">, SQLCipher encryption</w:t>
      </w:r>
      <w:r>
        <w:t xml:space="preserve"> </w:t>
      </w:r>
      <w:r>
        <w:t xml:space="preserve">[11]</w:t>
      </w:r>
      <w:r>
        <w:t xml:space="preserve"> </w:t>
      </w:r>
      <w:r>
        <w:t xml:space="preserve">and a</w:t>
      </w:r>
      <w:r>
        <w:t xml:space="preserve"> </w:t>
      </w:r>
      <w:r>
        <w:t xml:space="preserve">“</w:t>
      </w:r>
      <w:r>
        <w:t xml:space="preserve">quantum-inspired</w:t>
      </w:r>
      <w:r>
        <w:t xml:space="preserve">”</w:t>
      </w:r>
      <w:r>
        <w:t xml:space="preserve"> </w:t>
      </w:r>
      <w:r>
        <w:t xml:space="preserve">reranker motivated by Grover’s search algorithm</w:t>
      </w:r>
      <w:r>
        <w:t xml:space="preserve"> </w:t>
      </w:r>
      <w:r>
        <w:t xml:space="preserve">[12]</w:t>
      </w:r>
      <w:r>
        <w:t xml:space="preserve">. An audit of the 1.x code for this work found three structural problems. Namespace isolation was implemented as a post-filter over a fixed window of</w:t>
      </w:r>
      <w:r>
        <w:t xml:space="preserve"> </w:t>
      </w:r>
      <m:oMath>
        <m:r>
          <m:t>4</m:t>
        </m:r>
        <m:r>
          <m:t>k</m:t>
        </m:r>
      </m:oMath>
      <w:r>
        <w:t xml:space="preserve"> </w:t>
      </w:r>
      <w:r>
        <w:t xml:space="preserve">candidates, so a small namespace in a large vault lost most of its true neighbours. The BM25 index was rebuilt from the full corpus on every insert, making ingestion quadratic. And the reranker applied Grover’s diffusion operator without its oracle, which we show reverses or preserves the input ranking depending only on the parity of the iteration count.</w:t>
      </w:r>
    </w:p>
    <w:p>
      <w:pPr>
        <w:pStyle w:val="BodyText"/>
      </w:pPr>
      <w:r>
        <w:t xml:space="preserve">This paper describes VecForge 2.0, which redesigns these components, and makes the following contributions:</w:t>
      </w:r>
    </w:p>
    <w:p>
      <w:pPr>
        <w:numPr>
          <w:ilvl w:val="0"/>
          <w:numId w:val="1001"/>
        </w:numPr>
        <w:pStyle w:val="Compact"/>
      </w:pPr>
      <w:r>
        <w:rPr>
          <w:bCs/>
          <w:b/>
        </w:rPr>
        <w:t xml:space="preserve">A hybrid retrieval engine with in-index constraints.</w:t>
      </w:r>
      <w:r>
        <w:t xml:space="preserve"> </w:t>
      </w:r>
      <w:r>
        <w:t xml:space="preserve">Namespace scoping and deletions are applied inside FAISS through ID selectors, with an exact fallback for small subsets of HNSW indexes</w:t>
      </w:r>
      <w:r>
        <w:t xml:space="preserve"> </w:t>
      </w:r>
      <w:r>
        <w:t xml:space="preserve">[13]</w:t>
      </w:r>
      <w:r>
        <w:t xml:space="preserve">, so scoped queries keep full recall. An incremental inverted-index BM25 replaces per-insert rebuilds.</w:t>
      </w:r>
    </w:p>
    <w:p>
      <w:pPr>
        <w:numPr>
          <w:ilvl w:val="0"/>
          <w:numId w:val="1001"/>
        </w:numPr>
        <w:pStyle w:val="Compact"/>
      </w:pPr>
      <w:r>
        <w:rPr>
          <w:bCs/>
          <w:b/>
        </w:rPr>
        <w:t xml:space="preserve">Fast, safe reopening.</w:t>
      </w:r>
      <w:r>
        <w:t xml:space="preserve"> </w:t>
      </w:r>
      <w:r>
        <w:t xml:space="preserve">Index state is serialised into the encrypted vault in chunks and validated against a generation counter, so an unchanged vault reopens without re-indexing.</w:t>
      </w:r>
    </w:p>
    <w:p>
      <w:pPr>
        <w:numPr>
          <w:ilvl w:val="0"/>
          <w:numId w:val="1001"/>
        </w:numPr>
        <w:pStyle w:val="Compact"/>
      </w:pPr>
      <w:r>
        <w:rPr>
          <w:bCs/>
          <w:b/>
        </w:rPr>
        <w:t xml:space="preserve">Persistent agent memory over MCP.</w:t>
      </w:r>
      <w:r>
        <w:t xml:space="preserve"> </w:t>
      </w:r>
      <w:r>
        <w:t xml:space="preserve">A memory layer with typed memories, near-duplicate reinforcement, sessions and a recall score that blends relevance, importance and recency, served to MCP clients through twelve tools.</w:t>
      </w:r>
    </w:p>
    <w:p>
      <w:pPr>
        <w:numPr>
          <w:ilvl w:val="0"/>
          <w:numId w:val="1001"/>
        </w:numPr>
        <w:pStyle w:val="Compact"/>
      </w:pPr>
      <w:r>
        <w:rPr>
          <w:bCs/>
          <w:b/>
        </w:rPr>
        <w:t xml:space="preserve">An analysis and correction of Grover-inspired reranking.</w:t>
      </w:r>
      <w:r>
        <w:t xml:space="preserve"> </w:t>
      </w:r>
      <w:r>
        <w:t xml:space="preserve">We prove that diffusion-only reranking is an involution that either reverses or preserves the ranking, confirm this on 255 list sizes, and give an O(N) closed-form implementation of oracle-plus-diffusion amplitude amplification</w:t>
      </w:r>
      <w:r>
        <w:t xml:space="preserve"> </w:t>
      </w:r>
      <w:r>
        <w:t xml:space="preserve">[14]</w:t>
      </w:r>
      <w:r>
        <w:t xml:space="preserve"> </w:t>
      </w:r>
      <w:r>
        <w:t xml:space="preserve">that preserves order within the marked and unmarked sets.</w:t>
      </w:r>
    </w:p>
    <w:p>
      <w:pPr>
        <w:numPr>
          <w:ilvl w:val="0"/>
          <w:numId w:val="1001"/>
        </w:numPr>
        <w:pStyle w:val="Compact"/>
      </w:pPr>
      <w:r>
        <w:rPr>
          <w:bCs/>
          <w:b/>
        </w:rPr>
        <w:t xml:space="preserve">A reproducible evaluation</w:t>
      </w:r>
      <w:r>
        <w:t xml:space="preserve"> </w:t>
      </w:r>
      <w:r>
        <w:t xml:space="preserve">of every component against the 1.x code, on commodity hardware, with the scripts released alongside the system.</w:t>
      </w:r>
    </w:p>
    <w:p>
      <w:pPr>
        <w:pStyle w:val="FirstParagraph"/>
      </w:pPr>
      <w:r>
        <w:t xml:space="preserve">Section 2 reviews related work. Section 3 describes the architecture. Section 4 analyses the reranker. Section 5 presents the memory layer. Section 6 reports the evaluation, Section 7 discusses limitations, and Section 8 concludes.</w:t>
      </w:r>
    </w:p>
    <w:bookmarkEnd w:id="20"/>
    <w:bookmarkStart w:id="21" w:name="background-and-related-work"/>
    <w:p>
      <w:pPr>
        <w:pStyle w:val="Heading1"/>
      </w:pPr>
      <w:r>
        <w:rPr>
          <w:rStyle w:val="SectionNumber"/>
        </w:rPr>
        <w:t xml:space="preserve">2</w:t>
      </w:r>
      <w:r>
        <w:tab/>
      </w:r>
      <w:r>
        <w:t xml:space="preserve">Background and Related Work</w:t>
      </w:r>
    </w:p>
    <w:p>
      <w:pPr>
        <w:pStyle w:val="FirstParagraph"/>
      </w:pPr>
      <w:r>
        <w:rPr>
          <w:bCs/>
          <w:b/>
        </w:rPr>
        <w:t xml:space="preserve">Vector search.</w:t>
      </w:r>
      <w:r>
        <w:t xml:space="preserve"> </w:t>
      </w:r>
      <w:r>
        <w:t xml:space="preserve">FAISS provides exact and approximate nearest-neighbour indexes on CPU and GPU</w:t>
      </w:r>
      <w:r>
        <w:t xml:space="preserve"> </w:t>
      </w:r>
      <w:r>
        <w:t xml:space="preserve">[8, 9]</w:t>
      </w:r>
      <w:r>
        <w:t xml:space="preserve">, including product quantisation</w:t>
      </w:r>
      <w:r>
        <w:t xml:space="preserve"> </w:t>
      </w:r>
      <w:r>
        <w:t xml:space="preserve">[15]</w:t>
      </w:r>
      <w:r>
        <w:t xml:space="preserve"> </w:t>
      </w:r>
      <w:r>
        <w:t xml:space="preserve">and Hierarchical Navigable Small World (HNSW) graphs</w:t>
      </w:r>
      <w:r>
        <w:t xml:space="preserve"> </w:t>
      </w:r>
      <w:r>
        <w:t xml:space="preserve">[13]</w:t>
      </w:r>
      <w:r>
        <w:t xml:space="preserve">. Purpose-built vector databases such as Milvus</w:t>
      </w:r>
      <w:r>
        <w:t xml:space="preserve"> </w:t>
      </w:r>
      <w:r>
        <w:t xml:space="preserve">[3]</w:t>
      </w:r>
      <w:r>
        <w:t xml:space="preserve"> </w:t>
      </w:r>
      <w:r>
        <w:t xml:space="preserve">add storage, filtering and distribution on top of such indexes. Embedded stores trade scale for simplicity: the database is a library and a file. VecForge belongs to this second group and uses FAISS for indexing and SQLite for durable storage.</w:t>
      </w:r>
    </w:p>
    <w:p>
      <w:pPr>
        <w:pStyle w:val="BodyText"/>
      </w:pPr>
      <w:r>
        <w:rPr>
          <w:bCs/>
          <w:b/>
        </w:rPr>
        <w:t xml:space="preserve">Hybrid retrieval.</w:t>
      </w:r>
      <w:r>
        <w:t xml:space="preserve"> </w:t>
      </w:r>
      <w:r>
        <w:t xml:space="preserve">Lexical retrieval with BM25</w:t>
      </w:r>
      <w:r>
        <w:t xml:space="preserve"> </w:t>
      </w:r>
      <w:r>
        <w:t xml:space="preserve">[10]</w:t>
      </w:r>
      <w:r>
        <w:t xml:space="preserve"> </w:t>
      </w:r>
      <w:r>
        <w:t xml:space="preserve">remains a strong baseline, and combining it with dense retrieval is often better than either alone</w:t>
      </w:r>
      <w:r>
        <w:t xml:space="preserve"> </w:t>
      </w:r>
      <w:r>
        <w:t xml:space="preserve">[16]</w:t>
      </w:r>
      <w:r>
        <w:t xml:space="preserve">. Common fusion functions are reciprocal rank fusion (RRF)</w:t>
      </w:r>
      <w:r>
        <w:t xml:space="preserve"> </w:t>
      </w:r>
      <w:r>
        <w:t xml:space="preserve">[17]</w:t>
      </w:r>
      <w:r>
        <w:t xml:space="preserve"> </w:t>
      </w:r>
      <w:r>
        <w:t xml:space="preserve">and a convex combination of normalised scores. Bruch et al.</w:t>
      </w:r>
      <w:r>
        <w:t xml:space="preserve"> </w:t>
      </w:r>
      <w:r>
        <w:t xml:space="preserve">[18]</w:t>
      </w:r>
      <w:r>
        <w:t xml:space="preserve"> </w:t>
      </w:r>
      <w:r>
        <w:t xml:space="preserve">analyse both and find that a tuned convex combination is competitive with or better than RRF and is more sample-efficient to tune. VecForge uses a convex combination of min-max normalised scores; its hybrid module also provides RRF as a standalone function. Cross-encoder rerankers</w:t>
      </w:r>
      <w:r>
        <w:t xml:space="preserve"> </w:t>
      </w:r>
      <w:r>
        <w:t xml:space="preserve">[19]</w:t>
      </w:r>
      <w:r>
        <w:t xml:space="preserve"> </w:t>
      </w:r>
      <w:r>
        <w:t xml:space="preserve">over sentence embeddings</w:t>
      </w:r>
      <w:r>
        <w:t xml:space="preserve"> </w:t>
      </w:r>
      <w:r>
        <w:t xml:space="preserve">[20, 21]</w:t>
      </w:r>
      <w:r>
        <w:t xml:space="preserve"> </w:t>
      </w:r>
      <w:r>
        <w:t xml:space="preserve">can refine the final list.</w:t>
      </w:r>
    </w:p>
    <w:p>
      <w:pPr>
        <w:pStyle w:val="BodyText"/>
      </w:pPr>
      <w:r>
        <w:rPr>
          <w:bCs/>
          <w:b/>
        </w:rPr>
        <w:t xml:space="preserve">Agent memory.</w:t>
      </w:r>
      <w:r>
        <w:t xml:space="preserve"> </w:t>
      </w:r>
      <w:r>
        <w:t xml:space="preserve">Generative Agents</w:t>
      </w:r>
      <w:r>
        <w:t xml:space="preserve"> </w:t>
      </w:r>
      <w:r>
        <w:t xml:space="preserve">[5]</w:t>
      </w:r>
      <w:r>
        <w:t xml:space="preserve"> </w:t>
      </w:r>
      <w:r>
        <w:t xml:space="preserve">retrieve memories by a weighted sum of recency, importance and relevance. MemGPT</w:t>
      </w:r>
      <w:r>
        <w:t xml:space="preserve"> </w:t>
      </w:r>
      <w:r>
        <w:t xml:space="preserve">[6]</w:t>
      </w:r>
      <w:r>
        <w:t xml:space="preserve"> </w:t>
      </w:r>
      <w:r>
        <w:t xml:space="preserve">manages a hierarchy of in-context and external memory. Both inform VecForge’s recall score; our contribution is an engineering one: an encrypted, embeddable store with per-agent isolation, deduplication and a standard tool interface through MCP</w:t>
      </w:r>
      <w:r>
        <w:t xml:space="preserve"> </w:t>
      </w:r>
      <w:r>
        <w:t xml:space="preserve">[4]</w:t>
      </w:r>
      <w:r>
        <w:t xml:space="preserve">.</w:t>
      </w:r>
    </w:p>
    <w:p>
      <w:pPr>
        <w:pStyle w:val="BodyText"/>
      </w:pPr>
      <w:r>
        <w:rPr>
          <w:bCs/>
          <w:b/>
        </w:rPr>
        <w:t xml:space="preserve">Quantum-inspired retrieval.</w:t>
      </w:r>
      <w:r>
        <w:t xml:space="preserve"> </w:t>
      </w:r>
      <w:r>
        <w:t xml:space="preserve">Grover’s algorithm finds a marked item among</w:t>
      </w:r>
      <w:r>
        <w:t xml:space="preserve"> </w:t>
      </w:r>
      <m:oMath>
        <m:r>
          <m:t>N</m:t>
        </m:r>
      </m:oMath>
      <w:r>
        <w:t xml:space="preserve"> </w:t>
      </w:r>
      <w:r>
        <w:t xml:space="preserve">in</w:t>
      </w:r>
      <w:r>
        <w:t xml:space="preserve"> </w:t>
      </w:r>
      <m:oMath>
        <m:r>
          <m:t>O</m:t>
        </m:r>
        <m:d>
          <m:dPr>
            <m:begChr m:val="("/>
            <m:endChr m:val=")"/>
            <m:sepChr m:val=""/>
            <m:grow/>
          </m:dPr>
          <m:e>
            <m:rad>
              <m:radPr>
                <m:degHide m:val="on"/>
              </m:radPr>
              <m:deg/>
              <m:e>
                <m:r>
                  <m:t>N</m:t>
                </m:r>
              </m:e>
            </m:rad>
          </m:e>
        </m:d>
      </m:oMath>
      <w:r>
        <w:t xml:space="preserve"> </w:t>
      </w:r>
      <w:r>
        <w:t xml:space="preserve">queries by alternating an oracle, which flips the phase of marked states, with a diffusion operator, which reflects about the mean</w:t>
      </w:r>
      <w:r>
        <w:t xml:space="preserve"> </w:t>
      </w:r>
      <w:r>
        <w:t xml:space="preserve">[12]</w:t>
      </w:r>
      <w:r>
        <w:t xml:space="preserve">. Amplitude amplification generalises this to arbitrary initial states</w:t>
      </w:r>
      <w:r>
        <w:t xml:space="preserve"> </w:t>
      </w:r>
      <w:r>
        <w:t xml:space="preserve">[14]</w:t>
      </w:r>
      <w:r>
        <w:t xml:space="preserve">. Classical</w:t>
      </w:r>
      <w:r>
        <w:t xml:space="preserve"> </w:t>
      </w:r>
      <w:r>
        <w:t xml:space="preserve">“</w:t>
      </w:r>
      <w:r>
        <w:t xml:space="preserve">quantum-inspired</w:t>
      </w:r>
      <w:r>
        <w:t xml:space="preserve">”</w:t>
      </w:r>
      <w:r>
        <w:t xml:space="preserve"> </w:t>
      </w:r>
      <w:r>
        <w:t xml:space="preserve">algorithms borrow such structure to obtain useful classical procedures</w:t>
      </w:r>
      <w:r>
        <w:t xml:space="preserve"> </w:t>
      </w:r>
      <w:r>
        <w:t xml:space="preserve">[22]</w:t>
      </w:r>
      <w:r>
        <w:t xml:space="preserve">. In ranking, the appeal is that amplification concentrates probability mass on a chosen subset. As we show in Section 4, the oracle is not optional: without it, the diffusion step alone carries no information about which items to favour.</w:t>
      </w:r>
    </w:p>
    <w:bookmarkEnd w:id="21"/>
    <w:bookmarkStart w:id="31" w:name="system-design"/>
    <w:p>
      <w:pPr>
        <w:pStyle w:val="Heading1"/>
      </w:pPr>
      <w:r>
        <w:rPr>
          <w:rStyle w:val="SectionNumber"/>
        </w:rPr>
        <w:t xml:space="preserve">3</w:t>
      </w:r>
      <w:r>
        <w:tab/>
      </w:r>
      <w:r>
        <w:t xml:space="preserve">System Design</w:t>
      </w:r>
    </w:p>
    <w:p>
      <w:pPr>
        <w:pStyle w:val="FirstParagraph"/>
      </w:pPr>
      <w:r>
        <w:t xml:space="preserve">Figure 1 shows the architecture. A VecForge</w:t>
      </w:r>
      <w:r>
        <w:t xml:space="preserve"> </w:t>
      </w:r>
      <w:r>
        <w:rPr>
          <w:iCs/>
          <w:i/>
        </w:rPr>
        <w:t xml:space="preserve">vault</w:t>
      </w:r>
      <w:r>
        <w:t xml:space="preserve"> </w:t>
      </w:r>
      <w:r>
        <w:t xml:space="preserve">is one SQLite file, optionally encrypted with SQLCipher (AES-256, page-level). The vault holds documents, vectors, metadata, namespaces, API-key digests, agent sessions, a key-value table, and serialised index state. In memory, a vault keeps a FAISS index over all vectors and a BM25 inverted index over all text.</w:t>
      </w:r>
    </w:p>
    <w:p>
      <w:pPr>
        <w:pStyle w:val="CaptionedFigure"/>
      </w:pPr>
      <w:r>
        <w:drawing>
          <wp:inline>
            <wp:extent cx="5969000" cy="3462020"/>
            <wp:effectExtent b="0" l="0" r="0" t="0"/>
            <wp:docPr descr="Figure 1. VecForge 2.0 architecture. Writes go to SQLite in one transaction, then to the FAISS and BM25 indexes; reads fuse both retrievers and optionally rerank. Index snapshots and agent memory live in the same encrypted file." title="" id="23" name="Picture"/>
            <a:graphic>
              <a:graphicData uri="http://schemas.openxmlformats.org/drawingml/2006/picture">
                <pic:pic>
                  <pic:nvPicPr>
                    <pic:cNvPr descr="figures/fig1-architecture.png" id="24" name="Picture"/>
                    <pic:cNvPicPr>
                      <a:picLocks noChangeArrowheads="1" noChangeAspect="1"/>
                    </pic:cNvPicPr>
                  </pic:nvPicPr>
                  <pic:blipFill>
                    <a:blip r:embed="rId22"/>
                    <a:stretch>
                      <a:fillRect/>
                    </a:stretch>
                  </pic:blipFill>
                  <pic:spPr bwMode="auto">
                    <a:xfrm>
                      <a:off x="0" y="0"/>
                      <a:ext cx="5969000" cy="346202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VecForge 2.0 architecture. Writes go to SQLite in one transaction, then to the FAISS and BM25 indexes; reads fuse both retrievers and optionally rerank. Index snapshots and agent memory live in the same encrypted file.</w:t>
      </w:r>
    </w:p>
    <w:bookmarkStart w:id="25" w:name="storage-and-transactions"/>
    <w:p>
      <w:pPr>
        <w:pStyle w:val="Heading2"/>
      </w:pPr>
      <w:r>
        <w:rPr>
          <w:rStyle w:val="SectionNumber"/>
        </w:rPr>
        <w:t xml:space="preserve">3.1</w:t>
      </w:r>
      <w:r>
        <w:tab/>
      </w:r>
      <w:r>
        <w:t xml:space="preserve">Storage and transactions</w:t>
      </w:r>
    </w:p>
    <w:p>
      <w:pPr>
        <w:pStyle w:val="FirstParagraph"/>
      </w:pPr>
      <w:r>
        <w:t xml:space="preserve">Schema version 2 stores each document’s text, embedding (as a float32 blob), metadata (JSON), namespace, timestamps and a content hash. Writes are atomic: a batch insert is one SQLite transaction, and if updating the in-memory indexes fails afterwards, the rows are deleted and the indexes rebuilt, so the file and the indexes never disagree. Embedding dimensions are checked before anything is written. An</w:t>
      </w:r>
      <w:r>
        <w:t xml:space="preserve"> </w:t>
      </w:r>
      <w:r>
        <w:rPr>
          <w:rStyle w:val="VerbatimChar"/>
        </w:rPr>
        <w:t xml:space="preserve">upsert</w:t>
      </w:r>
      <w:r>
        <w:t xml:space="preserve"> </w:t>
      </w:r>
      <w:r>
        <w:t xml:space="preserve">replaces a document in a single transaction. A monotonically increasing</w:t>
      </w:r>
      <w:r>
        <w:t xml:space="preserve"> </w:t>
      </w:r>
      <w:r>
        <w:rPr>
          <w:iCs/>
          <w:i/>
        </w:rPr>
        <w:t xml:space="preserve">generation</w:t>
      </w:r>
      <w:r>
        <w:t xml:space="preserve"> </w:t>
      </w:r>
      <w:r>
        <w:t xml:space="preserve">counter is bumped by every write that changes text or vectors; metadata-only updates do not bump it, because they do not affect the indexes.</w:t>
      </w:r>
    </w:p>
    <w:bookmarkEnd w:id="25"/>
    <w:bookmarkStart w:id="26" w:name="X19c7c3470252d26ba26a2db6495a96f0b63c7ed"/>
    <w:p>
      <w:pPr>
        <w:pStyle w:val="Heading2"/>
      </w:pPr>
      <w:r>
        <w:rPr>
          <w:rStyle w:val="SectionNumber"/>
        </w:rPr>
        <w:t xml:space="preserve">3.2</w:t>
      </w:r>
      <w:r>
        <w:tab/>
      </w:r>
      <w:r>
        <w:t xml:space="preserve">Dense retrieval with in-index constraints</w:t>
      </w:r>
    </w:p>
    <w:p>
      <w:pPr>
        <w:pStyle w:val="FirstParagraph"/>
      </w:pPr>
      <w:r>
        <w:t xml:space="preserve">Each vector’s position in the FAISS index is mapped to a document identifier. Deletions are</w:t>
      </w:r>
      <w:r>
        <w:t xml:space="preserve"> </w:t>
      </w:r>
      <w:r>
        <w:rPr>
          <w:iCs/>
          <w:i/>
        </w:rPr>
        <w:t xml:space="preserve">tombstones</w:t>
      </w:r>
      <w:r>
        <w:t xml:space="preserve">: the position is added to an exclusion set rather than removed from the index, which makes a delete O(1). When tombstones exceed 20% of the index (and at least 1,000 entries), the vault compacts by rebuilding from stored vectors.</w:t>
      </w:r>
    </w:p>
    <w:p>
      <w:pPr>
        <w:pStyle w:val="BodyText"/>
      </w:pPr>
      <w:r>
        <w:t xml:space="preserve">Queries restrict the search space inside FAISS. A namespace query builds an</w:t>
      </w:r>
      <w:r>
        <w:t xml:space="preserve"> </w:t>
      </w:r>
      <w:r>
        <w:rPr>
          <w:rStyle w:val="VerbatimChar"/>
        </w:rPr>
        <w:t xml:space="preserve">IDSelectorBatch</w:t>
      </w:r>
      <w:r>
        <w:t xml:space="preserve"> </w:t>
      </w:r>
      <w:r>
        <w:t xml:space="preserve">over the namespace’s live positions, combined with an</w:t>
      </w:r>
      <w:r>
        <w:t xml:space="preserve"> </w:t>
      </w:r>
      <w:r>
        <w:rPr>
          <w:rStyle w:val="VerbatimChar"/>
        </w:rPr>
        <w:t xml:space="preserve">IDSelectorNot</w:t>
      </w:r>
      <w:r>
        <w:t xml:space="preserve"> </w:t>
      </w:r>
      <w:r>
        <w:t xml:space="preserve">over the tombstones; the selector is passed through FAISS search parameters, so the index only scores allowed vectors. For a flat (exact) index this yields exact results within the namespace. For an HNSW index, graph search under a very restrictive selector can miss allowed neighbours, because the graph’s routing passes through excluded nodes. VecForge therefore searches exactly over the reconstructed vectors of the allowed subset when it has at most 20,000 members, and otherwise uses filtered graph search with a widened</w:t>
      </w:r>
      <w:r>
        <w:t xml:space="preserve"> </w:t>
      </w:r>
      <w:r>
        <w:rPr>
          <w:rStyle w:val="VerbatimChar"/>
        </w:rPr>
        <w:t xml:space="preserve">efSearch</w:t>
      </w:r>
      <w:r>
        <w:t xml:space="preserve">. The index type is</w:t>
      </w:r>
      <w:r>
        <w:t xml:space="preserve"> </w:t>
      </w:r>
      <w:r>
        <w:rPr>
          <w:rStyle w:val="VerbatimChar"/>
        </w:rPr>
        <w:t xml:space="preserve">flat</w:t>
      </w:r>
      <w:r>
        <w:t xml:space="preserve">,</w:t>
      </w:r>
      <w:r>
        <w:t xml:space="preserve"> </w:t>
      </w:r>
      <w:r>
        <w:rPr>
          <w:rStyle w:val="VerbatimChar"/>
        </w:rPr>
        <w:t xml:space="preserve">hnsw</w:t>
      </w:r>
      <w:r>
        <w:t xml:space="preserve"> </w:t>
      </w:r>
      <w:r>
        <w:t xml:space="preserve">(M = 32, efConstruction = 200, efSearch = 64) or</w:t>
      </w:r>
      <w:r>
        <w:t xml:space="preserve"> </w:t>
      </w:r>
      <w:r>
        <w:rPr>
          <w:rStyle w:val="VerbatimChar"/>
        </w:rPr>
        <w:t xml:space="preserve">auto</w:t>
      </w:r>
      <w:r>
        <w:t xml:space="preserve">, which switches to HNSW above 50,000 vectors.</w:t>
      </w:r>
    </w:p>
    <w:p>
      <w:pPr>
        <w:pStyle w:val="BodyText"/>
      </w:pPr>
      <w:r>
        <w:t xml:space="preserve">Metadata filters (equality, ranges, membership, containment and existence operators) are evaluated on hydrated candidates. Because a filter may reject most candidates, the candidate window starts at</w:t>
      </w:r>
      <w:r>
        <w:t xml:space="preserve"> </w:t>
      </w:r>
      <m:oMath>
        <m:r>
          <m:rPr>
            <m:sty m:val="p"/>
          </m:rPr>
          <m:t>max</m:t>
        </m:r>
        <m:d>
          <m:dPr>
            <m:begChr m:val="("/>
            <m:endChr m:val=")"/>
            <m:sepChr m:val=""/>
            <m:grow/>
          </m:dPr>
          <m:e>
            <m:r>
              <m:t>4</m:t>
            </m:r>
            <m:r>
              <m:t>k</m:t>
            </m:r>
            <m:r>
              <m:rPr>
                <m:sty m:val="p"/>
              </m:rPr>
              <m:t>,</m:t>
            </m:r>
            <m:r>
              <m:t>20</m:t>
            </m:r>
          </m:e>
        </m:d>
      </m:oMath>
      <w:r>
        <w:t xml:space="preserve"> </w:t>
      </w:r>
      <w:r>
        <w:t xml:space="preserve">and grows by a factor of four until</w:t>
      </w:r>
      <w:r>
        <w:t xml:space="preserve"> </w:t>
      </w:r>
      <m:oMath>
        <m:r>
          <m:t>k</m:t>
        </m:r>
      </m:oMath>
      <w:r>
        <w:t xml:space="preserve"> </w:t>
      </w:r>
      <w:r>
        <w:t xml:space="preserve">results pass or the whole pool has been examined.</w:t>
      </w:r>
    </w:p>
    <w:bookmarkEnd w:id="26"/>
    <w:bookmarkStart w:id="27" w:name="incremental-bm25"/>
    <w:p>
      <w:pPr>
        <w:pStyle w:val="Heading2"/>
      </w:pPr>
      <w:r>
        <w:rPr>
          <w:rStyle w:val="SectionNumber"/>
        </w:rPr>
        <w:t xml:space="preserve">3.3</w:t>
      </w:r>
      <w:r>
        <w:tab/>
      </w:r>
      <w:r>
        <w:t xml:space="preserve">Incremental BM25</w:t>
      </w:r>
    </w:p>
    <w:p>
      <w:pPr>
        <w:pStyle w:val="FirstParagraph"/>
      </w:pPr>
      <w:r>
        <w:t xml:space="preserve">The keyword index is an inverted index from term to a growable postings array of (document position, term frequency) pairs, with per-document lengths. Adding a document appends to the postings of its terms in</w:t>
      </w:r>
      <w:r>
        <w:t xml:space="preserve"> </w:t>
      </w:r>
      <m:oMath>
        <m:r>
          <m:t>O</m:t>
        </m:r>
        <m:d>
          <m:dPr>
            <m:begChr m:val="("/>
            <m:endChr m:val=")"/>
            <m:sepChr m:val=""/>
            <m:grow/>
          </m:dPr>
          <m:e>
            <m:d>
              <m:dPr>
                <m:begChr m:val="|"/>
                <m:endChr m:val="|"/>
                <m:sepChr m:val=""/>
                <m:grow/>
              </m:dPr>
              <m:e>
                <m:r>
                  <m:t>d</m:t>
                </m:r>
              </m:e>
            </m:d>
          </m:e>
        </m:d>
      </m:oMath>
      <w:r>
        <w:t xml:space="preserve"> </w:t>
      </w:r>
      <w:r>
        <w:t xml:space="preserve">time. Scoring uses Okapi BM25</w:t>
      </w:r>
      <w:r>
        <w:t xml:space="preserve"> </w:t>
      </w:r>
      <w:r>
        <w:t xml:space="preserve">[10]</w:t>
      </w:r>
      <w:r>
        <w:t xml:space="preserve"> </w:t>
      </w:r>
      <w:r>
        <w:t xml:space="preserve">with</w:t>
      </w:r>
      <w:r>
        <w:t xml:space="preserve"> </w:t>
      </w:r>
      <m:oMath>
        <m:sSub>
          <m:e>
            <m:r>
              <m:t>k</m:t>
            </m:r>
          </m:e>
          <m:sub>
            <m:r>
              <m:t>1</m:t>
            </m:r>
          </m:sub>
        </m:sSub>
        <m:r>
          <m:rPr>
            <m:sty m:val="p"/>
          </m:rPr>
          <m:t>=</m:t>
        </m:r>
        <m:r>
          <m:t>1.5</m:t>
        </m:r>
      </m:oMath>
      <w:r>
        <w:t xml:space="preserve">,</w:t>
      </w:r>
      <w:r>
        <w:t xml:space="preserve"> </w:t>
      </w:r>
      <m:oMath>
        <m:r>
          <m:t>b</m:t>
        </m:r>
        <m:r>
          <m:rPr>
            <m:sty m:val="p"/>
          </m:rPr>
          <m:t>=</m:t>
        </m:r>
        <m:r>
          <m:t>0.75</m:t>
        </m:r>
      </m:oMath>
      <w:r>
        <w:t xml:space="preserve"> </w:t>
      </w:r>
      <w:r>
        <w:t xml:space="preserve">and the non-negative IDF</w:t>
      </w:r>
    </w:p>
    <w:p>
      <w:pPr>
        <w:pStyle w:val="BodyText"/>
      </w:pPr>
      <m:oMathPara>
        <m:oMathParaPr>
          <m:jc m:val="center"/>
        </m:oMathParaPr>
        <m:oMath>
          <m:r>
            <m:rPr>
              <m:sty m:val="p"/>
            </m:rPr>
            <m:t>i</m:t>
          </m:r>
          <m:r>
            <m:rPr>
              <m:sty m:val="p"/>
            </m:rPr>
            <m:t>d</m:t>
          </m:r>
          <m:r>
            <m:rPr>
              <m:sty m:val="p"/>
            </m:rPr>
            <m:t>f</m:t>
          </m:r>
          <m:d>
            <m:dPr>
              <m:begChr m:val="("/>
              <m:endChr m:val=")"/>
              <m:sepChr m:val=""/>
              <m:grow/>
            </m:dPr>
            <m:e>
              <m:r>
                <m:t>t</m:t>
              </m:r>
            </m:e>
          </m:d>
          <m:r>
            <m:rPr>
              <m:sty m:val="p"/>
            </m:rPr>
            <m:t>=</m:t>
          </m:r>
          <m:r>
            <m:rPr>
              <m:sty m:val="p"/>
            </m:rPr>
            <m:t>ln</m:t>
          </m:r>
          <m:r>
            <m:t>​</m:t>
          </m:r>
          <m:d>
            <m:dPr>
              <m:begChr m:val="("/>
              <m:endChr m:val=")"/>
              <m:sepChr m:val=""/>
              <m:grow/>
            </m:dPr>
            <m:e>
              <m:r>
                <m:t>1</m:t>
              </m:r>
              <m:r>
                <m:rPr>
                  <m:sty m:val="p"/>
                </m:rPr>
                <m:t>+</m:t>
              </m:r>
              <m:f>
                <m:fPr>
                  <m:type m:val="bar"/>
                </m:fPr>
                <m:num>
                  <m:r>
                    <m:t>N</m:t>
                  </m:r>
                  <m:r>
                    <m:rPr>
                      <m:sty m:val="p"/>
                    </m:rPr>
                    <m:t>−</m:t>
                  </m:r>
                  <m:sSub>
                    <m:e>
                      <m:r>
                        <m:t>n</m:t>
                      </m:r>
                    </m:e>
                    <m:sub>
                      <m:r>
                        <m:t>t</m:t>
                      </m:r>
                    </m:sub>
                  </m:sSub>
                  <m:r>
                    <m:rPr>
                      <m:sty m:val="p"/>
                    </m:rPr>
                    <m:t>+</m:t>
                  </m:r>
                  <m:r>
                    <m:t>0.5</m:t>
                  </m:r>
                </m:num>
                <m:den>
                  <m:sSub>
                    <m:e>
                      <m:r>
                        <m:t>n</m:t>
                      </m:r>
                    </m:e>
                    <m:sub>
                      <m:r>
                        <m:t>t</m:t>
                      </m:r>
                    </m:sub>
                  </m:sSub>
                  <m:r>
                    <m:rPr>
                      <m:sty m:val="p"/>
                    </m:rPr>
                    <m:t>+</m:t>
                  </m:r>
                  <m:r>
                    <m:t>0.5</m:t>
                  </m:r>
                </m:den>
              </m:f>
            </m:e>
          </m:d>
          <m:r>
            <m:rPr>
              <m:sty m:val="p"/>
            </m:rPr>
            <m:t>,</m:t>
          </m:r>
        </m:oMath>
      </m:oMathPara>
    </w:p>
    <w:p>
      <w:pPr>
        <w:pStyle w:val="FirstParagraph"/>
      </w:pPr>
      <w:r>
        <w:t xml:space="preserve">where</w:t>
      </w:r>
      <w:r>
        <w:t xml:space="preserve"> </w:t>
      </w:r>
      <m:oMath>
        <m:r>
          <m:t>N</m:t>
        </m:r>
      </m:oMath>
      <w:r>
        <w:t xml:space="preserve"> </w:t>
      </w:r>
      <w:r>
        <w:t xml:space="preserve">is the number of live documents and</w:t>
      </w:r>
      <w:r>
        <w:t xml:space="preserve"> </w:t>
      </w:r>
      <m:oMath>
        <m:sSub>
          <m:e>
            <m:r>
              <m:t>n</m:t>
            </m:r>
          </m:e>
          <m:sub>
            <m:r>
              <m:t>t</m:t>
            </m:r>
          </m:sub>
        </m:sSub>
      </m:oMath>
      <w:r>
        <w:t xml:space="preserve"> </w:t>
      </w:r>
      <w:r>
        <w:t xml:space="preserve">the number containing</w:t>
      </w:r>
      <w:r>
        <w:t xml:space="preserve"> </w:t>
      </w:r>
      <m:oMath>
        <m:r>
          <m:t>t</m:t>
        </m:r>
      </m:oMath>
      <w:r>
        <w:t xml:space="preserve">. A query touches only the postings of its terms. Deletions are tombstones in the same position space as FAISS, and namespace selectors restrict BM25 scoring to the same allowed set. The index serialises to NumPy arrays without Python pickling, so loading a snapshot cannot execute code.</w:t>
      </w:r>
    </w:p>
    <w:bookmarkEnd w:id="27"/>
    <w:bookmarkStart w:id="28" w:name="fusion"/>
    <w:p>
      <w:pPr>
        <w:pStyle w:val="Heading2"/>
      </w:pPr>
      <w:r>
        <w:rPr>
          <w:rStyle w:val="SectionNumber"/>
        </w:rPr>
        <w:t xml:space="preserve">3.4</w:t>
      </w:r>
      <w:r>
        <w:tab/>
      </w:r>
      <w:r>
        <w:t xml:space="preserve">Fusion</w:t>
      </w:r>
    </w:p>
    <w:p>
      <w:pPr>
        <w:pStyle w:val="FirstParagraph"/>
      </w:pPr>
      <w:r>
        <w:t xml:space="preserve">Let</w:t>
      </w:r>
      <w:r>
        <w:t xml:space="preserve"> </w:t>
      </w:r>
      <m:oMath>
        <m:r>
          <m:t>D</m:t>
        </m:r>
      </m:oMath>
      <w:r>
        <w:t xml:space="preserve"> </w:t>
      </w:r>
      <w:r>
        <w:t xml:space="preserve">and</w:t>
      </w:r>
      <w:r>
        <w:t xml:space="preserve"> </w:t>
      </w:r>
      <m:oMath>
        <m:r>
          <m:t>S</m:t>
        </m:r>
      </m:oMath>
      <w:r>
        <w:t xml:space="preserve"> </w:t>
      </w:r>
      <w:r>
        <w:t xml:space="preserve">be the dense and sparse candidate sets with raw scores</w:t>
      </w:r>
      <w:r>
        <w:t xml:space="preserve"> </w:t>
      </w:r>
      <m:oMath>
        <m:sSub>
          <m:e>
            <m:r>
              <m:t>s</m:t>
            </m:r>
          </m:e>
          <m:sub>
            <m:r>
              <m:t>d</m:t>
            </m:r>
          </m:sub>
        </m:sSub>
      </m:oMath>
      <w:r>
        <w:t xml:space="preserve"> </w:t>
      </w:r>
      <w:r>
        <w:t xml:space="preserve">and</w:t>
      </w:r>
      <w:r>
        <w:t xml:space="preserve"> </w:t>
      </w:r>
      <m:oMath>
        <m:sSub>
          <m:e>
            <m:r>
              <m:t>s</m:t>
            </m:r>
          </m:e>
          <m:sub>
            <m:r>
              <m:t>s</m:t>
            </m:r>
          </m:sub>
        </m:sSub>
      </m:oMath>
      <w:r>
        <w:t xml:space="preserve">. Each score list is min-max normalised over its candidates, and the fused score is</w:t>
      </w:r>
    </w:p>
    <w:p>
      <w:pPr>
        <w:pStyle w:val="BodyText"/>
      </w:pPr>
      <m:oMathPara>
        <m:oMathParaPr>
          <m:jc m:val="center"/>
        </m:oMathParaPr>
        <m:oMath>
          <m:r>
            <m:t>f</m:t>
          </m:r>
          <m:d>
            <m:dPr>
              <m:begChr m:val="("/>
              <m:endChr m:val=")"/>
              <m:sepChr m:val=""/>
              <m:grow/>
            </m:dPr>
            <m:e>
              <m:r>
                <m:t>x</m:t>
              </m:r>
            </m:e>
          </m:d>
          <m:r>
            <m:rPr>
              <m:sty m:val="p"/>
            </m:rPr>
            <m:t>=</m:t>
          </m:r>
          <m:r>
            <m:t>α</m:t>
          </m:r>
          <m:r>
            <m:t> </m:t>
          </m:r>
          <m:sSub>
            <m:e>
              <m:acc>
                <m:accPr>
                  <m:chr m:val="̂"/>
                </m:accPr>
                <m:e>
                  <m:r>
                    <m:t>s</m:t>
                  </m:r>
                </m:e>
              </m:acc>
            </m:e>
            <m:sub>
              <m:r>
                <m:t>d</m:t>
              </m:r>
            </m:sub>
          </m:sSub>
          <m:d>
            <m:dPr>
              <m:begChr m:val="("/>
              <m:endChr m:val=")"/>
              <m:sepChr m:val=""/>
              <m:grow/>
            </m:dPr>
            <m:e>
              <m:r>
                <m:t>x</m:t>
              </m:r>
            </m:e>
          </m:d>
          <m:r>
            <m:rPr>
              <m:sty m:val="p"/>
            </m:rPr>
            <m:t>+</m:t>
          </m:r>
          <m:d>
            <m:dPr>
              <m:begChr m:val="("/>
              <m:endChr m:val=")"/>
              <m:sepChr m:val=""/>
              <m:grow/>
            </m:dPr>
            <m:e>
              <m:r>
                <m:t>1</m:t>
              </m:r>
              <m:r>
                <m:rPr>
                  <m:sty m:val="p"/>
                </m:rPr>
                <m:t>−</m:t>
              </m:r>
              <m:r>
                <m:t>α</m:t>
              </m:r>
            </m:e>
          </m:d>
          <m:r>
            <m:t> </m:t>
          </m:r>
          <m:sSub>
            <m:e>
              <m:acc>
                <m:accPr>
                  <m:chr m:val="̂"/>
                </m:accPr>
                <m:e>
                  <m:r>
                    <m:t>s</m:t>
                  </m:r>
                </m:e>
              </m:acc>
            </m:e>
            <m:sub>
              <m:r>
                <m:t>s</m:t>
              </m:r>
            </m:sub>
          </m:sSub>
          <m:d>
            <m:dPr>
              <m:begChr m:val="("/>
              <m:endChr m:val=")"/>
              <m:sepChr m:val=""/>
              <m:grow/>
            </m:dPr>
            <m:e>
              <m:r>
                <m:t>x</m:t>
              </m:r>
            </m:e>
          </m:d>
          <m:r>
            <m:rPr>
              <m:sty m:val="p"/>
            </m:rPr>
            <m:t>,</m:t>
          </m:r>
          <m:r>
            <m:t>  </m:t>
          </m:r>
          <m:r>
            <m:t>α</m:t>
          </m:r>
          <m:r>
            <m:rPr>
              <m:sty m:val="p"/>
            </m:rPr>
            <m:t>∈</m:t>
          </m:r>
          <m:d>
            <m:dPr>
              <m:begChr m:val="["/>
              <m:endChr m:val="]"/>
              <m:sepChr m:val=""/>
              <m:grow/>
            </m:dPr>
            <m:e>
              <m:r>
                <m:t>0</m:t>
              </m:r>
              <m:r>
                <m:rPr>
                  <m:sty m:val="p"/>
                </m:rPr>
                <m:t>,</m:t>
              </m:r>
              <m:r>
                <m:t>1</m:t>
              </m:r>
            </m:e>
          </m:d>
          <m:r>
            <m:rPr>
              <m:sty m:val="p"/>
            </m:rPr>
            <m:t>,</m:t>
          </m:r>
        </m:oMath>
      </m:oMathPara>
    </w:p>
    <w:p>
      <w:pPr>
        <w:pStyle w:val="FirstParagraph"/>
      </w:pPr>
      <w:r>
        <w:t xml:space="preserve">with a missing score treated as zero and</w:t>
      </w:r>
      <w:r>
        <w:t xml:space="preserve"> </w:t>
      </w:r>
      <m:oMath>
        <m:r>
          <m:t>α</m:t>
        </m:r>
        <m:r>
          <m:rPr>
            <m:sty m:val="p"/>
          </m:rPr>
          <m:t>=</m:t>
        </m:r>
        <m:r>
          <m:t>0.5</m:t>
        </m:r>
      </m:oMath>
      <w:r>
        <w:t xml:space="preserve"> </w:t>
      </w:r>
      <w:r>
        <w:t xml:space="preserve">by default. Each result records which retrievers found it (</w:t>
      </w:r>
      <w:r>
        <w:rPr>
          <w:rStyle w:val="VerbatimChar"/>
        </w:rPr>
        <w:t xml:space="preserve">dense</w:t>
      </w:r>
      <w:r>
        <w:t xml:space="preserve">,</w:t>
      </w:r>
      <w:r>
        <w:t xml:space="preserve"> </w:t>
      </w:r>
      <w:r>
        <w:rPr>
          <w:rStyle w:val="VerbatimChar"/>
        </w:rPr>
        <w:t xml:space="preserve">sparse</w:t>
      </w:r>
      <w:r>
        <w:t xml:space="preserve"> </w:t>
      </w:r>
      <w:r>
        <w:t xml:space="preserve">or both) and both raw scores, so applications can explain a ranking. Ties break on the fused score, then on the number of retrievers that found the document, then on the raw dense score, which makes results deterministic.</w:t>
      </w:r>
    </w:p>
    <w:bookmarkEnd w:id="28"/>
    <w:bookmarkStart w:id="29" w:name="snapshots-and-reopening"/>
    <w:p>
      <w:pPr>
        <w:pStyle w:val="Heading2"/>
      </w:pPr>
      <w:r>
        <w:rPr>
          <w:rStyle w:val="SectionNumber"/>
        </w:rPr>
        <w:t xml:space="preserve">3.5</w:t>
      </w:r>
      <w:r>
        <w:tab/>
      </w:r>
      <w:r>
        <w:t xml:space="preserve">Snapshots and reopening</w:t>
      </w:r>
    </w:p>
    <w:p>
      <w:pPr>
        <w:pStyle w:val="FirstParagraph"/>
      </w:pPr>
      <w:r>
        <w:t xml:space="preserve">On</w:t>
      </w:r>
      <w:r>
        <w:t xml:space="preserve"> </w:t>
      </w:r>
      <w:r>
        <w:rPr>
          <w:rStyle w:val="VerbatimChar"/>
        </w:rPr>
        <w:t xml:space="preserve">save()</w:t>
      </w:r>
      <w:r>
        <w:t xml:space="preserve"> </w:t>
      </w:r>
      <w:r>
        <w:t xml:space="preserve">and</w:t>
      </w:r>
      <w:r>
        <w:t xml:space="preserve"> </w:t>
      </w:r>
      <w:r>
        <w:rPr>
          <w:rStyle w:val="VerbatimChar"/>
        </w:rPr>
        <w:t xml:space="preserve">close()</w:t>
      </w:r>
      <w:r>
        <w:t xml:space="preserve">, and periodically during long sessions, the vault serialises the FAISS index, the BM25 arrays and the position map, splits the bytes into chunks of at most 64 MB, and stores them in an</w:t>
      </w:r>
      <w:r>
        <w:t xml:space="preserve"> </w:t>
      </w:r>
      <w:r>
        <w:rPr>
          <w:rStyle w:val="VerbatimChar"/>
        </w:rPr>
        <w:t xml:space="preserve">index_state</w:t>
      </w:r>
      <w:r>
        <w:t xml:space="preserve"> </w:t>
      </w:r>
      <w:r>
        <w:t xml:space="preserve">table together with the generation at which they were taken. On open, if the stored generation equals the current one, the indexes are loaded directly. Otherwise the vault rebuilds them from the stored vectors, which never requires re-embedding. Because snapshots live inside the vault, they are encrypted whenever the vault is.</w:t>
      </w:r>
    </w:p>
    <w:bookmarkEnd w:id="29"/>
    <w:bookmarkStart w:id="30" w:name="security"/>
    <w:p>
      <w:pPr>
        <w:pStyle w:val="Heading2"/>
      </w:pPr>
      <w:r>
        <w:rPr>
          <w:rStyle w:val="SectionNumber"/>
        </w:rPr>
        <w:t xml:space="preserve">3.6</w:t>
      </w:r>
      <w:r>
        <w:tab/>
      </w:r>
      <w:r>
        <w:t xml:space="preserve">Security</w:t>
      </w:r>
    </w:p>
    <w:p>
      <w:pPr>
        <w:pStyle w:val="FirstParagraph"/>
      </w:pPr>
      <w:r>
        <w:t xml:space="preserve">Access control has three roles.</w:t>
      </w:r>
      <w:r>
        <w:t xml:space="preserve"> </w:t>
      </w:r>
      <w:r>
        <w:rPr>
          <w:rStyle w:val="VerbatimChar"/>
        </w:rPr>
        <w:t xml:space="preserve">admin</w:t>
      </w:r>
      <w:r>
        <w:t xml:space="preserve"> </w:t>
      </w:r>
      <w:r>
        <w:t xml:space="preserve">may do everything, including managing keys and reading raw storage;</w:t>
      </w:r>
      <w:r>
        <w:t xml:space="preserve"> </w:t>
      </w:r>
      <w:r>
        <w:rPr>
          <w:rStyle w:val="VerbatimChar"/>
        </w:rPr>
        <w:t xml:space="preserve">read-write</w:t>
      </w:r>
      <w:r>
        <w:t xml:space="preserve"> </w:t>
      </w:r>
      <w:r>
        <w:t xml:space="preserve">may add, update and delete;</w:t>
      </w:r>
      <w:r>
        <w:t xml:space="preserve"> </w:t>
      </w:r>
      <w:r>
        <w:rPr>
          <w:rStyle w:val="VerbatimChar"/>
        </w:rPr>
        <w:t xml:space="preserve">read-only</w:t>
      </w:r>
      <w:r>
        <w:t xml:space="preserve"> </w:t>
      </w:r>
      <w:r>
        <w:t xml:space="preserve">may search and read. API keys are stored as SHA-256 digests. A key that has not been registered has no access (in 1.x it received read-only access). Opening a vault without a key gives local admin rights, which keeps single-user use simple. An optional audit log records every operation as one JSON line. The REST server binds to localhost by default and compares API keys in constant time.</w:t>
      </w:r>
    </w:p>
    <w:bookmarkEnd w:id="30"/>
    <w:bookmarkEnd w:id="31"/>
    <w:bookmarkStart w:id="36" w:name="grover-inspired-reranking"/>
    <w:p>
      <w:pPr>
        <w:pStyle w:val="Heading1"/>
      </w:pPr>
      <w:r>
        <w:rPr>
          <w:rStyle w:val="SectionNumber"/>
        </w:rPr>
        <w:t xml:space="preserve">4</w:t>
      </w:r>
      <w:r>
        <w:tab/>
      </w:r>
      <w:r>
        <w:t xml:space="preserve">Grover-Inspired Reranking</w:t>
      </w:r>
    </w:p>
    <w:bookmarkStart w:id="32" w:name="setting"/>
    <w:p>
      <w:pPr>
        <w:pStyle w:val="Heading2"/>
      </w:pPr>
      <w:r>
        <w:rPr>
          <w:rStyle w:val="SectionNumber"/>
        </w:rPr>
        <w:t xml:space="preserve">4.1</w:t>
      </w:r>
      <w:r>
        <w:tab/>
      </w:r>
      <w:r>
        <w:t xml:space="preserve">Setting</w:t>
      </w:r>
    </w:p>
    <w:p>
      <w:pPr>
        <w:pStyle w:val="FirstParagraph"/>
      </w:pPr>
      <w:r>
        <w:t xml:space="preserve">Given</w:t>
      </w:r>
      <w:r>
        <w:t xml:space="preserve"> </w:t>
      </w:r>
      <m:oMath>
        <m:r>
          <m:t>N</m:t>
        </m:r>
      </m:oMath>
      <w:r>
        <w:t xml:space="preserve"> </w:t>
      </w:r>
      <w:r>
        <w:t xml:space="preserve">candidates with non-negative relevance scores</w:t>
      </w:r>
      <w:r>
        <w:t xml:space="preserve"> </w:t>
      </w:r>
      <m:oMath>
        <m:sSub>
          <m:e>
            <m:r>
              <m:t>r</m:t>
            </m:r>
          </m:e>
          <m:sub>
            <m:r>
              <m:t>1</m:t>
            </m:r>
          </m:sub>
        </m:sSub>
        <m:r>
          <m:rPr>
            <m:sty m:val="p"/>
          </m:rPr>
          <m:t>≥</m:t>
        </m:r>
        <m:sSub>
          <m:e>
            <m:r>
              <m:t>r</m:t>
            </m:r>
          </m:e>
          <m:sub>
            <m:r>
              <m:t>2</m:t>
            </m:r>
          </m:sub>
        </m:sSub>
        <m:r>
          <m:rPr>
            <m:sty m:val="p"/>
          </m:rPr>
          <m:t>≥</m:t>
        </m:r>
        <m:r>
          <m:rPr>
            <m:sty m:val="p"/>
          </m:rPr>
          <m:t>…</m:t>
        </m:r>
        <m:r>
          <m:rPr>
            <m:sty m:val="p"/>
          </m:rPr>
          <m:t>≥</m:t>
        </m:r>
        <m:sSub>
          <m:e>
            <m:r>
              <m:t>r</m:t>
            </m:r>
          </m:e>
          <m:sub>
            <m:r>
              <m:t>N</m:t>
            </m:r>
          </m:sub>
        </m:sSub>
      </m:oMath>
      <w:r>
        <w:t xml:space="preserve">, the reranker encodes them as a unit amplitude vector</w:t>
      </w:r>
      <w:r>
        <w:t xml:space="preserve"> </w:t>
      </w:r>
      <m:oMath>
        <m:r>
          <m:t>a</m:t>
        </m:r>
        <m:r>
          <m:rPr>
            <m:sty m:val="p"/>
          </m:rPr>
          <m:t>=</m:t>
        </m:r>
        <m:r>
          <m:t>r</m:t>
        </m:r>
        <m:r>
          <m:rPr>
            <m:sty m:val="p"/>
          </m:rPr>
          <m:t>/</m:t>
        </m:r>
        <m:r>
          <m:rPr>
            <m:sty m:val="p"/>
          </m:rPr>
          <m:t>∥</m:t>
        </m:r>
        <m:r>
          <m:t>r</m:t>
        </m:r>
        <m:sSub>
          <m:e>
            <m:r>
              <m:rPr>
                <m:sty m:val="p"/>
              </m:rPr>
              <m:t>∥</m:t>
            </m:r>
          </m:e>
          <m:sub>
            <m:r>
              <m:t>2</m:t>
            </m:r>
          </m:sub>
        </m:sSub>
      </m:oMath>
      <w:r>
        <w:t xml:space="preserve">, so that</w:t>
      </w:r>
      <w:r>
        <w:t xml:space="preserve"> </w:t>
      </w:r>
      <m:oMath>
        <m:sSubSup>
          <m:e>
            <m:r>
              <m:t>a</m:t>
            </m:r>
          </m:e>
          <m:sub>
            <m:r>
              <m:t>i</m:t>
            </m:r>
          </m:sub>
          <m:sup>
            <m:r>
              <m:t>2</m:t>
            </m:r>
          </m:sup>
        </m:sSubSup>
      </m:oMath>
      <w:r>
        <w:t xml:space="preserve"> </w:t>
      </w:r>
      <w:r>
        <w:t xml:space="preserve">is a probability. Grover’s algorithm acts on such a state with two reflections. The</w:t>
      </w:r>
      <w:r>
        <w:t xml:space="preserve"> </w:t>
      </w:r>
      <w:r>
        <w:rPr>
          <w:iCs/>
          <w:i/>
        </w:rPr>
        <w:t xml:space="preserve">oracle</w:t>
      </w:r>
      <w:r>
        <w:t xml:space="preserve"> </w:t>
      </w:r>
      <m:oMath>
        <m:sSub>
          <m:e>
            <m:r>
              <m:t>O</m:t>
            </m:r>
          </m:e>
          <m:sub>
            <m:r>
              <m:t>M</m:t>
            </m:r>
          </m:sub>
        </m:sSub>
      </m:oMath>
      <w:r>
        <w:t xml:space="preserve"> </w:t>
      </w:r>
      <w:r>
        <w:t xml:space="preserve">flips the sign of the amplitudes in a marked set</w:t>
      </w:r>
      <w:r>
        <w:t xml:space="preserve"> </w:t>
      </w:r>
      <m:oMath>
        <m:r>
          <m:t>M</m:t>
        </m:r>
      </m:oMath>
      <w:r>
        <w:t xml:space="preserve">:</w:t>
      </w:r>
    </w:p>
    <w:p>
      <w:pPr>
        <w:pStyle w:val="BodyText"/>
      </w:pPr>
      <m:oMathPara>
        <m:oMathParaPr>
          <m:jc m:val="center"/>
        </m:oMathParaPr>
        <m:oMath>
          <m:sSub>
            <m:e>
              <m:d>
                <m:dPr>
                  <m:begChr m:val="("/>
                  <m:endChr m:val=")"/>
                  <m:sepChr m:val=""/>
                  <m:grow/>
                </m:dPr>
                <m:e>
                  <m:sSub>
                    <m:e>
                      <m:r>
                        <m:t>O</m:t>
                      </m:r>
                    </m:e>
                    <m:sub>
                      <m:r>
                        <m:t>M</m:t>
                      </m:r>
                    </m:sub>
                  </m:sSub>
                  <m:r>
                    <m:t>a</m:t>
                  </m:r>
                </m:e>
              </m:d>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sSub>
                      <m:e>
                        <m:r>
                          <m:t>a</m:t>
                        </m:r>
                      </m:e>
                      <m:sub>
                        <m:r>
                          <m:t>i</m:t>
                        </m:r>
                      </m:sub>
                    </m:sSub>
                  </m:e>
                  <m:e>
                    <m:r>
                      <m:t>i</m:t>
                    </m:r>
                    <m:r>
                      <m:rPr>
                        <m:sty m:val="p"/>
                      </m:rPr>
                      <m:t>∈</m:t>
                    </m:r>
                    <m:r>
                      <m:t>M</m:t>
                    </m:r>
                  </m:e>
                </m:mr>
                <m:mr>
                  <m:e>
                    <m:sSub>
                      <m:e>
                        <m:r>
                          <m:t>a</m:t>
                        </m:r>
                      </m:e>
                      <m:sub>
                        <m:r>
                          <m:t>i</m:t>
                        </m:r>
                      </m:sub>
                    </m:sSub>
                  </m:e>
                  <m:e>
                    <m:r>
                      <m:t>i</m:t>
                    </m:r>
                    <m:r>
                      <m:rPr>
                        <m:sty m:val="p"/>
                      </m:rPr>
                      <m:t>∉</m:t>
                    </m:r>
                    <m:r>
                      <m:t>M</m:t>
                    </m:r>
                    <m:r>
                      <m:rPr>
                        <m:sty m:val="p"/>
                      </m:rPr>
                      <m:t>.</m:t>
                    </m:r>
                  </m:e>
                </m:mr>
              </m:m>
            </m:e>
          </m:d>
        </m:oMath>
      </m:oMathPara>
    </w:p>
    <w:p>
      <w:pPr>
        <w:pStyle w:val="FirstParagraph"/>
      </w:pPr>
      <w:r>
        <w:t xml:space="preserve">The</w:t>
      </w:r>
      <w:r>
        <w:t xml:space="preserve"> </w:t>
      </w:r>
      <w:r>
        <w:rPr>
          <w:iCs/>
          <w:i/>
        </w:rPr>
        <w:t xml:space="preserve">diffusion</w:t>
      </w:r>
      <w:r>
        <w:t xml:space="preserve"> </w:t>
      </w:r>
      <w:r>
        <w:t xml:space="preserve">operator is the reflection about the uniform state</w:t>
      </w:r>
      <w:r>
        <w:t xml:space="preserve"> </w:t>
      </w:r>
      <m:oMath>
        <m:r>
          <m:t>s</m:t>
        </m:r>
        <m:r>
          <m:rPr>
            <m:sty m:val="p"/>
          </m:rPr>
          <m:t>=</m:t>
        </m:r>
        <m:f>
          <m:fPr>
            <m:type m:val="lin"/>
          </m:fPr>
          <m:num>
            <m:r>
              <m:t>1</m:t>
            </m:r>
          </m:num>
          <m:den>
            <m:rad>
              <m:radPr>
                <m:degHide m:val="on"/>
              </m:radPr>
              <m:deg/>
              <m:e>
                <m:r>
                  <m:t>N</m:t>
                </m:r>
              </m:e>
            </m:rad>
          </m:den>
        </m:f>
        <m:r>
          <m:rPr>
            <m:sty m:val="b"/>
          </m:rPr>
          <m:t>1</m:t>
        </m:r>
      </m:oMath>
      <w:r>
        <w:t xml:space="preserve">:</w:t>
      </w:r>
    </w:p>
    <w:p>
      <w:pPr>
        <w:pStyle w:val="BodyText"/>
      </w:pPr>
      <m:oMathPara>
        <m:oMathParaPr>
          <m:jc m:val="center"/>
        </m:oMathParaPr>
        <m:oMath>
          <m:r>
            <m:t>D</m:t>
          </m:r>
          <m:r>
            <m:rPr>
              <m:sty m:val="p"/>
            </m:rPr>
            <m:t>=</m:t>
          </m:r>
          <m:r>
            <m:t>2</m:t>
          </m:r>
          <m:r>
            <m:t>s</m:t>
          </m:r>
          <m:sSup>
            <m:e>
              <m:r>
                <m:t>s</m:t>
              </m:r>
            </m:e>
            <m:sup>
              <m:r>
                <m:rPr>
                  <m:sty m:val="p"/>
                </m:rPr>
                <m:t>⊤</m:t>
              </m:r>
            </m:sup>
          </m:sSup>
          <m:r>
            <m:rPr>
              <m:sty m:val="p"/>
            </m:rPr>
            <m:t>−</m:t>
          </m:r>
          <m:r>
            <m:t>I</m:t>
          </m:r>
          <m:r>
            <m:rPr>
              <m:sty m:val="p"/>
            </m:rPr>
            <m:t>,</m:t>
          </m:r>
          <m:r>
            <m:t>  </m:t>
          </m:r>
          <m:sSub>
            <m:e>
              <m:d>
                <m:dPr>
                  <m:begChr m:val="("/>
                  <m:endChr m:val=")"/>
                  <m:sepChr m:val=""/>
                  <m:grow/>
                </m:dPr>
                <m:e>
                  <m:r>
                    <m:t>D</m:t>
                  </m:r>
                  <m:r>
                    <m:t>a</m:t>
                  </m:r>
                </m:e>
              </m:d>
            </m:e>
            <m:sub>
              <m:r>
                <m:t>i</m:t>
              </m:r>
            </m:sub>
          </m:sSub>
          <m:r>
            <m:rPr>
              <m:sty m:val="p"/>
            </m:rPr>
            <m:t>=</m:t>
          </m:r>
          <m:r>
            <m:t>2</m:t>
          </m:r>
          <m:acc>
            <m:accPr>
              <m:chr m:val="‾"/>
            </m:accPr>
            <m:e>
              <m:r>
                <m:t>a</m:t>
              </m:r>
            </m:e>
          </m:acc>
          <m:r>
            <m:rPr>
              <m:sty m:val="p"/>
            </m:rPr>
            <m:t>−</m:t>
          </m:r>
          <m:sSub>
            <m:e>
              <m:r>
                <m:t>a</m:t>
              </m:r>
            </m:e>
            <m:sub>
              <m:r>
                <m:t>i</m:t>
              </m:r>
            </m:sub>
          </m:sSub>
          <m:r>
            <m:rPr>
              <m:sty m:val="p"/>
            </m:rPr>
            <m:t>,</m:t>
          </m:r>
          <m:r>
            <m:t> </m:t>
          </m:r>
          <m:acc>
            <m:accPr>
              <m:chr m:val="‾"/>
            </m:accPr>
            <m:e>
              <m:r>
                <m:t>a</m:t>
              </m:r>
            </m:e>
          </m:acc>
          <m:r>
            <m:rPr>
              <m:sty m:val="p"/>
            </m:rPr>
            <m:t>=</m:t>
          </m:r>
          <m:f>
            <m:fPr>
              <m:type m:val="lin"/>
            </m:fPr>
            <m:num>
              <m:r>
                <m:t>1</m:t>
              </m:r>
            </m:num>
            <m:den>
              <m:r>
                <m:t>N</m:t>
              </m:r>
            </m:den>
          </m:f>
          <m:nary>
            <m:naryPr>
              <m:chr m:val="∑"/>
              <m:limLoc m:val="undOvr"/>
              <m:subHide m:val="off"/>
              <m:supHide m:val="on"/>
            </m:naryPr>
            <m:sub>
              <m:r>
                <m:t>j</m:t>
              </m:r>
            </m:sub>
            <m:sup>
              <m:r>
                <m:t>​</m:t>
              </m:r>
            </m:sup>
            <m:e>
              <m:sSub>
                <m:e>
                  <m:r>
                    <m:t>a</m:t>
                  </m:r>
                </m:e>
                <m:sub>
                  <m:r>
                    <m:t>j</m:t>
                  </m:r>
                </m:sub>
              </m:sSub>
            </m:e>
          </m:nary>
          <m:r>
            <m:rPr>
              <m:sty m:val="p"/>
            </m:rPr>
            <m:t>.</m:t>
          </m:r>
        </m:oMath>
      </m:oMathPara>
    </w:p>
    <w:p>
      <w:pPr>
        <w:pStyle w:val="FirstParagraph"/>
      </w:pPr>
      <w:r>
        <w:t xml:space="preserve">One Grover iteration is</w:t>
      </w:r>
      <w:r>
        <w:t xml:space="preserve"> </w:t>
      </w:r>
      <m:oMath>
        <m:r>
          <m:t>G</m:t>
        </m:r>
        <m:r>
          <m:rPr>
            <m:sty m:val="p"/>
          </m:rPr>
          <m:t>=</m:t>
        </m:r>
        <m:r>
          <m:t>D</m:t>
        </m:r>
        <m:r>
          <m:t> </m:t>
        </m:r>
        <m:sSub>
          <m:e>
            <m:r>
              <m:t>O</m:t>
            </m:r>
          </m:e>
          <m:sub>
            <m:r>
              <m:t>M</m:t>
            </m:r>
          </m:sub>
        </m:sSub>
      </m:oMath>
      <w:r>
        <w:t xml:space="preserve">. With</w:t>
      </w:r>
      <w:r>
        <w:t xml:space="preserve"> </w:t>
      </w:r>
      <m:oMath>
        <m:r>
          <m:rPr>
            <m:sty m:val="p"/>
          </m:rPr>
          <m:t>sin</m:t>
        </m:r>
        <m:r>
          <m:t>θ</m:t>
        </m:r>
        <m:r>
          <m:rPr>
            <m:sty m:val="p"/>
          </m:rPr>
          <m:t>=</m:t>
        </m:r>
        <m:rad>
          <m:radPr>
            <m:degHide m:val="on"/>
          </m:radPr>
          <m:deg/>
          <m:e>
            <m:d>
              <m:dPr>
                <m:begChr m:val="|"/>
                <m:endChr m:val="|"/>
                <m:sepChr m:val=""/>
                <m:grow/>
              </m:dPr>
              <m:e>
                <m:r>
                  <m:t>M</m:t>
                </m:r>
              </m:e>
            </m:d>
            <m:r>
              <m:rPr>
                <m:sty m:val="p"/>
              </m:rPr>
              <m:t>/</m:t>
            </m:r>
            <m:r>
              <m:t>N</m:t>
            </m:r>
          </m:e>
        </m:rad>
      </m:oMath>
      <w:r>
        <w:t xml:space="preserve">,</w:t>
      </w:r>
      <w:r>
        <w:t xml:space="preserve"> </w:t>
      </w:r>
      <m:oMath>
        <m:r>
          <m:t>G</m:t>
        </m:r>
      </m:oMath>
      <w:r>
        <w:t xml:space="preserve"> </w:t>
      </w:r>
      <w:r>
        <w:t xml:space="preserve">rotates the component of the state in the plane spanned by the uniform vectors over</w:t>
      </w:r>
      <w:r>
        <w:t xml:space="preserve"> </w:t>
      </w:r>
      <m:oMath>
        <m:r>
          <m:t>M</m:t>
        </m:r>
      </m:oMath>
      <w:r>
        <w:t xml:space="preserve"> </w:t>
      </w:r>
      <w:r>
        <w:t xml:space="preserve">and over its complement by</w:t>
      </w:r>
      <w:r>
        <w:t xml:space="preserve"> </w:t>
      </w:r>
      <m:oMath>
        <m:r>
          <m:t>2</m:t>
        </m:r>
        <m:r>
          <m:t>θ</m:t>
        </m:r>
      </m:oMath>
      <w:r>
        <w:t xml:space="preserve"> </w:t>
      </w:r>
      <w:r>
        <w:t xml:space="preserve">towards</w:t>
      </w:r>
      <w:r>
        <w:t xml:space="preserve"> </w:t>
      </w:r>
      <m:oMath>
        <m:r>
          <m:t>M</m:t>
        </m:r>
      </m:oMath>
      <w:r>
        <w:t xml:space="preserve"> </w:t>
      </w:r>
      <w:r>
        <w:t xml:space="preserve">[12, 14]</w:t>
      </w:r>
      <w:r>
        <w:t xml:space="preserve">.</w:t>
      </w:r>
    </w:p>
    <w:bookmarkEnd w:id="32"/>
    <w:bookmarkStart w:id="33" w:name="diffusion-alone-is-an-involution"/>
    <w:p>
      <w:pPr>
        <w:pStyle w:val="Heading2"/>
      </w:pPr>
      <w:r>
        <w:rPr>
          <w:rStyle w:val="SectionNumber"/>
        </w:rPr>
        <w:t xml:space="preserve">4.2</w:t>
      </w:r>
      <w:r>
        <w:tab/>
      </w:r>
      <w:r>
        <w:t xml:space="preserve">Diffusion alone is an involution</w:t>
      </w:r>
    </w:p>
    <w:p>
      <w:pPr>
        <w:pStyle w:val="FirstParagraph"/>
      </w:pPr>
      <w:r>
        <w:t xml:space="preserve">The 1.x reranker applied</w:t>
      </w:r>
      <w:r>
        <w:t xml:space="preserve"> </w:t>
      </w:r>
      <m:oMath>
        <m:r>
          <m:t>D</m:t>
        </m:r>
      </m:oMath>
      <w:r>
        <w:t xml:space="preserve"> </w:t>
      </w:r>
      <w:r>
        <w:t xml:space="preserve">alone,</w:t>
      </w:r>
      <w:r>
        <w:t xml:space="preserve"> </w:t>
      </w:r>
      <m:oMath>
        <m:r>
          <m:t>k</m:t>
        </m:r>
      </m:oMath>
      <w:r>
        <w:t xml:space="preserve"> </w:t>
      </w:r>
      <w:r>
        <w:t xml:space="preserve">times, with</w:t>
      </w:r>
      <w:r>
        <w:t xml:space="preserve"> </w:t>
      </w:r>
      <m:oMath>
        <m:r>
          <m:t>k</m:t>
        </m:r>
        <m:r>
          <m:rPr>
            <m:sty m:val="p"/>
          </m:rPr>
          <m:t>=</m:t>
        </m:r>
        <m:r>
          <m:rPr>
            <m:sty m:val="p"/>
          </m:rPr>
          <m:t>⌊</m:t>
        </m:r>
        <m:r>
          <m:t>π</m:t>
        </m:r>
        <m:r>
          <m:rPr>
            <m:sty m:val="p"/>
          </m:rPr>
          <m:t>/</m:t>
        </m:r>
        <m:d>
          <m:dPr>
            <m:begChr m:val="("/>
            <m:endChr m:val=")"/>
            <m:sepChr m:val=""/>
            <m:grow/>
          </m:dPr>
          <m:e>
            <m:r>
              <m:t>4</m:t>
            </m:r>
            <m:r>
              <m:rPr>
                <m:sty m:val="p"/>
              </m:rPr>
              <m:t>arcsin</m:t>
            </m:r>
            <m:d>
              <m:dPr>
                <m:begChr m:val="("/>
                <m:endChr m:val=")"/>
                <m:sepChr m:val=""/>
                <m:grow/>
              </m:dPr>
              <m:e>
                <m:r>
                  <m:t>1</m:t>
                </m:r>
                <m:r>
                  <m:rPr>
                    <m:sty m:val="p"/>
                  </m:rPr>
                  <m:t>/</m:t>
                </m:r>
                <m:rad>
                  <m:radPr>
                    <m:degHide m:val="on"/>
                  </m:radPr>
                  <m:deg/>
                  <m:e>
                    <m:r>
                      <m:t>N</m:t>
                    </m:r>
                  </m:e>
                </m:rad>
              </m:e>
            </m:d>
          </m:e>
        </m:d>
        <m:r>
          <m:rPr>
            <m:sty m:val="p"/>
          </m:rPr>
          <m:t>⌋</m:t>
        </m:r>
      </m:oMath>
      <w:r>
        <w:t xml:space="preserve">, and ranked candidates by the result.</w:t>
      </w:r>
    </w:p>
    <w:p>
      <w:pPr>
        <w:pStyle w:val="BodyText"/>
      </w:pPr>
      <w:r>
        <w:rPr>
          <w:bCs/>
          <w:b/>
        </w:rPr>
        <w:t xml:space="preserve">Proposition 1.</w:t>
      </w:r>
      <w:r>
        <w:t xml:space="preserve"> </w:t>
      </w:r>
      <m:oMath>
        <m:sSup>
          <m:e>
            <m:r>
              <m:t>D</m:t>
            </m:r>
          </m:e>
          <m:sup>
            <m:r>
              <m:t>2</m:t>
            </m:r>
          </m:sup>
        </m:sSup>
        <m:r>
          <m:rPr>
            <m:sty m:val="p"/>
          </m:rPr>
          <m:t>=</m:t>
        </m:r>
        <m:r>
          <m:t>I</m:t>
        </m:r>
      </m:oMath>
      <w:r>
        <w:rPr>
          <w:iCs/>
          <w:i/>
        </w:rPr>
        <w:t xml:space="preserve">. Hence</w:t>
      </w:r>
      <w:r>
        <w:rPr>
          <w:iCs/>
          <w:i/>
        </w:rPr>
        <w:t xml:space="preserve"> </w:t>
      </w:r>
      <m:oMath>
        <m:sSup>
          <m:e>
            <m:r>
              <m:t>D</m:t>
            </m:r>
          </m:e>
          <m:sup>
            <m:r>
              <m:t>k</m:t>
            </m:r>
          </m:sup>
        </m:sSup>
        <m:r>
          <m:t>a</m:t>
        </m:r>
        <m:r>
          <m:rPr>
            <m:sty m:val="p"/>
          </m:rPr>
          <m:t>=</m:t>
        </m:r>
        <m:r>
          <m:t>a</m:t>
        </m:r>
      </m:oMath>
      <w:r>
        <w:rPr>
          <w:iCs/>
          <w:i/>
        </w:rPr>
        <w:t xml:space="preserve"> </w:t>
      </w:r>
      <w:r>
        <w:rPr>
          <w:iCs/>
          <w:i/>
        </w:rPr>
        <w:t xml:space="preserve">for even</w:t>
      </w:r>
      <w:r>
        <w:rPr>
          <w:iCs/>
          <w:i/>
        </w:rPr>
        <w:t xml:space="preserve"> </w:t>
      </w:r>
      <m:oMath>
        <m:r>
          <m:t>k</m:t>
        </m:r>
      </m:oMath>
      <w:r>
        <w:rPr>
          <w:iCs/>
          <w:i/>
        </w:rPr>
        <w:t xml:space="preserve"> </w:t>
      </w:r>
      <w:r>
        <w:rPr>
          <w:iCs/>
          <w:i/>
        </w:rPr>
        <w:t xml:space="preserve">and</w:t>
      </w:r>
      <w:r>
        <w:rPr>
          <w:iCs/>
          <w:i/>
        </w:rPr>
        <w:t xml:space="preserve"> </w:t>
      </w:r>
      <m:oMath>
        <m:sSup>
          <m:e>
            <m:r>
              <m:t>D</m:t>
            </m:r>
          </m:e>
          <m:sup>
            <m:r>
              <m:t>k</m:t>
            </m:r>
          </m:sup>
        </m:sSup>
        <m:r>
          <m:t>a</m:t>
        </m:r>
        <m:r>
          <m:rPr>
            <m:sty m:val="p"/>
          </m:rPr>
          <m:t>=</m:t>
        </m:r>
        <m:r>
          <m:t>D</m:t>
        </m:r>
        <m:r>
          <m:t>a</m:t>
        </m:r>
      </m:oMath>
      <w:r>
        <w:rPr>
          <w:iCs/>
          <w:i/>
        </w:rPr>
        <w:t xml:space="preserve"> </w:t>
      </w:r>
      <w:r>
        <w:rPr>
          <w:iCs/>
          <w:i/>
        </w:rPr>
        <w:t xml:space="preserve">for odd</w:t>
      </w:r>
      <w:r>
        <w:rPr>
          <w:iCs/>
          <w:i/>
        </w:rPr>
        <w:t xml:space="preserve"> </w:t>
      </w:r>
      <m:oMath>
        <m:r>
          <m:t>k</m:t>
        </m:r>
      </m:oMath>
      <w:r>
        <w:rPr>
          <w:iCs/>
          <w:i/>
        </w:rPr>
        <w:t xml:space="preserve">. Moreover,</w:t>
      </w:r>
      <w:r>
        <w:rPr>
          <w:iCs/>
          <w:i/>
        </w:rPr>
        <w:t xml:space="preserve"> </w:t>
      </w:r>
      <m:oMath>
        <m:r>
          <m:t>D</m:t>
        </m:r>
        <m:r>
          <m:t>a</m:t>
        </m:r>
      </m:oMath>
      <w:r>
        <w:rPr>
          <w:iCs/>
          <w:i/>
        </w:rPr>
        <w:t xml:space="preserve"> </w:t>
      </w:r>
      <w:r>
        <w:rPr>
          <w:iCs/>
          <w:i/>
        </w:rPr>
        <w:t xml:space="preserve">is a strictly decreasing function of</w:t>
      </w:r>
      <w:r>
        <w:rPr>
          <w:iCs/>
          <w:i/>
        </w:rPr>
        <w:t xml:space="preserve"> </w:t>
      </w:r>
      <m:oMath>
        <m:r>
          <m:t>a</m:t>
        </m:r>
      </m:oMath>
      <w:r>
        <w:rPr>
          <w:iCs/>
          <w:i/>
        </w:rPr>
        <w:t xml:space="preserve"> </w:t>
      </w:r>
      <w:r>
        <w:rPr>
          <w:iCs/>
          <w:i/>
        </w:rPr>
        <w:t xml:space="preserve">coordinate-wise, so ranking by</w:t>
      </w:r>
      <w:r>
        <w:rPr>
          <w:iCs/>
          <w:i/>
        </w:rPr>
        <w:t xml:space="preserve"> </w:t>
      </w:r>
      <m:oMath>
        <m:r>
          <m:t>D</m:t>
        </m:r>
        <m:r>
          <m:t>a</m:t>
        </m:r>
      </m:oMath>
      <w:r>
        <w:rPr>
          <w:iCs/>
          <w:i/>
        </w:rPr>
        <w:t xml:space="preserve"> </w:t>
      </w:r>
      <w:r>
        <w:rPr>
          <w:iCs/>
          <w:i/>
        </w:rPr>
        <w:t xml:space="preserve">exactly reverses the ranking by</w:t>
      </w:r>
      <w:r>
        <w:rPr>
          <w:iCs/>
          <w:i/>
        </w:rPr>
        <w:t xml:space="preserve"> </w:t>
      </w:r>
      <m:oMath>
        <m:r>
          <m:t>a</m:t>
        </m:r>
      </m:oMath>
      <w:r>
        <w:rPr>
          <w:iCs/>
          <w:i/>
        </w:rPr>
        <w:t xml:space="preserve">.</w:t>
      </w:r>
    </w:p>
    <w:p>
      <w:pPr>
        <w:pStyle w:val="BodyText"/>
      </w:pPr>
      <w:r>
        <w:rPr>
          <w:iCs/>
          <w:i/>
        </w:rPr>
        <w:t xml:space="preserve">Proof.</w:t>
      </w:r>
      <w:r>
        <w:t xml:space="preserve"> </w:t>
      </w:r>
      <m:oMath>
        <m:sSup>
          <m:e>
            <m:r>
              <m:t>D</m:t>
            </m:r>
          </m:e>
          <m:sup>
            <m:r>
              <m:t>2</m:t>
            </m:r>
          </m:sup>
        </m:sSup>
        <m:r>
          <m:rPr>
            <m:sty m:val="p"/>
          </m:rPr>
          <m:t>=</m:t>
        </m:r>
        <m:r>
          <m:t>4</m:t>
        </m:r>
        <m:r>
          <m:t>s</m:t>
        </m:r>
        <m:sSup>
          <m:e>
            <m:r>
              <m:t>s</m:t>
            </m:r>
          </m:e>
          <m:sup>
            <m:r>
              <m:rPr>
                <m:sty m:val="p"/>
              </m:rPr>
              <m:t>⊤</m:t>
            </m:r>
          </m:sup>
        </m:sSup>
        <m:r>
          <m:t>s</m:t>
        </m:r>
        <m:sSup>
          <m:e>
            <m:r>
              <m:t>s</m:t>
            </m:r>
          </m:e>
          <m:sup>
            <m:r>
              <m:rPr>
                <m:sty m:val="p"/>
              </m:rPr>
              <m:t>⊤</m:t>
            </m:r>
          </m:sup>
        </m:sSup>
        <m:r>
          <m:rPr>
            <m:sty m:val="p"/>
          </m:rPr>
          <m:t>−</m:t>
        </m:r>
        <m:r>
          <m:t>4</m:t>
        </m:r>
        <m:r>
          <m:t>s</m:t>
        </m:r>
        <m:sSup>
          <m:e>
            <m:r>
              <m:t>s</m:t>
            </m:r>
          </m:e>
          <m:sup>
            <m:r>
              <m:rPr>
                <m:sty m:val="p"/>
              </m:rPr>
              <m:t>⊤</m:t>
            </m:r>
          </m:sup>
        </m:sSup>
        <m:r>
          <m:rPr>
            <m:sty m:val="p"/>
          </m:rPr>
          <m:t>+</m:t>
        </m:r>
        <m:r>
          <m:t>I</m:t>
        </m:r>
        <m:r>
          <m:rPr>
            <m:sty m:val="p"/>
          </m:rPr>
          <m:t>=</m:t>
        </m:r>
        <m:r>
          <m:t>I</m:t>
        </m:r>
      </m:oMath>
      <w:r>
        <w:t xml:space="preserve"> </w:t>
      </w:r>
      <w:r>
        <w:t xml:space="preserve">because</w:t>
      </w:r>
      <w:r>
        <w:t xml:space="preserve"> </w:t>
      </w:r>
      <m:oMath>
        <m:sSup>
          <m:e>
            <m:r>
              <m:t>s</m:t>
            </m:r>
          </m:e>
          <m:sup>
            <m:r>
              <m:rPr>
                <m:sty m:val="p"/>
              </m:rPr>
              <m:t>⊤</m:t>
            </m:r>
          </m:sup>
        </m:sSup>
        <m:r>
          <m:t>s</m:t>
        </m:r>
        <m:r>
          <m:rPr>
            <m:sty m:val="p"/>
          </m:rPr>
          <m:t>=</m:t>
        </m:r>
        <m:r>
          <m:t>1</m:t>
        </m:r>
      </m:oMath>
      <w:r>
        <w:t xml:space="preserve">. For odd</w:t>
      </w:r>
      <w:r>
        <w:t xml:space="preserve"> </w:t>
      </w:r>
      <m:oMath>
        <m:r>
          <m:t>k</m:t>
        </m:r>
      </m:oMath>
      <w:r>
        <w:t xml:space="preserve">,</w:t>
      </w:r>
      <w:r>
        <w:t xml:space="preserve"> </w:t>
      </w:r>
      <m:oMath>
        <m:sSub>
          <m:e>
            <m:d>
              <m:dPr>
                <m:begChr m:val="("/>
                <m:endChr m:val=")"/>
                <m:sepChr m:val=""/>
                <m:grow/>
              </m:dPr>
              <m:e>
                <m:r>
                  <m:t>D</m:t>
                </m:r>
                <m:r>
                  <m:t>a</m:t>
                </m:r>
              </m:e>
            </m:d>
          </m:e>
          <m:sub>
            <m:r>
              <m:t>i</m:t>
            </m:r>
          </m:sub>
        </m:sSub>
        <m:r>
          <m:rPr>
            <m:sty m:val="p"/>
          </m:rPr>
          <m:t>=</m:t>
        </m:r>
        <m:r>
          <m:t>2</m:t>
        </m:r>
        <m:acc>
          <m:accPr>
            <m:chr m:val="‾"/>
          </m:accPr>
          <m:e>
            <m:r>
              <m:t>a</m:t>
            </m:r>
          </m:e>
        </m:acc>
        <m:r>
          <m:rPr>
            <m:sty m:val="p"/>
          </m:rPr>
          <m:t>−</m:t>
        </m:r>
        <m:sSub>
          <m:e>
            <m:r>
              <m:t>a</m:t>
            </m:r>
          </m:e>
          <m:sub>
            <m:r>
              <m:t>i</m:t>
            </m:r>
          </m:sub>
        </m:sSub>
      </m:oMath>
      <w:r>
        <w:t xml:space="preserve">, and</w:t>
      </w:r>
      <w:r>
        <w:t xml:space="preserve"> </w:t>
      </w:r>
      <m:oMath>
        <m:sSub>
          <m:e>
            <m:r>
              <m:t>a</m:t>
            </m:r>
          </m:e>
          <m:sub>
            <m:r>
              <m:t>i</m:t>
            </m:r>
          </m:sub>
        </m:sSub>
        <m:r>
          <m:rPr>
            <m:sty m:val="p"/>
          </m:rPr>
          <m:t>&gt;</m:t>
        </m:r>
        <m:sSub>
          <m:e>
            <m:r>
              <m:t>a</m:t>
            </m:r>
          </m:e>
          <m:sub>
            <m:r>
              <m:t>j</m:t>
            </m:r>
          </m:sub>
        </m:sSub>
      </m:oMath>
      <w:r>
        <w:t xml:space="preserve"> </w:t>
      </w:r>
      <w:r>
        <w:t xml:space="preserve">implies</w:t>
      </w:r>
      <w:r>
        <w:t xml:space="preserve"> </w:t>
      </w:r>
      <m:oMath>
        <m:sSub>
          <m:e>
            <m:d>
              <m:dPr>
                <m:begChr m:val="("/>
                <m:endChr m:val=")"/>
                <m:sepChr m:val=""/>
                <m:grow/>
              </m:dPr>
              <m:e>
                <m:r>
                  <m:t>D</m:t>
                </m:r>
                <m:r>
                  <m:t>a</m:t>
                </m:r>
              </m:e>
            </m:d>
          </m:e>
          <m:sub>
            <m:r>
              <m:t>i</m:t>
            </m:r>
          </m:sub>
        </m:sSub>
        <m:r>
          <m:rPr>
            <m:sty m:val="p"/>
          </m:rPr>
          <m:t>&lt;</m:t>
        </m:r>
        <m:sSub>
          <m:e>
            <m:d>
              <m:dPr>
                <m:begChr m:val="("/>
                <m:endChr m:val=")"/>
                <m:sepChr m:val=""/>
                <m:grow/>
              </m:dPr>
              <m:e>
                <m:r>
                  <m:t>D</m:t>
                </m:r>
                <m:r>
                  <m:t>a</m:t>
                </m:r>
              </m:e>
            </m:d>
          </m:e>
          <m:sub>
            <m:r>
              <m:t>j</m:t>
            </m:r>
          </m:sub>
        </m:sSub>
      </m:oMath>
      <w:r>
        <w:t xml:space="preserve">.</w:t>
      </w:r>
      <w:r>
        <w:t xml:space="preserve"> </w:t>
      </w:r>
      <m:oMath>
        <m:r>
          <m:rPr>
            <m:sty m:val="p"/>
          </m:rPr>
          <m:t>▫</m:t>
        </m:r>
      </m:oMath>
    </w:p>
    <w:p>
      <w:pPr>
        <w:pStyle w:val="BodyText"/>
      </w:pPr>
      <w:r>
        <w:t xml:space="preserve">The reranker therefore carries no information beyond the parity of</w:t>
      </w:r>
      <w:r>
        <w:t xml:space="preserve"> </w:t>
      </w:r>
      <m:oMath>
        <m:r>
          <m:t>k</m:t>
        </m:r>
      </m:oMath>
      <w:r>
        <w:t xml:space="preserve">: it either leaves the ranking unchanged or reverses it, and which one happens depends only on</w:t>
      </w:r>
      <w:r>
        <w:t xml:space="preserve"> </w:t>
      </w:r>
      <m:oMath>
        <m:r>
          <m:t>N</m:t>
        </m:r>
      </m:oMath>
      <w:r>
        <w:t xml:space="preserve">. Section 6.1 confirms this on 255 list sizes: the 1.x code reversed the ranking for 50.2% of them and left it unchanged for the rest, with no other outcome. Applying</w:t>
      </w:r>
      <w:r>
        <w:t xml:space="preserve"> </w:t>
      </w:r>
      <m:oMath>
        <m:r>
          <m:t>D</m:t>
        </m:r>
      </m:oMath>
      <w:r>
        <w:t xml:space="preserve"> </w:t>
      </w:r>
      <w:r>
        <w:t xml:space="preserve">alone cannot</w:t>
      </w:r>
      <w:r>
        <w:t xml:space="preserve"> </w:t>
      </w:r>
      <w:r>
        <w:t xml:space="preserve">“</w:t>
      </w:r>
      <w:r>
        <w:t xml:space="preserve">amplify</w:t>
      </w:r>
      <w:r>
        <w:t xml:space="preserve">”</w:t>
      </w:r>
      <w:r>
        <w:t xml:space="preserve"> </w:t>
      </w:r>
      <w:r>
        <w:t xml:space="preserve">relevant items, because nothing tells it which items are relevant. That information is the oracle.</w:t>
      </w:r>
    </w:p>
    <w:bookmarkEnd w:id="33"/>
    <w:bookmarkStart w:id="34" w:name="oracle-and-diffusion-in-closed-form"/>
    <w:p>
      <w:pPr>
        <w:pStyle w:val="Heading2"/>
      </w:pPr>
      <w:r>
        <w:rPr>
          <w:rStyle w:val="SectionNumber"/>
        </w:rPr>
        <w:t xml:space="preserve">4.3</w:t>
      </w:r>
      <w:r>
        <w:tab/>
      </w:r>
      <w:r>
        <w:t xml:space="preserve">Oracle and diffusion in closed form</w:t>
      </w:r>
    </w:p>
    <w:p>
      <w:pPr>
        <w:pStyle w:val="FirstParagraph"/>
      </w:pPr>
      <w:r>
        <w:t xml:space="preserve">VecForge 2.0 applies</w:t>
      </w:r>
      <w:r>
        <w:t xml:space="preserve"> </w:t>
      </w:r>
      <m:oMath>
        <m:r>
          <m:t>G</m:t>
        </m:r>
        <m:r>
          <m:rPr>
            <m:sty m:val="p"/>
          </m:rPr>
          <m:t>=</m:t>
        </m:r>
        <m:r>
          <m:t>D</m:t>
        </m:r>
        <m:r>
          <m:t> </m:t>
        </m:r>
        <m:sSub>
          <m:e>
            <m:r>
              <m:t>O</m:t>
            </m:r>
          </m:e>
          <m:sub>
            <m:r>
              <m:t>M</m:t>
            </m:r>
          </m:sub>
        </m:sSub>
      </m:oMath>
      <w:r>
        <w:t xml:space="preserve">. Running</w:t>
      </w:r>
      <w:r>
        <w:t xml:space="preserve"> </w:t>
      </w:r>
      <m:oMath>
        <m:r>
          <m:t>G</m:t>
        </m:r>
      </m:oMath>
      <w:r>
        <w:t xml:space="preserve"> </w:t>
      </w:r>
      <w:r>
        <w:t xml:space="preserve">step by step costs</w:t>
      </w:r>
      <w:r>
        <w:t xml:space="preserve"> </w:t>
      </w:r>
      <m:oMath>
        <m:r>
          <m:t>O</m:t>
        </m:r>
        <m:d>
          <m:dPr>
            <m:begChr m:val="("/>
            <m:endChr m:val=")"/>
            <m:sepChr m:val=""/>
            <m:grow/>
          </m:dPr>
          <m:e>
            <m:r>
              <m:t>k</m:t>
            </m:r>
            <m:r>
              <m:t>N</m:t>
            </m:r>
          </m:e>
        </m:d>
      </m:oMath>
      <w:r>
        <w:t xml:space="preserve"> </w:t>
      </w:r>
      <w:r>
        <w:t xml:space="preserve">with</w:t>
      </w:r>
      <w:r>
        <w:t xml:space="preserve"> </w:t>
      </w:r>
      <m:oMath>
        <m:r>
          <m:t>k</m:t>
        </m:r>
        <m:r>
          <m:rPr>
            <m:sty m:val="p"/>
          </m:rPr>
          <m:t>=</m:t>
        </m:r>
        <m:r>
          <m:t>O</m:t>
        </m:r>
        <m:d>
          <m:dPr>
            <m:begChr m:val="("/>
            <m:endChr m:val=")"/>
            <m:sepChr m:val=""/>
            <m:grow/>
          </m:dPr>
          <m:e>
            <m:rad>
              <m:radPr>
                <m:degHide m:val="on"/>
              </m:radPr>
              <m:deg/>
              <m:e>
                <m:r>
                  <m:t>N</m:t>
                </m:r>
                <m:r>
                  <m:rPr>
                    <m:sty m:val="p"/>
                  </m:rPr>
                  <m:t>/</m:t>
                </m:r>
                <m:d>
                  <m:dPr>
                    <m:begChr m:val="|"/>
                    <m:endChr m:val="|"/>
                    <m:sepChr m:val=""/>
                    <m:grow/>
                  </m:dPr>
                  <m:e>
                    <m:r>
                      <m:t>M</m:t>
                    </m:r>
                  </m:e>
                </m:d>
              </m:e>
            </m:rad>
          </m:e>
        </m:d>
      </m:oMath>
      <w:r>
        <w:t xml:space="preserve">, but</w:t>
      </w:r>
      <w:r>
        <w:t xml:space="preserve"> </w:t>
      </w:r>
      <m:oMath>
        <m:sSup>
          <m:e>
            <m:r>
              <m:t>G</m:t>
            </m:r>
          </m:e>
          <m:sup>
            <m:r>
              <m:t>k</m:t>
            </m:r>
          </m:sup>
        </m:sSup>
      </m:oMath>
      <w:r>
        <w:t xml:space="preserve"> </w:t>
      </w:r>
      <w:r>
        <w:t xml:space="preserve">has a closed form that costs</w:t>
      </w:r>
      <w:r>
        <w:t xml:space="preserve"> </w:t>
      </w:r>
      <m:oMath>
        <m:r>
          <m:t>O</m:t>
        </m:r>
        <m:d>
          <m:dPr>
            <m:begChr m:val="("/>
            <m:endChr m:val=")"/>
            <m:sepChr m:val=""/>
            <m:grow/>
          </m:dPr>
          <m:e>
            <m:r>
              <m:t>N</m:t>
            </m:r>
          </m:e>
        </m:d>
      </m:oMath>
      <w:r>
        <w:t xml:space="preserve"> </w:t>
      </w:r>
      <w:r>
        <w:t xml:space="preserve">regardless of</w:t>
      </w:r>
      <w:r>
        <w:t xml:space="preserve"> </w:t>
      </w:r>
      <m:oMath>
        <m:r>
          <m:t>k</m:t>
        </m:r>
      </m:oMath>
      <w:r>
        <w:t xml:space="preserve">. Write</w:t>
      </w:r>
      <w:r>
        <w:t xml:space="preserve"> </w:t>
      </w:r>
      <m:oMath>
        <m:r>
          <m:t>m</m:t>
        </m:r>
        <m:r>
          <m:rPr>
            <m:sty m:val="p"/>
          </m:rPr>
          <m:t>=</m:t>
        </m:r>
        <m:d>
          <m:dPr>
            <m:begChr m:val="|"/>
            <m:endChr m:val="|"/>
            <m:sepChr m:val=""/>
            <m:grow/>
          </m:dPr>
          <m:e>
            <m:r>
              <m:t>M</m:t>
            </m:r>
          </m:e>
        </m:d>
      </m:oMath>
      <w:r>
        <w:t xml:space="preserve">, let</w:t>
      </w:r>
      <w:r>
        <w:t xml:space="preserve"> </w:t>
      </w:r>
      <m:oMath>
        <m:sSub>
          <m:e>
            <m:r>
              <m:t>u</m:t>
            </m:r>
          </m:e>
          <m:sub>
            <m:r>
              <m:t>M</m:t>
            </m:r>
          </m:sub>
        </m:sSub>
      </m:oMath>
      <w:r>
        <w:t xml:space="preserve"> </w:t>
      </w:r>
      <w:r>
        <w:t xml:space="preserve">and</w:t>
      </w:r>
      <w:r>
        <w:t xml:space="preserve"> </w:t>
      </w:r>
      <m:oMath>
        <m:sSub>
          <m:e>
            <m:r>
              <m:t>u</m:t>
            </m:r>
          </m:e>
          <m:sub>
            <m:r>
              <m:t>U</m:t>
            </m:r>
          </m:sub>
        </m:sSub>
      </m:oMath>
      <w:r>
        <w:t xml:space="preserve"> </w:t>
      </w:r>
      <w:r>
        <w:t xml:space="preserve">be the unit uniform vectors over</w:t>
      </w:r>
      <w:r>
        <w:t xml:space="preserve"> </w:t>
      </w:r>
      <m:oMath>
        <m:r>
          <m:t>M</m:t>
        </m:r>
      </m:oMath>
      <w:r>
        <w:t xml:space="preserve"> </w:t>
      </w:r>
      <w:r>
        <w:t xml:space="preserve">and its complement</w:t>
      </w:r>
      <w:r>
        <w:t xml:space="preserve"> </w:t>
      </w:r>
      <m:oMath>
        <m:r>
          <m:t>U</m:t>
        </m:r>
      </m:oMath>
      <w:r>
        <w:t xml:space="preserve">, and decompose</w:t>
      </w:r>
    </w:p>
    <w:p>
      <w:pPr>
        <w:pStyle w:val="BodyText"/>
      </w:pPr>
      <m:oMathPara>
        <m:oMathParaPr>
          <m:jc m:val="center"/>
        </m:oMathParaPr>
        <m:oMath>
          <m:r>
            <m:t>a</m:t>
          </m:r>
          <m:r>
            <m:rPr>
              <m:sty m:val="p"/>
            </m:rPr>
            <m:t>=</m:t>
          </m:r>
          <m:sSub>
            <m:e>
              <m:r>
                <m:t>α</m:t>
              </m:r>
            </m:e>
            <m:sub>
              <m:r>
                <m:t>0</m:t>
              </m:r>
            </m:sub>
          </m:sSub>
          <m:r>
            <m:t> </m:t>
          </m:r>
          <m:sSub>
            <m:e>
              <m:r>
                <m:t>u</m:t>
              </m:r>
            </m:e>
            <m:sub>
              <m:r>
                <m:t>M</m:t>
              </m:r>
            </m:sub>
          </m:sSub>
          <m:r>
            <m:rPr>
              <m:sty m:val="p"/>
            </m:rPr>
            <m:t>+</m:t>
          </m:r>
          <m:sSub>
            <m:e>
              <m:r>
                <m:t>β</m:t>
              </m:r>
            </m:e>
            <m:sub>
              <m:r>
                <m:t>0</m:t>
              </m:r>
            </m:sub>
          </m:sSub>
          <m:r>
            <m:t> </m:t>
          </m:r>
          <m:sSub>
            <m:e>
              <m:r>
                <m:t>u</m:t>
              </m:r>
            </m:e>
            <m:sub>
              <m:r>
                <m:t>U</m:t>
              </m:r>
            </m:sub>
          </m:sSub>
          <m:r>
            <m:rPr>
              <m:sty m:val="p"/>
            </m:rPr>
            <m:t>+</m:t>
          </m:r>
          <m:sSub>
            <m:e>
              <m:r>
                <m:t>ρ</m:t>
              </m:r>
            </m:e>
            <m:sub>
              <m:r>
                <m:t>M</m:t>
              </m:r>
            </m:sub>
          </m:sSub>
          <m:r>
            <m:rPr>
              <m:sty m:val="p"/>
            </m:rPr>
            <m:t>+</m:t>
          </m:r>
          <m:sSub>
            <m:e>
              <m:r>
                <m:t>ρ</m:t>
              </m:r>
            </m:e>
            <m:sub>
              <m:r>
                <m:t>U</m:t>
              </m:r>
            </m:sub>
          </m:sSub>
          <m:r>
            <m:rPr>
              <m:sty m:val="p"/>
            </m:rPr>
            <m:t>,</m:t>
          </m:r>
        </m:oMath>
      </m:oMathPara>
    </w:p>
    <w:p>
      <w:pPr>
        <w:pStyle w:val="FirstParagraph"/>
      </w:pPr>
      <w:r>
        <w:t xml:space="preserve">where</w:t>
      </w:r>
      <w:r>
        <w:t xml:space="preserve"> </w:t>
      </w:r>
      <m:oMath>
        <m:sSub>
          <m:e>
            <m:r>
              <m:t>α</m:t>
            </m:r>
          </m:e>
          <m:sub>
            <m:r>
              <m:t>0</m:t>
            </m:r>
          </m:sub>
        </m:sSub>
        <m:r>
          <m:rPr>
            <m:sty m:val="p"/>
          </m:rPr>
          <m:t>=</m:t>
        </m:r>
        <m:f>
          <m:fPr>
            <m:type m:val="lin"/>
          </m:fPr>
          <m:num>
            <m:r>
              <m:t>1</m:t>
            </m:r>
          </m:num>
          <m:den>
            <m:rad>
              <m:radPr>
                <m:degHide m:val="on"/>
              </m:radPr>
              <m:deg/>
              <m:e>
                <m:r>
                  <m:t>m</m:t>
                </m:r>
              </m:e>
            </m:rad>
          </m:den>
        </m:f>
        <m:nary>
          <m:naryPr>
            <m:chr m:val="∑"/>
            <m:limLoc m:val="undOvr"/>
            <m:subHide m:val="off"/>
            <m:supHide m:val="on"/>
          </m:naryPr>
          <m:sub>
            <m:r>
              <m:t>i</m:t>
            </m:r>
            <m:r>
              <m:rPr>
                <m:sty m:val="p"/>
              </m:rPr>
              <m:t>∈</m:t>
            </m:r>
            <m:r>
              <m:t>M</m:t>
            </m:r>
          </m:sub>
          <m:sup>
            <m:r>
              <m:t>​</m:t>
            </m:r>
          </m:sup>
          <m:e>
            <m:sSub>
              <m:e>
                <m:r>
                  <m:t>a</m:t>
                </m:r>
              </m:e>
              <m:sub>
                <m:r>
                  <m:t>i</m:t>
                </m:r>
              </m:sub>
            </m:sSub>
          </m:e>
        </m:nary>
      </m:oMath>
      <w:r>
        <w:t xml:space="preserve">,</w:t>
      </w:r>
      <w:r>
        <w:t xml:space="preserve"> </w:t>
      </w:r>
      <m:oMath>
        <m:sSub>
          <m:e>
            <m:r>
              <m:t>β</m:t>
            </m:r>
          </m:e>
          <m:sub>
            <m:r>
              <m:t>0</m:t>
            </m:r>
          </m:sub>
        </m:sSub>
        <m:r>
          <m:rPr>
            <m:sty m:val="p"/>
          </m:rPr>
          <m:t>=</m:t>
        </m:r>
        <m:f>
          <m:fPr>
            <m:type m:val="lin"/>
          </m:fPr>
          <m:num>
            <m:r>
              <m:t>1</m:t>
            </m:r>
          </m:num>
          <m:den>
            <m:rad>
              <m:radPr>
                <m:degHide m:val="on"/>
              </m:radPr>
              <m:deg/>
              <m:e>
                <m:r>
                  <m:t>N</m:t>
                </m:r>
                <m:r>
                  <m:rPr>
                    <m:sty m:val="p"/>
                  </m:rPr>
                  <m:t>−</m:t>
                </m:r>
                <m:r>
                  <m:t>m</m:t>
                </m:r>
              </m:e>
            </m:rad>
          </m:den>
        </m:f>
        <m:nary>
          <m:naryPr>
            <m:chr m:val="∑"/>
            <m:limLoc m:val="undOvr"/>
            <m:subHide m:val="off"/>
            <m:supHide m:val="on"/>
          </m:naryPr>
          <m:sub>
            <m:r>
              <m:t>i</m:t>
            </m:r>
            <m:r>
              <m:rPr>
                <m:sty m:val="p"/>
              </m:rPr>
              <m:t>∈</m:t>
            </m:r>
            <m:r>
              <m:t>U</m:t>
            </m:r>
          </m:sub>
          <m:sup>
            <m:r>
              <m:t>​</m:t>
            </m:r>
          </m:sup>
          <m:e>
            <m:sSub>
              <m:e>
                <m:r>
                  <m:t>a</m:t>
                </m:r>
              </m:e>
              <m:sub>
                <m:r>
                  <m:t>i</m:t>
                </m:r>
              </m:sub>
            </m:sSub>
          </m:e>
        </m:nary>
      </m:oMath>
      <w:r>
        <w:t xml:space="preserve">, and</w:t>
      </w:r>
      <w:r>
        <w:t xml:space="preserve"> </w:t>
      </w:r>
      <m:oMath>
        <m:sSub>
          <m:e>
            <m:r>
              <m:t>ρ</m:t>
            </m:r>
          </m:e>
          <m:sub>
            <m:r>
              <m:t>M</m:t>
            </m:r>
          </m:sub>
        </m:sSub>
      </m:oMath>
      <w:r>
        <w:t xml:space="preserve">,</w:t>
      </w:r>
      <w:r>
        <w:t xml:space="preserve"> </w:t>
      </w:r>
      <m:oMath>
        <m:sSub>
          <m:e>
            <m:r>
              <m:t>ρ</m:t>
            </m:r>
          </m:e>
          <m:sub>
            <m:r>
              <m:t>U</m:t>
            </m:r>
          </m:sub>
        </m:sSub>
      </m:oMath>
      <w:r>
        <w:t xml:space="preserve"> </w:t>
      </w:r>
      <w:r>
        <w:t xml:space="preserve">are the zero-mean residuals within each set. The residuals are orthogonal to</w:t>
      </w:r>
      <w:r>
        <w:t xml:space="preserve"> </w:t>
      </w:r>
      <m:oMath>
        <m:sSub>
          <m:e>
            <m:r>
              <m:t>u</m:t>
            </m:r>
          </m:e>
          <m:sub>
            <m:r>
              <m:t>M</m:t>
            </m:r>
          </m:sub>
        </m:sSub>
      </m:oMath>
      <w:r>
        <w:t xml:space="preserve">,</w:t>
      </w:r>
      <w:r>
        <w:t xml:space="preserve"> </w:t>
      </w:r>
      <m:oMath>
        <m:sSub>
          <m:e>
            <m:r>
              <m:t>u</m:t>
            </m:r>
          </m:e>
          <m:sub>
            <m:r>
              <m:t>U</m:t>
            </m:r>
          </m:sub>
        </m:sSub>
      </m:oMath>
      <w:r>
        <w:t xml:space="preserve"> </w:t>
      </w:r>
      <w:r>
        <w:t xml:space="preserve">and</w:t>
      </w:r>
      <w:r>
        <w:t xml:space="preserve"> </w:t>
      </w:r>
      <m:oMath>
        <m:r>
          <m:t>s</m:t>
        </m:r>
      </m:oMath>
      <w:r>
        <w:t xml:space="preserve">.</w:t>
      </w:r>
    </w:p>
    <w:p>
      <w:pPr>
        <w:pStyle w:val="BodyText"/>
      </w:pPr>
      <w:r>
        <w:rPr>
          <w:bCs/>
          <w:b/>
        </w:rPr>
        <w:t xml:space="preserve">Proposition 2.</w:t>
      </w:r>
      <w:r>
        <w:t xml:space="preserve"> </w:t>
      </w:r>
      <w:r>
        <w:rPr>
          <w:iCs/>
          <w:i/>
        </w:rPr>
        <w:t xml:space="preserve">Let</w:t>
      </w:r>
      <w:r>
        <w:rPr>
          <w:iCs/>
          <w:i/>
        </w:rPr>
        <w:t xml:space="preserve"> </w:t>
      </w:r>
      <m:oMath>
        <m:sSub>
          <m:e>
            <m:r>
              <m:t>ϕ</m:t>
            </m:r>
          </m:e>
          <m:sub>
            <m:r>
              <m:t>0</m:t>
            </m:r>
          </m:sub>
        </m:sSub>
        <m:r>
          <m:rPr>
            <m:sty m:val="p"/>
          </m:rPr>
          <m:t>=</m:t>
        </m:r>
        <m:r>
          <m:rPr>
            <m:sty m:val="p"/>
          </m:rPr>
          <m:t>atan2</m:t>
        </m:r>
        <m:d>
          <m:dPr>
            <m:begChr m:val="("/>
            <m:endChr m:val=")"/>
            <m:sepChr m:val=""/>
            <m:grow/>
          </m:dPr>
          <m:e>
            <m:sSub>
              <m:e>
                <m:r>
                  <m:t>α</m:t>
                </m:r>
              </m:e>
              <m:sub>
                <m:r>
                  <m:t>0</m:t>
                </m:r>
              </m:sub>
            </m:sSub>
            <m:r>
              <m:rPr>
                <m:sty m:val="p"/>
              </m:rPr>
              <m:t>,</m:t>
            </m:r>
            <m:sSub>
              <m:e>
                <m:r>
                  <m:t>β</m:t>
                </m:r>
              </m:e>
              <m:sub>
                <m:r>
                  <m:t>0</m:t>
                </m:r>
              </m:sub>
            </m:sSub>
          </m:e>
        </m:d>
      </m:oMath>
      <w:r>
        <w:rPr>
          <w:iCs/>
          <w:i/>
        </w:rPr>
        <w:t xml:space="preserve">,</w:t>
      </w:r>
      <w:r>
        <w:rPr>
          <w:iCs/>
          <w:i/>
        </w:rPr>
        <w:t xml:space="preserve"> </w:t>
      </w:r>
      <m:oMath>
        <m:r>
          <m:t>R</m:t>
        </m:r>
        <m:r>
          <m:rPr>
            <m:sty m:val="p"/>
          </m:rPr>
          <m:t>=</m:t>
        </m:r>
        <m:rad>
          <m:radPr>
            <m:degHide m:val="on"/>
          </m:radPr>
          <m:deg/>
          <m:e>
            <m:sSubSup>
              <m:e>
                <m:r>
                  <m:t>α</m:t>
                </m:r>
              </m:e>
              <m:sub>
                <m:r>
                  <m:t>0</m:t>
                </m:r>
              </m:sub>
              <m:sup>
                <m:r>
                  <m:t>2</m:t>
                </m:r>
              </m:sup>
            </m:sSubSup>
            <m:r>
              <m:rPr>
                <m:sty m:val="p"/>
              </m:rPr>
              <m:t>+</m:t>
            </m:r>
            <m:sSubSup>
              <m:e>
                <m:r>
                  <m:t>β</m:t>
                </m:r>
              </m:e>
              <m:sub>
                <m:r>
                  <m:t>0</m:t>
                </m:r>
              </m:sub>
              <m:sup>
                <m:r>
                  <m:t>2</m:t>
                </m:r>
              </m:sup>
            </m:sSubSup>
          </m:e>
        </m:rad>
      </m:oMath>
      <w:r>
        <w:rPr>
          <w:iCs/>
          <w:i/>
        </w:rPr>
        <w:t xml:space="preserve"> </w:t>
      </w:r>
      <w:r>
        <w:rPr>
          <w:iCs/>
          <w:i/>
        </w:rPr>
        <w:t xml:space="preserve">and</w:t>
      </w:r>
      <w:r>
        <w:rPr>
          <w:iCs/>
          <w:i/>
        </w:rPr>
        <w:t xml:space="preserve"> </w:t>
      </w:r>
      <m:oMath>
        <m:sSub>
          <m:e>
            <m:r>
              <m:t>ϕ</m:t>
            </m:r>
          </m:e>
          <m:sub>
            <m:r>
              <m:t>k</m:t>
            </m:r>
          </m:sub>
        </m:sSub>
        <m:r>
          <m:rPr>
            <m:sty m:val="p"/>
          </m:rPr>
          <m:t>=</m:t>
        </m:r>
        <m:sSub>
          <m:e>
            <m:r>
              <m:t>ϕ</m:t>
            </m:r>
          </m:e>
          <m:sub>
            <m:r>
              <m:t>0</m:t>
            </m:r>
          </m:sub>
        </m:sSub>
        <m:r>
          <m:rPr>
            <m:sty m:val="p"/>
          </m:rPr>
          <m:t>+</m:t>
        </m:r>
        <m:r>
          <m:t>2</m:t>
        </m:r>
        <m:r>
          <m:t>k</m:t>
        </m:r>
        <m:r>
          <m:t>θ</m:t>
        </m:r>
      </m:oMath>
      <w:r>
        <w:rPr>
          <w:iCs/>
          <w:i/>
        </w:rPr>
        <w:t xml:space="preserve">. Then</w:t>
      </w:r>
    </w:p>
    <w:p>
      <w:pPr>
        <w:pStyle w:val="BodyText"/>
      </w:pPr>
      <m:oMathPara>
        <m:oMathParaPr>
          <m:jc m:val="center"/>
        </m:oMathParaPr>
        <m:oMath>
          <m:sSup>
            <m:e>
              <m:r>
                <m:t>G</m:t>
              </m:r>
            </m:e>
            <m:sup>
              <m:r>
                <m:t>k</m:t>
              </m:r>
            </m:sup>
          </m:sSup>
          <m:r>
            <m:t>a</m:t>
          </m:r>
          <m:r>
            <m:rPr>
              <m:sty m:val="p"/>
            </m:rPr>
            <m:t>=</m:t>
          </m:r>
          <m:r>
            <m:t>R</m:t>
          </m:r>
          <m:r>
            <m:rPr>
              <m:sty m:val="p"/>
            </m:rPr>
            <m:t>sin</m:t>
          </m:r>
          <m:sSub>
            <m:e>
              <m:r>
                <m:t>ϕ</m:t>
              </m:r>
            </m:e>
            <m:sub>
              <m:r>
                <m:t>k</m:t>
              </m:r>
            </m:sub>
          </m:sSub>
          <m:r>
            <m:t> </m:t>
          </m:r>
          <m:sSub>
            <m:e>
              <m:r>
                <m:t>u</m:t>
              </m:r>
            </m:e>
            <m:sub>
              <m:r>
                <m:t>M</m:t>
              </m:r>
            </m:sub>
          </m:sSub>
          <m:r>
            <m:rPr>
              <m:sty m:val="p"/>
            </m:rPr>
            <m:t>+</m:t>
          </m:r>
          <m:r>
            <m:t>R</m:t>
          </m:r>
          <m:r>
            <m:rPr>
              <m:sty m:val="p"/>
            </m:rPr>
            <m:t>cos</m:t>
          </m:r>
          <m:sSub>
            <m:e>
              <m:r>
                <m:t>ϕ</m:t>
              </m:r>
            </m:e>
            <m:sub>
              <m:r>
                <m:t>k</m:t>
              </m:r>
            </m:sub>
          </m:sSub>
          <m:r>
            <m:t> </m:t>
          </m:r>
          <m:sSub>
            <m:e>
              <m:r>
                <m:t>u</m:t>
              </m:r>
            </m:e>
            <m:sub>
              <m:r>
                <m:t>U</m:t>
              </m:r>
            </m:sub>
          </m:sSub>
          <m:r>
            <m:rPr>
              <m:sty m:val="p"/>
            </m:rPr>
            <m:t>+</m:t>
          </m:r>
          <m:sSub>
            <m:e>
              <m:r>
                <m:t>ρ</m:t>
              </m:r>
            </m:e>
            <m:sub>
              <m:r>
                <m:t>M</m:t>
              </m:r>
            </m:sub>
          </m:sSub>
          <m:r>
            <m:rPr>
              <m:sty m:val="p"/>
            </m:rPr>
            <m:t>+</m:t>
          </m:r>
          <m:sSup>
            <m:e>
              <m:d>
                <m:dPr>
                  <m:begChr m:val="("/>
                  <m:endChr m:val=")"/>
                  <m:sepChr m:val=""/>
                  <m:grow/>
                </m:dPr>
                <m:e>
                  <m:r>
                    <m:rPr>
                      <m:sty m:val="p"/>
                    </m:rPr>
                    <m:t>−</m:t>
                  </m:r>
                  <m:r>
                    <m:t>1</m:t>
                  </m:r>
                </m:e>
              </m:d>
            </m:e>
            <m:sup>
              <m:r>
                <m:t>k</m:t>
              </m:r>
            </m:sup>
          </m:sSup>
          <m:sSub>
            <m:e>
              <m:r>
                <m:t>ρ</m:t>
              </m:r>
            </m:e>
            <m:sub>
              <m:r>
                <m:t>U</m:t>
              </m:r>
            </m:sub>
          </m:sSub>
          <m:r>
            <m:rPr>
              <m:sty m:val="p"/>
            </m:rPr>
            <m:t>.</m:t>
          </m:r>
        </m:oMath>
      </m:oMathPara>
    </w:p>
    <w:p>
      <w:pPr>
        <w:pStyle w:val="FirstParagraph"/>
      </w:pPr>
      <w:r>
        <w:rPr>
          <w:iCs/>
          <w:i/>
        </w:rPr>
        <w:t xml:space="preserve">Proof.</w:t>
      </w:r>
      <w:r>
        <w:t xml:space="preserve"> </w:t>
      </w:r>
      <w:r>
        <w:t xml:space="preserve">On the plane spanned by</w:t>
      </w:r>
      <w:r>
        <w:t xml:space="preserve"> </w:t>
      </w:r>
      <m:oMath>
        <m:sSub>
          <m:e>
            <m:r>
              <m:t>u</m:t>
            </m:r>
          </m:e>
          <m:sub>
            <m:r>
              <m:t>M</m:t>
            </m:r>
          </m:sub>
        </m:sSub>
        <m:r>
          <m:rPr>
            <m:sty m:val="p"/>
          </m:rPr>
          <m:t>,</m:t>
        </m:r>
        <m:sSub>
          <m:e>
            <m:r>
              <m:t>u</m:t>
            </m:r>
          </m:e>
          <m:sub>
            <m:r>
              <m:t>U</m:t>
            </m:r>
          </m:sub>
        </m:sSub>
      </m:oMath>
      <w:r>
        <w:t xml:space="preserve">,</w:t>
      </w:r>
      <w:r>
        <w:t xml:space="preserve"> </w:t>
      </w:r>
      <m:oMath>
        <m:sSub>
          <m:e>
            <m:r>
              <m:t>O</m:t>
            </m:r>
          </m:e>
          <m:sub>
            <m:r>
              <m:t>M</m:t>
            </m:r>
          </m:sub>
        </m:sSub>
      </m:oMath>
      <w:r>
        <w:t xml:space="preserve"> </w:t>
      </w:r>
      <w:r>
        <w:t xml:space="preserve">reflects across</w:t>
      </w:r>
      <w:r>
        <w:t xml:space="preserve"> </w:t>
      </w:r>
      <m:oMath>
        <m:sSub>
          <m:e>
            <m:r>
              <m:t>u</m:t>
            </m:r>
          </m:e>
          <m:sub>
            <m:r>
              <m:t>U</m:t>
            </m:r>
          </m:sub>
        </m:sSub>
      </m:oMath>
      <w:r>
        <w:t xml:space="preserve"> </w:t>
      </w:r>
      <w:r>
        <w:t xml:space="preserve">and</w:t>
      </w:r>
      <w:r>
        <w:t xml:space="preserve"> </w:t>
      </w:r>
      <m:oMath>
        <m:r>
          <m:t>D</m:t>
        </m:r>
      </m:oMath>
      <w:r>
        <w:t xml:space="preserve"> </w:t>
      </w:r>
      <w:r>
        <w:t xml:space="preserve">reflects across</w:t>
      </w:r>
      <w:r>
        <w:t xml:space="preserve"> </w:t>
      </w:r>
      <m:oMath>
        <m:r>
          <m:t>s</m:t>
        </m:r>
        <m:r>
          <m:rPr>
            <m:sty m:val="p"/>
          </m:rPr>
          <m:t>=</m:t>
        </m:r>
        <m:r>
          <m:rPr>
            <m:sty m:val="p"/>
          </m:rPr>
          <m:t>sin</m:t>
        </m:r>
        <m:r>
          <m:t>θ</m:t>
        </m:r>
        <m:r>
          <m:t> </m:t>
        </m:r>
        <m:sSub>
          <m:e>
            <m:r>
              <m:t>u</m:t>
            </m:r>
          </m:e>
          <m:sub>
            <m:r>
              <m:t>M</m:t>
            </m:r>
          </m:sub>
        </m:sSub>
        <m:r>
          <m:rPr>
            <m:sty m:val="p"/>
          </m:rPr>
          <m:t>+</m:t>
        </m:r>
        <m:r>
          <m:rPr>
            <m:sty m:val="p"/>
          </m:rPr>
          <m:t>cos</m:t>
        </m:r>
        <m:r>
          <m:t>θ</m:t>
        </m:r>
        <m:r>
          <m:t> </m:t>
        </m:r>
        <m:sSub>
          <m:e>
            <m:r>
              <m:t>u</m:t>
            </m:r>
          </m:e>
          <m:sub>
            <m:r>
              <m:t>U</m:t>
            </m:r>
          </m:sub>
        </m:sSub>
      </m:oMath>
      <w:r>
        <w:t xml:space="preserve">; their product is a rotation by</w:t>
      </w:r>
      <w:r>
        <w:t xml:space="preserve"> </w:t>
      </w:r>
      <m:oMath>
        <m:r>
          <m:t>2</m:t>
        </m:r>
        <m:r>
          <m:t>θ</m:t>
        </m:r>
      </m:oMath>
      <w:r>
        <w:t xml:space="preserve">. A residual</w:t>
      </w:r>
      <w:r>
        <w:t xml:space="preserve"> </w:t>
      </w:r>
      <m:oMath>
        <m:r>
          <m:t>ρ</m:t>
        </m:r>
      </m:oMath>
      <w:r>
        <w:t xml:space="preserve"> </w:t>
      </w:r>
      <w:r>
        <w:t xml:space="preserve">is orthogonal to</w:t>
      </w:r>
      <w:r>
        <w:t xml:space="preserve"> </w:t>
      </w:r>
      <m:oMath>
        <m:r>
          <m:t>s</m:t>
        </m:r>
      </m:oMath>
      <w:r>
        <w:t xml:space="preserve">, so</w:t>
      </w:r>
      <w:r>
        <w:t xml:space="preserve"> </w:t>
      </w:r>
      <m:oMath>
        <m:r>
          <m:t>D</m:t>
        </m:r>
        <m:r>
          <m:t>ρ</m:t>
        </m:r>
        <m:r>
          <m:rPr>
            <m:sty m:val="p"/>
          </m:rPr>
          <m:t>=</m:t>
        </m:r>
        <m:r>
          <m:rPr>
            <m:sty m:val="p"/>
          </m:rPr>
          <m:t>−</m:t>
        </m:r>
        <m:r>
          <m:t>ρ</m:t>
        </m:r>
      </m:oMath>
      <w:r>
        <w:t xml:space="preserve">.</w:t>
      </w:r>
      <w:r>
        <w:t xml:space="preserve"> </w:t>
      </w:r>
      <m:oMath>
        <m:sSub>
          <m:e>
            <m:r>
              <m:t>O</m:t>
            </m:r>
          </m:e>
          <m:sub>
            <m:r>
              <m:t>M</m:t>
            </m:r>
          </m:sub>
        </m:sSub>
      </m:oMath>
      <w:r>
        <w:t xml:space="preserve"> </w:t>
      </w:r>
      <w:r>
        <w:t xml:space="preserve">negates</w:t>
      </w:r>
      <w:r>
        <w:t xml:space="preserve"> </w:t>
      </w:r>
      <m:oMath>
        <m:sSub>
          <m:e>
            <m:r>
              <m:t>ρ</m:t>
            </m:r>
          </m:e>
          <m:sub>
            <m:r>
              <m:t>M</m:t>
            </m:r>
          </m:sub>
        </m:sSub>
      </m:oMath>
      <w:r>
        <w:t xml:space="preserve"> </w:t>
      </w:r>
      <w:r>
        <w:t xml:space="preserve">and fixes</w:t>
      </w:r>
      <w:r>
        <w:t xml:space="preserve"> </w:t>
      </w:r>
      <m:oMath>
        <m:sSub>
          <m:e>
            <m:r>
              <m:t>ρ</m:t>
            </m:r>
          </m:e>
          <m:sub>
            <m:r>
              <m:t>U</m:t>
            </m:r>
          </m:sub>
        </m:sSub>
      </m:oMath>
      <w:r>
        <w:t xml:space="preserve">. Hence</w:t>
      </w:r>
      <w:r>
        <w:t xml:space="preserve"> </w:t>
      </w:r>
      <m:oMath>
        <m:r>
          <m:t>G</m:t>
        </m:r>
        <m:sSub>
          <m:e>
            <m:r>
              <m:t>ρ</m:t>
            </m:r>
          </m:e>
          <m:sub>
            <m:r>
              <m:t>M</m:t>
            </m:r>
          </m:sub>
        </m:sSub>
        <m:r>
          <m:rPr>
            <m:sty m:val="p"/>
          </m:rPr>
          <m:t>=</m:t>
        </m:r>
        <m:r>
          <m:t>D</m:t>
        </m:r>
        <m:d>
          <m:dPr>
            <m:begChr m:val="("/>
            <m:endChr m:val=")"/>
            <m:sepChr m:val=""/>
            <m:grow/>
          </m:dPr>
          <m:e>
            <m:r>
              <m:rPr>
                <m:sty m:val="p"/>
              </m:rPr>
              <m:t>−</m:t>
            </m:r>
            <m:sSub>
              <m:e>
                <m:r>
                  <m:t>ρ</m:t>
                </m:r>
              </m:e>
              <m:sub>
                <m:r>
                  <m:t>M</m:t>
                </m:r>
              </m:sub>
            </m:sSub>
          </m:e>
        </m:d>
        <m:r>
          <m:rPr>
            <m:sty m:val="p"/>
          </m:rPr>
          <m:t>=</m:t>
        </m:r>
        <m:sSub>
          <m:e>
            <m:r>
              <m:t>ρ</m:t>
            </m:r>
          </m:e>
          <m:sub>
            <m:r>
              <m:t>M</m:t>
            </m:r>
          </m:sub>
        </m:sSub>
      </m:oMath>
      <w:r>
        <w:t xml:space="preserve"> </w:t>
      </w:r>
      <w:r>
        <w:t xml:space="preserve">and</w:t>
      </w:r>
      <w:r>
        <w:t xml:space="preserve"> </w:t>
      </w:r>
      <m:oMath>
        <m:r>
          <m:t>G</m:t>
        </m:r>
        <m:sSub>
          <m:e>
            <m:r>
              <m:t>ρ</m:t>
            </m:r>
          </m:e>
          <m:sub>
            <m:r>
              <m:t>U</m:t>
            </m:r>
          </m:sub>
        </m:sSub>
        <m:r>
          <m:rPr>
            <m:sty m:val="p"/>
          </m:rPr>
          <m:t>=</m:t>
        </m:r>
        <m:r>
          <m:t>D</m:t>
        </m:r>
        <m:sSub>
          <m:e>
            <m:r>
              <m:t>ρ</m:t>
            </m:r>
          </m:e>
          <m:sub>
            <m:r>
              <m:t>U</m:t>
            </m:r>
          </m:sub>
        </m:sSub>
        <m:r>
          <m:rPr>
            <m:sty m:val="p"/>
          </m:rPr>
          <m:t>=</m:t>
        </m:r>
        <m:r>
          <m:rPr>
            <m:sty m:val="p"/>
          </m:rPr>
          <m:t>−</m:t>
        </m:r>
        <m:sSub>
          <m:e>
            <m:r>
              <m:t>ρ</m:t>
            </m:r>
          </m:e>
          <m:sub>
            <m:r>
              <m:t>U</m:t>
            </m:r>
          </m:sub>
        </m:sSub>
      </m:oMath>
      <w:r>
        <w:t xml:space="preserve">.</w:t>
      </w:r>
      <w:r>
        <w:t xml:space="preserve"> </w:t>
      </w:r>
      <m:oMath>
        <m:r>
          <m:rPr>
            <m:sty m:val="p"/>
          </m:rPr>
          <m:t>▫</m:t>
        </m:r>
      </m:oMath>
    </w:p>
    <w:p>
      <w:pPr>
        <w:pStyle w:val="BodyText"/>
      </w:pPr>
      <w:r>
        <w:t xml:space="preserve">The optimal iteration count rotates the state as close as possible to</w:t>
      </w:r>
      <w:r>
        <w:t xml:space="preserve"> </w:t>
      </w:r>
      <m:oMath>
        <m:sSub>
          <m:e>
            <m:r>
              <m:t>u</m:t>
            </m:r>
          </m:e>
          <m:sub>
            <m:r>
              <m:t>M</m:t>
            </m:r>
          </m:sub>
        </m:sSub>
      </m:oMath>
      <w:r>
        <w:t xml:space="preserve">:</w:t>
      </w:r>
      <w:r>
        <w:t xml:space="preserve"> </w:t>
      </w:r>
      <m:oMath>
        <m:sSup>
          <m:e>
            <m:r>
              <m:t>k</m:t>
            </m:r>
          </m:e>
          <m:sup>
            <m:r>
              <m:rPr>
                <m:sty m:val="p"/>
              </m:rPr>
              <m:t>⋆</m:t>
            </m:r>
          </m:sup>
        </m:sSup>
        <m:r>
          <m:rPr>
            <m:sty m:val="p"/>
          </m:rPr>
          <m:t>=</m:t>
        </m:r>
        <m:r>
          <m:rPr>
            <m:sty m:val="p"/>
          </m:rPr>
          <m:t>round</m:t>
        </m:r>
        <m:d>
          <m:dPr>
            <m:begChr m:val="("/>
            <m:endChr m:val=")"/>
            <m:sepChr m:val=""/>
            <m:grow/>
          </m:dPr>
          <m:e>
            <m:d>
              <m:dPr>
                <m:begChr m:val="("/>
                <m:endChr m:val=")"/>
                <m:sepChr m:val=""/>
                <m:grow/>
              </m:dPr>
              <m:e>
                <m:r>
                  <m:t>π</m:t>
                </m:r>
                <m:r>
                  <m:rPr>
                    <m:sty m:val="p"/>
                  </m:rPr>
                  <m:t>/</m:t>
                </m:r>
                <m:r>
                  <m:t>2</m:t>
                </m:r>
                <m:r>
                  <m:rPr>
                    <m:sty m:val="p"/>
                  </m:rPr>
                  <m:t>−</m:t>
                </m:r>
                <m:sSub>
                  <m:e>
                    <m:r>
                      <m:t>ϕ</m:t>
                    </m:r>
                  </m:e>
                  <m:sub>
                    <m:r>
                      <m:t>0</m:t>
                    </m:r>
                  </m:sub>
                </m:sSub>
              </m:e>
            </m:d>
            <m:r>
              <m:rPr>
                <m:sty m:val="p"/>
              </m:rPr>
              <m:t>/</m:t>
            </m:r>
            <m:d>
              <m:dPr>
                <m:begChr m:val="("/>
                <m:endChr m:val=")"/>
                <m:sepChr m:val=""/>
                <m:grow/>
              </m:dPr>
              <m:e>
                <m:r>
                  <m:t>2</m:t>
                </m:r>
                <m:r>
                  <m:t>θ</m:t>
                </m:r>
              </m:e>
            </m:d>
          </m:e>
        </m:d>
      </m:oMath>
      <w:r>
        <w:t xml:space="preserve">. In coordinates, a marked amplitude becomes</w:t>
      </w:r>
      <w:r>
        <w:t xml:space="preserve"> </w:t>
      </w:r>
      <m:oMath>
        <m:sSub>
          <m:e>
            <m:r>
              <m:t>a</m:t>
            </m:r>
          </m:e>
          <m:sub>
            <m:r>
              <m:t>i</m:t>
            </m:r>
          </m:sub>
        </m:sSub>
        <m:r>
          <m:rPr>
            <m:sty m:val="p"/>
          </m:rPr>
          <m:t>+</m:t>
        </m:r>
        <m:d>
          <m:dPr>
            <m:begChr m:val="("/>
            <m:endChr m:val=")"/>
            <m:sepChr m:val=""/>
            <m:grow/>
          </m:dPr>
          <m:e>
            <m:r>
              <m:t>R</m:t>
            </m:r>
            <m:r>
              <m:rPr>
                <m:sty m:val="p"/>
              </m:rPr>
              <m:t>sin</m:t>
            </m:r>
            <m:sSub>
              <m:e>
                <m:r>
                  <m:t>ϕ</m:t>
                </m:r>
              </m:e>
              <m:sub>
                <m:r>
                  <m:t>k</m:t>
                </m:r>
              </m:sub>
            </m:sSub>
            <m:r>
              <m:rPr>
                <m:sty m:val="p"/>
              </m:rPr>
              <m:t>−</m:t>
            </m:r>
            <m:sSub>
              <m:e>
                <m:r>
                  <m:t>α</m:t>
                </m:r>
              </m:e>
              <m:sub>
                <m:r>
                  <m:t>0</m:t>
                </m:r>
              </m:sub>
            </m:sSub>
          </m:e>
        </m:d>
        <m:r>
          <m:rPr>
            <m:sty m:val="p"/>
          </m:rPr>
          <m:t>/</m:t>
        </m:r>
        <m:rad>
          <m:radPr>
            <m:degHide m:val="on"/>
          </m:radPr>
          <m:deg/>
          <m:e>
            <m:r>
              <m:t>m</m:t>
            </m:r>
          </m:e>
        </m:rad>
      </m:oMath>
      <w:r>
        <w:t xml:space="preserve">, so</w:t>
      </w:r>
      <w:r>
        <w:t xml:space="preserve"> </w:t>
      </w:r>
      <w:r>
        <w:rPr>
          <w:bCs/>
          <w:b/>
        </w:rPr>
        <w:t xml:space="preserve">every marked amplitude is shifted by the same constant</w:t>
      </w:r>
      <w:r>
        <w:t xml:space="preserve">, and the marked set keeps its original order. Unmarked amplitudes become</w:t>
      </w:r>
      <w:r>
        <w:t xml:space="preserve"> </w:t>
      </w:r>
      <m:oMath>
        <m:r>
          <m:t>R</m:t>
        </m:r>
        <m:r>
          <m:rPr>
            <m:sty m:val="p"/>
          </m:rPr>
          <m:t>cos</m:t>
        </m:r>
        <m:sSub>
          <m:e>
            <m:r>
              <m:t>ϕ</m:t>
            </m:r>
          </m:e>
          <m:sub>
            <m:r>
              <m:t>k</m:t>
            </m:r>
          </m:sub>
        </m:sSub>
        <m:r>
          <m:rPr>
            <m:sty m:val="p"/>
          </m:rPr>
          <m:t>/</m:t>
        </m:r>
        <m:rad>
          <m:radPr>
            <m:degHide m:val="on"/>
          </m:radPr>
          <m:deg/>
          <m:e>
            <m:r>
              <m:t>N</m:t>
            </m:r>
            <m:r>
              <m:rPr>
                <m:sty m:val="p"/>
              </m:rPr>
              <m:t>−</m:t>
            </m:r>
            <m:r>
              <m:t>m</m:t>
            </m:r>
          </m:e>
        </m:rad>
        <m:r>
          <m:rPr>
            <m:sty m:val="p"/>
          </m:rPr>
          <m:t>±</m:t>
        </m:r>
        <m:d>
          <m:dPr>
            <m:begChr m:val="("/>
            <m:endChr m:val=")"/>
            <m:sepChr m:val=""/>
            <m:grow/>
          </m:dPr>
          <m:e>
            <m:sSub>
              <m:e>
                <m:r>
                  <m:t>a</m:t>
                </m:r>
              </m:e>
              <m:sub>
                <m:r>
                  <m:t>i</m:t>
                </m:r>
              </m:sub>
            </m:sSub>
            <m:r>
              <m:rPr>
                <m:sty m:val="p"/>
              </m:rPr>
              <m:t>−</m:t>
            </m:r>
            <m:sSub>
              <m:e>
                <m:acc>
                  <m:accPr>
                    <m:chr m:val="‾"/>
                  </m:accPr>
                  <m:e>
                    <m:r>
                      <m:t>a</m:t>
                    </m:r>
                  </m:e>
                </m:acc>
              </m:e>
              <m:sub>
                <m:r>
                  <m:t>U</m:t>
                </m:r>
              </m:sub>
            </m:sSub>
          </m:e>
        </m:d>
      </m:oMath>
      <w:r>
        <w:t xml:space="preserve">, whose order flips when</w:t>
      </w:r>
      <w:r>
        <w:t xml:space="preserve"> </w:t>
      </w:r>
      <m:oMath>
        <m:r>
          <m:t>k</m:t>
        </m:r>
      </m:oMath>
      <w:r>
        <w:t xml:space="preserve"> </w:t>
      </w:r>
      <w:r>
        <w:t xml:space="preserve">is odd. Rather than expose that artefact, VecForge keeps the amplified probability mass of the unmarked set and redistributes it in proportion to the original probabilities, so the unmarked set also keeps its order. The final scores are max-normalised to</w:t>
      </w:r>
      <w:r>
        <w:t xml:space="preserve"> </w:t>
      </w:r>
      <m:oMath>
        <m:d>
          <m:dPr>
            <m:begChr m:val="["/>
            <m:endChr m:val="]"/>
            <m:sepChr m:val=""/>
            <m:grow/>
          </m:dPr>
          <m:e>
            <m:r>
              <m:t>0</m:t>
            </m:r>
            <m:r>
              <m:rPr>
                <m:sty m:val="p"/>
              </m:rPr>
              <m:t>,</m:t>
            </m:r>
            <m:r>
              <m:t>1</m:t>
            </m:r>
          </m:e>
        </m:d>
      </m:oMath>
      <w:r>
        <w:t xml:space="preserve">.</w:t>
      </w:r>
    </w:p>
    <w:bookmarkEnd w:id="34"/>
    <w:bookmarkStart w:id="35" w:name="choosing-the-oracle"/>
    <w:p>
      <w:pPr>
        <w:pStyle w:val="Heading2"/>
      </w:pPr>
      <w:r>
        <w:rPr>
          <w:rStyle w:val="SectionNumber"/>
        </w:rPr>
        <w:t xml:space="preserve">4.4</w:t>
      </w:r>
      <w:r>
        <w:tab/>
      </w:r>
      <w:r>
        <w:t xml:space="preserve">Choosing the oracle</w:t>
      </w:r>
    </w:p>
    <w:p>
      <w:pPr>
        <w:pStyle w:val="FirstParagraph"/>
      </w:pPr>
      <w:r>
        <w:t xml:space="preserve">The marked set decides what the reranker does. With no external signal, VecForge marks the top</w:t>
      </w:r>
      <w:r>
        <w:t xml:space="preserve"> </w:t>
      </w:r>
      <m:oMath>
        <m:r>
          <m:rPr>
            <m:sty m:val="p"/>
          </m:rPr>
          <m:t>max</m:t>
        </m:r>
        <m:d>
          <m:dPr>
            <m:begChr m:val="("/>
            <m:endChr m:val=")"/>
            <m:sepChr m:val=""/>
            <m:grow/>
          </m:dPr>
          <m:e>
            <m:r>
              <m:t>k</m:t>
            </m:r>
            <m:r>
              <m:rPr>
                <m:sty m:val="p"/>
              </m:rPr>
              <m:t>,</m:t>
            </m:r>
            <m:r>
              <m:rPr>
                <m:sty m:val="p"/>
              </m:rPr>
              <m:t>⌈</m:t>
            </m:r>
            <m:sSup>
              <m:e>
                <m:r>
                  <m:t>K</m:t>
                </m:r>
              </m:e>
              <m:sup>
                <m:r>
                  <m:t>1</m:t>
                </m:r>
                <m:r>
                  <m:rPr>
                    <m:sty m:val="p"/>
                  </m:rPr>
                  <m:t>/</m:t>
                </m:r>
                <m:r>
                  <m:t>2</m:t>
                </m:r>
              </m:sup>
            </m:sSup>
            <m:r>
              <m:rPr>
                <m:sty m:val="p"/>
              </m:rPr>
              <m:t>⌉</m:t>
            </m:r>
          </m:e>
        </m:d>
      </m:oMath>
      <w:r>
        <w:t xml:space="preserve"> </w:t>
      </w:r>
      <w:r>
        <w:t xml:space="preserve">candidates of a window of</w:t>
      </w:r>
      <w:r>
        <w:t xml:space="preserve"> </w:t>
      </w:r>
      <m:oMath>
        <m:r>
          <m:t>K</m:t>
        </m:r>
        <m:r>
          <m:rPr>
            <m:sty m:val="p"/>
          </m:rPr>
          <m:t>≤</m:t>
        </m:r>
        <m:r>
          <m:t>1000</m:t>
        </m:r>
      </m:oMath>
      <w:r>
        <w:t xml:space="preserve"> </w:t>
      </w:r>
      <w:r>
        <w:t xml:space="preserve">(the default top-</w:t>
      </w:r>
      <m:oMath>
        <m:rad>
          <m:radPr>
            <m:degHide m:val="on"/>
          </m:radPr>
          <m:deg/>
          <m:e>
            <m:r>
              <m:t>K</m:t>
            </m:r>
          </m:e>
        </m:rad>
      </m:oMath>
      <w:r>
        <w:t xml:space="preserve"> </w:t>
      </w:r>
      <w:r>
        <w:t xml:space="preserve">oracle); this keeps the full order and sharpens the score gap between the head and the tail. Inside hybrid search, VecForge uses a</w:t>
      </w:r>
      <w:r>
        <w:t xml:space="preserve"> </w:t>
      </w:r>
      <w:r>
        <w:rPr>
          <w:iCs/>
          <w:i/>
        </w:rPr>
        <w:t xml:space="preserve">consensus oracle</w:t>
      </w:r>
      <w:r>
        <w:t xml:space="preserve">: it marks the candidates that both the dense and the sparse retriever returned. Amplification then lifts documents on which the two retrievers agree above documents found by only one, while keeping each group’s internal order. An optional cross-encoder then runs only on the survivors. The window is selected with an</w:t>
      </w:r>
      <w:r>
        <w:t xml:space="preserve"> </w:t>
      </w:r>
      <m:oMath>
        <m:r>
          <m:t>O</m:t>
        </m:r>
        <m:d>
          <m:dPr>
            <m:begChr m:val="("/>
            <m:endChr m:val=")"/>
            <m:sepChr m:val=""/>
            <m:grow/>
          </m:dPr>
          <m:e>
            <m:r>
              <m:t>N</m:t>
            </m:r>
          </m:e>
        </m:d>
      </m:oMath>
      <w:r>
        <w:t xml:space="preserve"> </w:t>
      </w:r>
      <w:r>
        <w:t xml:space="preserve">partial sort, so the whole reranker costs</w:t>
      </w:r>
      <w:r>
        <w:t xml:space="preserve"> </w:t>
      </w:r>
      <m:oMath>
        <m:r>
          <m:t>O</m:t>
        </m:r>
        <m:d>
          <m:dPr>
            <m:begChr m:val="("/>
            <m:endChr m:val=")"/>
            <m:sepChr m:val=""/>
            <m:grow/>
          </m:dPr>
          <m:e>
            <m:r>
              <m:t>N</m:t>
            </m:r>
            <m:r>
              <m:rPr>
                <m:sty m:val="p"/>
              </m:rPr>
              <m:t>+</m:t>
            </m:r>
            <m:r>
              <m:t>K</m:t>
            </m:r>
          </m:e>
        </m:d>
      </m:oMath>
      <w:r>
        <w:t xml:space="preserve">.</w:t>
      </w:r>
    </w:p>
    <w:bookmarkEnd w:id="35"/>
    <w:bookmarkEnd w:id="36"/>
    <w:bookmarkStart w:id="37" w:name="persistent-memory-for-ai-agents"/>
    <w:p>
      <w:pPr>
        <w:pStyle w:val="Heading1"/>
      </w:pPr>
      <w:r>
        <w:rPr>
          <w:rStyle w:val="SectionNumber"/>
        </w:rPr>
        <w:t xml:space="preserve">5</w:t>
      </w:r>
      <w:r>
        <w:tab/>
      </w:r>
      <w:r>
        <w:t xml:space="preserve">Persistent Memory for AI Agents</w:t>
      </w:r>
    </w:p>
    <w:p>
      <w:pPr>
        <w:pStyle w:val="FirstParagraph"/>
      </w:pPr>
      <w:r>
        <w:t xml:space="preserve">The memory layer stores</w:t>
      </w:r>
      <w:r>
        <w:t xml:space="preserve"> </w:t>
      </w:r>
      <w:r>
        <w:rPr>
          <w:iCs/>
          <w:i/>
        </w:rPr>
        <w:t xml:space="preserve">memories</w:t>
      </w:r>
      <w:r>
        <w:t xml:space="preserve">, short texts with a kind (fact, preference, decision, task, event or note), an importance in</w:t>
      </w:r>
      <w:r>
        <w:t xml:space="preserve"> </w:t>
      </w:r>
      <m:oMath>
        <m:d>
          <m:dPr>
            <m:begChr m:val="["/>
            <m:endChr m:val="]"/>
            <m:sepChr m:val=""/>
            <m:grow/>
          </m:dPr>
          <m:e>
            <m:r>
              <m:t>0</m:t>
            </m:r>
            <m:r>
              <m:rPr>
                <m:sty m:val="p"/>
              </m:rPr>
              <m:t>,</m:t>
            </m:r>
            <m:r>
              <m:t>1</m:t>
            </m:r>
          </m:e>
        </m:d>
      </m:oMath>
      <w:r>
        <w:t xml:space="preserve">, tags, an optional session, and timestamps. Each agent writes into its own namespace, so agents sharing a vault cannot read or delete each other’s memories.</w:t>
      </w:r>
    </w:p>
    <w:p>
      <w:pPr>
        <w:pStyle w:val="BodyText"/>
      </w:pPr>
      <w:r>
        <w:rPr>
          <w:bCs/>
          <w:b/>
        </w:rPr>
        <w:t xml:space="preserve">Writing.</w:t>
      </w:r>
      <w:r>
        <w:t xml:space="preserve"> </w:t>
      </w:r>
      <w:r>
        <w:rPr>
          <w:rStyle w:val="VerbatimChar"/>
        </w:rPr>
        <w:t xml:space="preserve">remember()</w:t>
      </w:r>
      <w:r>
        <w:t xml:space="preserve"> </w:t>
      </w:r>
      <w:r>
        <w:t xml:space="preserve">first checks for an exact duplicate by content hash and then for a near-duplicate by cosine similarity (threshold 0.92) among memories of the same kind. A duplicate is</w:t>
      </w:r>
      <w:r>
        <w:t xml:space="preserve"> </w:t>
      </w:r>
      <w:r>
        <w:rPr>
          <w:iCs/>
          <w:i/>
        </w:rPr>
        <w:t xml:space="preserve">reinforced</w:t>
      </w:r>
      <w:r>
        <w:t xml:space="preserve"> </w:t>
      </w:r>
      <w:r>
        <w:t xml:space="preserve">instead of stored again: its importance rises by 0.05 (and never falls below the importance given to the new copy), its tags are merged, and its access count is incremented. This keeps the memory compact as an assistant restates the same facts across conversations.</w:t>
      </w:r>
    </w:p>
    <w:p>
      <w:pPr>
        <w:pStyle w:val="BodyText"/>
      </w:pPr>
      <w:r>
        <w:rPr>
          <w:bCs/>
          <w:b/>
        </w:rPr>
        <w:t xml:space="preserve">Recall.</w:t>
      </w:r>
      <w:r>
        <w:t xml:space="preserve"> </w:t>
      </w:r>
      <w:r>
        <w:rPr>
          <w:rStyle w:val="VerbatimChar"/>
        </w:rPr>
        <w:t xml:space="preserve">recall()</w:t>
      </w:r>
      <w:r>
        <w:t xml:space="preserve"> </w:t>
      </w:r>
      <w:r>
        <w:t xml:space="preserve">retrieves candidates with the hybrid retriever and scores each memory as</w:t>
      </w:r>
    </w:p>
    <w:p>
      <w:pPr>
        <w:pStyle w:val="BodyText"/>
      </w:pPr>
      <m:oMathPara>
        <m:oMathParaPr>
          <m:jc m:val="center"/>
        </m:oMathParaPr>
        <m:oMath>
          <m:r>
            <m:rPr>
              <m:sty m:val="p"/>
            </m:rPr>
            <m:t>s</m:t>
          </m:r>
          <m:r>
            <m:rPr>
              <m:sty m:val="p"/>
            </m:rPr>
            <m:t>c</m:t>
          </m:r>
          <m:r>
            <m:rPr>
              <m:sty m:val="p"/>
            </m:rPr>
            <m:t>o</m:t>
          </m:r>
          <m:r>
            <m:rPr>
              <m:sty m:val="p"/>
            </m:rPr>
            <m:t>r</m:t>
          </m:r>
          <m:r>
            <m:rPr>
              <m:sty m:val="p"/>
            </m:rPr>
            <m:t>e</m:t>
          </m:r>
          <m:d>
            <m:dPr>
              <m:begChr m:val="("/>
              <m:endChr m:val=")"/>
              <m:sepChr m:val=""/>
              <m:grow/>
            </m:dPr>
            <m:e>
              <m:r>
                <m:t>m</m:t>
              </m:r>
            </m:e>
          </m:d>
          <m:r>
            <m:rPr>
              <m:sty m:val="p"/>
            </m:rPr>
            <m:t>=</m:t>
          </m:r>
          <m:d>
            <m:dPr>
              <m:begChr m:val="("/>
              <m:endChr m:val=")"/>
              <m:sepChr m:val=""/>
              <m:grow/>
            </m:dPr>
            <m:e>
              <m:r>
                <m:t>1</m:t>
              </m:r>
              <m:r>
                <m:rPr>
                  <m:sty m:val="p"/>
                </m:rPr>
                <m:t>−</m:t>
              </m:r>
              <m:sSub>
                <m:e>
                  <m:r>
                    <m:t>w</m:t>
                  </m:r>
                </m:e>
                <m:sub>
                  <m:r>
                    <m:t>r</m:t>
                  </m:r>
                </m:sub>
              </m:sSub>
              <m:r>
                <m:rPr>
                  <m:sty m:val="p"/>
                </m:rPr>
                <m:t>−</m:t>
              </m:r>
              <m:sSub>
                <m:e>
                  <m:r>
                    <m:t>w</m:t>
                  </m:r>
                </m:e>
                <m:sub>
                  <m:r>
                    <m:t>i</m:t>
                  </m:r>
                </m:sub>
              </m:sSub>
            </m:e>
          </m:d>
          <m:r>
            <m:t> </m:t>
          </m:r>
          <m:r>
            <m:rPr>
              <m:sty m:val="p"/>
            </m:rPr>
            <m:t>r</m:t>
          </m:r>
          <m:r>
            <m:rPr>
              <m:sty m:val="p"/>
            </m:rPr>
            <m:t>e</m:t>
          </m:r>
          <m:r>
            <m:rPr>
              <m:sty m:val="p"/>
            </m:rPr>
            <m:t>l</m:t>
          </m:r>
          <m:d>
            <m:dPr>
              <m:begChr m:val="("/>
              <m:endChr m:val=")"/>
              <m:sepChr m:val=""/>
              <m:grow/>
            </m:dPr>
            <m:e>
              <m:r>
                <m:t>m</m:t>
              </m:r>
            </m:e>
          </m:d>
          <m:r>
            <m:rPr>
              <m:sty m:val="p"/>
            </m:rPr>
            <m:t>+</m:t>
          </m:r>
          <m:sSub>
            <m:e>
              <m:r>
                <m:t>w</m:t>
              </m:r>
            </m:e>
            <m:sub>
              <m:r>
                <m:t>i</m:t>
              </m:r>
            </m:sub>
          </m:sSub>
          <m:r>
            <m:t> </m:t>
          </m:r>
          <m:r>
            <m:rPr>
              <m:sty m:val="p"/>
            </m:rPr>
            <m:t>i</m:t>
          </m:r>
          <m:r>
            <m:rPr>
              <m:sty m:val="p"/>
            </m:rPr>
            <m:t>m</m:t>
          </m:r>
          <m:r>
            <m:rPr>
              <m:sty m:val="p"/>
            </m:rPr>
            <m:t>p</m:t>
          </m:r>
          <m:d>
            <m:dPr>
              <m:begChr m:val="("/>
              <m:endChr m:val=")"/>
              <m:sepChr m:val=""/>
              <m:grow/>
            </m:dPr>
            <m:e>
              <m:r>
                <m:t>m</m:t>
              </m:r>
            </m:e>
          </m:d>
          <m:r>
            <m:rPr>
              <m:sty m:val="p"/>
            </m:rPr>
            <m:t>+</m:t>
          </m:r>
          <m:sSub>
            <m:e>
              <m:r>
                <m:t>w</m:t>
              </m:r>
            </m:e>
            <m:sub>
              <m:r>
                <m:t>r</m:t>
              </m:r>
            </m:sub>
          </m:sSub>
          <m:r>
            <m:t> </m:t>
          </m:r>
          <m:sSup>
            <m:e>
              <m:r>
                <m:t>2</m:t>
              </m:r>
            </m:e>
            <m:sup>
              <m:r>
                <m:rPr>
                  <m:sty m:val="p"/>
                </m:rPr>
                <m:t>−</m:t>
              </m:r>
              <m:r>
                <m:t>Δ</m:t>
              </m:r>
              <m:r>
                <m:t>t</m:t>
              </m:r>
              <m:r>
                <m:rPr>
                  <m:sty m:val="p"/>
                </m:rPr>
                <m:t>/</m:t>
              </m:r>
              <m:r>
                <m:t>h</m:t>
              </m:r>
            </m:sup>
          </m:sSup>
          <m:r>
            <m:rPr>
              <m:sty m:val="p"/>
            </m:rPr>
            <m:t>,</m:t>
          </m:r>
        </m:oMath>
      </m:oMathPara>
    </w:p>
    <w:p>
      <w:pPr>
        <w:pStyle w:val="FirstParagraph"/>
      </w:pPr>
      <w:r>
        <w:t xml:space="preserve">with</w:t>
      </w:r>
      <w:r>
        <w:t xml:space="preserve"> </w:t>
      </w:r>
      <m:oMath>
        <m:sSub>
          <m:e>
            <m:r>
              <m:t>w</m:t>
            </m:r>
          </m:e>
          <m:sub>
            <m:r>
              <m:t>i</m:t>
            </m:r>
          </m:sub>
        </m:sSub>
        <m:r>
          <m:rPr>
            <m:sty m:val="p"/>
          </m:rPr>
          <m:t>=</m:t>
        </m:r>
        <m:r>
          <m:t>0.25</m:t>
        </m:r>
      </m:oMath>
      <w:r>
        <w:t xml:space="preserve">,</w:t>
      </w:r>
      <w:r>
        <w:t xml:space="preserve"> </w:t>
      </w:r>
      <m:oMath>
        <m:sSub>
          <m:e>
            <m:r>
              <m:t>w</m:t>
            </m:r>
          </m:e>
          <m:sub>
            <m:r>
              <m:t>r</m:t>
            </m:r>
          </m:sub>
        </m:sSub>
        <m:r>
          <m:rPr>
            <m:sty m:val="p"/>
          </m:rPr>
          <m:t>=</m:t>
        </m:r>
        <m:r>
          <m:t>0.15</m:t>
        </m:r>
      </m:oMath>
      <w:r>
        <w:t xml:space="preserve">, a half-life</w:t>
      </w:r>
      <w:r>
        <w:t xml:space="preserve"> </w:t>
      </w:r>
      <m:oMath>
        <m:r>
          <m:t>h</m:t>
        </m:r>
      </m:oMath>
      <w:r>
        <w:t xml:space="preserve"> </w:t>
      </w:r>
      <w:r>
        <w:t xml:space="preserve">of 30 days, and</w:t>
      </w:r>
      <w:r>
        <w:t xml:space="preserve"> </w:t>
      </w:r>
      <m:oMath>
        <m:r>
          <m:t>Δ</m:t>
        </m:r>
        <m:r>
          <m:t>t</m:t>
        </m:r>
      </m:oMath>
      <w:r>
        <w:t xml:space="preserve"> </w:t>
      </w:r>
      <w:r>
        <w:t xml:space="preserve">the time since the memory was last used. This follows the relevance-importance-recency decomposition of Generative Agents</w:t>
      </w:r>
      <w:r>
        <w:t xml:space="preserve"> </w:t>
      </w:r>
      <w:r>
        <w:t xml:space="preserve">[5]</w:t>
      </w:r>
      <w:r>
        <w:t xml:space="preserve">. Recall can be restricted by kind, tag, minimum importance and age.</w:t>
      </w:r>
    </w:p>
    <w:p>
      <w:pPr>
        <w:pStyle w:val="BodyText"/>
      </w:pPr>
      <w:r>
        <w:rPr>
          <w:bCs/>
          <w:b/>
        </w:rPr>
        <w:t xml:space="preserve">Sessions.</w:t>
      </w:r>
      <w:r>
        <w:t xml:space="preserve"> </w:t>
      </w:r>
      <w:r>
        <w:t xml:space="preserve">A session groups the memories written during one conversation and ends with a summary.</w:t>
      </w:r>
      <w:r>
        <w:t xml:space="preserve"> </w:t>
      </w:r>
      <w:r>
        <w:rPr>
          <w:rStyle w:val="VerbatimChar"/>
        </w:rPr>
        <w:t xml:space="preserve">context_pack()</w:t>
      </w:r>
      <w:r>
        <w:t xml:space="preserve"> </w:t>
      </w:r>
      <w:r>
        <w:t xml:space="preserve">assembles a briefing for the start of a new conversation: the last session’s summary followed by the most relevant memories, cut to a character budget.</w:t>
      </w:r>
    </w:p>
    <w:p>
      <w:pPr>
        <w:pStyle w:val="BodyText"/>
      </w:pPr>
      <w:r>
        <w:rPr>
          <w:bCs/>
          <w:b/>
        </w:rPr>
        <w:t xml:space="preserve">MCP interface.</w:t>
      </w:r>
      <w:r>
        <w:t xml:space="preserve"> </w:t>
      </w:r>
      <w:r>
        <w:rPr>
          <w:rStyle w:val="VerbatimChar"/>
        </w:rPr>
        <w:t xml:space="preserve">vecforge mcp</w:t>
      </w:r>
      <w:r>
        <w:t xml:space="preserve"> </w:t>
      </w:r>
      <w:r>
        <w:t xml:space="preserve">exposes the memory layer to MCP clients</w:t>
      </w:r>
      <w:r>
        <w:t xml:space="preserve"> </w:t>
      </w:r>
      <w:r>
        <w:t xml:space="preserve">[4]</w:t>
      </w:r>
      <w:r>
        <w:t xml:space="preserve"> </w:t>
      </w:r>
      <w:r>
        <w:t xml:space="preserve">over stdio (for Claude Desktop and Claude Code) or HTTP. It provides twelve tools (</w:t>
      </w:r>
      <w:r>
        <w:rPr>
          <w:rStyle w:val="VerbatimChar"/>
        </w:rPr>
        <w:t xml:space="preserve">remember</w:t>
      </w:r>
      <w:r>
        <w:t xml:space="preserve">,</w:t>
      </w:r>
      <w:r>
        <w:t xml:space="preserve"> </w:t>
      </w:r>
      <w:r>
        <w:rPr>
          <w:rStyle w:val="VerbatimChar"/>
        </w:rPr>
        <w:t xml:space="preserve">recall</w:t>
      </w:r>
      <w:r>
        <w:t xml:space="preserve">,</w:t>
      </w:r>
      <w:r>
        <w:t xml:space="preserve"> </w:t>
      </w:r>
      <w:r>
        <w:rPr>
          <w:rStyle w:val="VerbatimChar"/>
        </w:rPr>
        <w:t xml:space="preserve">forget</w:t>
      </w:r>
      <w:r>
        <w:t xml:space="preserve">,</w:t>
      </w:r>
      <w:r>
        <w:t xml:space="preserve"> </w:t>
      </w:r>
      <w:r>
        <w:rPr>
          <w:rStyle w:val="VerbatimChar"/>
        </w:rPr>
        <w:t xml:space="preserve">reinforce</w:t>
      </w:r>
      <w:r>
        <w:t xml:space="preserve">,</w:t>
      </w:r>
      <w:r>
        <w:t xml:space="preserve"> </w:t>
      </w:r>
      <w:r>
        <w:rPr>
          <w:rStyle w:val="VerbatimChar"/>
        </w:rPr>
        <w:t xml:space="preserve">list_memories</w:t>
      </w:r>
      <w:r>
        <w:t xml:space="preserve">,</w:t>
      </w:r>
      <w:r>
        <w:t xml:space="preserve"> </w:t>
      </w:r>
      <w:r>
        <w:rPr>
          <w:rStyle w:val="VerbatimChar"/>
        </w:rPr>
        <w:t xml:space="preserve">start_session</w:t>
      </w:r>
      <w:r>
        <w:t xml:space="preserve">,</w:t>
      </w:r>
      <w:r>
        <w:t xml:space="preserve"> </w:t>
      </w:r>
      <w:r>
        <w:rPr>
          <w:rStyle w:val="VerbatimChar"/>
        </w:rPr>
        <w:t xml:space="preserve">end_session</w:t>
      </w:r>
      <w:r>
        <w:t xml:space="preserve">,</w:t>
      </w:r>
      <w:r>
        <w:t xml:space="preserve"> </w:t>
      </w:r>
      <w:r>
        <w:rPr>
          <w:rStyle w:val="VerbatimChar"/>
        </w:rPr>
        <w:t xml:space="preserve">recent_sessions</w:t>
      </w:r>
      <w:r>
        <w:t xml:space="preserve">,</w:t>
      </w:r>
      <w:r>
        <w:t xml:space="preserve"> </w:t>
      </w:r>
      <w:r>
        <w:rPr>
          <w:rStyle w:val="VerbatimChar"/>
        </w:rPr>
        <w:t xml:space="preserve">context_pack</w:t>
      </w:r>
      <w:r>
        <w:t xml:space="preserve">,</w:t>
      </w:r>
      <w:r>
        <w:t xml:space="preserve"> </w:t>
      </w:r>
      <w:r>
        <w:rPr>
          <w:rStyle w:val="VerbatimChar"/>
        </w:rPr>
        <w:t xml:space="preserve">search_vault</w:t>
      </w:r>
      <w:r>
        <w:t xml:space="preserve">,</w:t>
      </w:r>
      <w:r>
        <w:t xml:space="preserve"> </w:t>
      </w:r>
      <w:r>
        <w:rPr>
          <w:rStyle w:val="VerbatimChar"/>
        </w:rPr>
        <w:t xml:space="preserve">add_document</w:t>
      </w:r>
      <w:r>
        <w:t xml:space="preserve">,</w:t>
      </w:r>
      <w:r>
        <w:t xml:space="preserve"> </w:t>
      </w:r>
      <w:r>
        <w:rPr>
          <w:rStyle w:val="VerbatimChar"/>
        </w:rPr>
        <w:t xml:space="preserve">vault_stats</w:t>
      </w:r>
      <w:r>
        <w:t xml:space="preserve">), resources for recent memories, sessions and vault statistics, and a</w:t>
      </w:r>
      <w:r>
        <w:t xml:space="preserve"> </w:t>
      </w:r>
      <w:r>
        <w:rPr>
          <w:rStyle w:val="VerbatimChar"/>
        </w:rPr>
        <w:t xml:space="preserve">recall_context</w:t>
      </w:r>
      <w:r>
        <w:t xml:space="preserve"> </w:t>
      </w:r>
      <w:r>
        <w:t xml:space="preserve">prompt that loads a briefing. The embedding model loads in a background thread while the client connects, and the server snapshots the index every 25 writes and at shutdown, so the next session opens without a rebuild. Tool errors are returned as readable messages rather than stack traces.</w:t>
      </w:r>
    </w:p>
    <w:bookmarkEnd w:id="37"/>
    <w:bookmarkStart w:id="53" w:name="evaluation"/>
    <w:p>
      <w:pPr>
        <w:pStyle w:val="Heading1"/>
      </w:pPr>
      <w:r>
        <w:rPr>
          <w:rStyle w:val="SectionNumber"/>
        </w:rPr>
        <w:t xml:space="preserve">6</w:t>
      </w:r>
      <w:r>
        <w:tab/>
      </w:r>
      <w:r>
        <w:t xml:space="preserve">Evaluation</w:t>
      </w:r>
    </w:p>
    <w:p>
      <w:pPr>
        <w:pStyle w:val="FirstParagraph"/>
      </w:pPr>
      <w:r>
        <w:t xml:space="preserve">We evaluate six questions on a 4-core virtualised Intel Xeon with 15 GB of RAM, running Linux, Python 3.13.16, NumPy 2.5.3 and FAISS 1.15.1. The 1.x baselines are the unmodified VecForge 1.1.0 modules, loaded from commit</w:t>
      </w:r>
      <w:r>
        <w:t xml:space="preserve"> </w:t>
      </w:r>
      <w:r>
        <w:rPr>
          <w:rStyle w:val="VerbatimChar"/>
        </w:rPr>
        <w:t xml:space="preserve">a0d25ab</w:t>
      </w:r>
      <w:r>
        <w:t xml:space="preserve"> </w:t>
      </w:r>
      <w:r>
        <w:t xml:space="preserve">of the repository. Experiments that need text use a deterministic Zipf-distributed synthetic corpus and VecForge’s 384-dimensional hash embedder, so they run offline and produce the same input every time; vector-level experiments use synthetic vectors. Latencies are medians (p50) after warm-up. Absolute latencies on this shared virtual machine varied by up to about 2× between runs, so each table compares configurations measured in the same run. Every number below is produced by</w:t>
      </w:r>
      <w:r>
        <w:t xml:space="preserve"> </w:t>
      </w:r>
      <w:r>
        <w:rPr>
          <w:rStyle w:val="VerbatimChar"/>
        </w:rPr>
        <w:t xml:space="preserve">paper/experiments/run_experiments.py</w:t>
      </w:r>
      <w:r>
        <w:t xml:space="preserve">, and the raw results are released with it.</w:t>
      </w:r>
    </w:p>
    <w:bookmarkStart w:id="41" w:name="does-the-reranker-preserve-the-ranking"/>
    <w:p>
      <w:pPr>
        <w:pStyle w:val="Heading2"/>
      </w:pPr>
      <w:r>
        <w:rPr>
          <w:rStyle w:val="SectionNumber"/>
        </w:rPr>
        <w:t xml:space="preserve">6.1</w:t>
      </w:r>
      <w:r>
        <w:tab/>
      </w:r>
      <w:r>
        <w:t xml:space="preserve">Does the reranker preserve the ranking?</w:t>
      </w:r>
    </w:p>
    <w:p>
      <w:pPr>
        <w:pStyle w:val="FirstParagraph"/>
      </w:pPr>
      <w:r>
        <w:t xml:space="preserve">We feed both rerankers strictly decreasing scores for every list size</w:t>
      </w:r>
      <w:r>
        <w:t xml:space="preserve"> </w:t>
      </w:r>
      <m:oMath>
        <m:r>
          <m:t>N</m:t>
        </m:r>
        <m:r>
          <m:rPr>
            <m:sty m:val="p"/>
          </m:rPr>
          <m:t>=</m:t>
        </m:r>
        <m:r>
          <m:t>2</m:t>
        </m:r>
        <m:r>
          <m:rPr>
            <m:sty m:val="p"/>
          </m:rPr>
          <m:t>,</m:t>
        </m:r>
        <m:r>
          <m:rPr>
            <m:sty m:val="p"/>
          </m:rPr>
          <m:t>…</m:t>
        </m:r>
        <m:r>
          <m:rPr>
            <m:sty m:val="p"/>
          </m:rPr>
          <m:t>,</m:t>
        </m:r>
        <m:r>
          <m:t>256</m:t>
        </m:r>
      </m:oMath>
      <w:r>
        <w:t xml:space="preserve">, and measure Kendall’s</w:t>
      </w:r>
      <w:r>
        <w:t xml:space="preserve"> </w:t>
      </w:r>
      <m:oMath>
        <m:r>
          <m:t>τ</m:t>
        </m:r>
      </m:oMath>
      <w:r>
        <w:t xml:space="preserve"> </w:t>
      </w:r>
      <w:r>
        <w:t xml:space="preserve">[23]</w:t>
      </w:r>
      <w:r>
        <w:t xml:space="preserve"> </w:t>
      </w:r>
      <w:r>
        <w:t xml:space="preserve">between the input order and the output order (Figure 2). The 1.x reranker returns the input order unchanged for 127 of the 255 sizes (</w:t>
      </w:r>
      <m:oMath>
        <m:r>
          <m:t>τ</m:t>
        </m:r>
        <m:r>
          <m:rPr>
            <m:sty m:val="p"/>
          </m:rPr>
          <m:t>=</m:t>
        </m:r>
        <m:r>
          <m:t>1</m:t>
        </m:r>
      </m:oMath>
      <w:r>
        <w:t xml:space="preserve">) and exactly reversed for the other 128 (</w:t>
      </w:r>
      <m:oMath>
        <m:r>
          <m:t>τ</m:t>
        </m:r>
        <m:r>
          <m:rPr>
            <m:sty m:val="p"/>
          </m:rPr>
          <m:t>=</m:t>
        </m:r>
        <m:r>
          <m:rPr>
            <m:sty m:val="p"/>
          </m:rPr>
          <m:t>−</m:t>
        </m:r>
        <m:r>
          <m:t>1</m:t>
        </m:r>
      </m:oMath>
      <w:r>
        <w:t xml:space="preserve">), with no other outcome, as Proposition 1 predicts. It kept the best candidate first for only 49.8% of sizes. With random scores (20 trials per size) the picture is the same: the best candidate stayed first in 49.8% of cases and the mean</w:t>
      </w:r>
      <w:r>
        <w:t xml:space="preserve"> </w:t>
      </w:r>
      <m:oMath>
        <m:r>
          <m:t>τ</m:t>
        </m:r>
      </m:oMath>
      <w:r>
        <w:t xml:space="preserve"> </w:t>
      </w:r>
      <w:r>
        <w:t xml:space="preserve">was</w:t>
      </w:r>
      <w:r>
        <w:t xml:space="preserve"> </w:t>
      </w:r>
      <m:oMath>
        <m:r>
          <m:rPr>
            <m:sty m:val="p"/>
          </m:rPr>
          <m:t>−</m:t>
        </m:r>
        <m:r>
          <m:t>0.004</m:t>
        </m:r>
      </m:oMath>
      <w:r>
        <w:t xml:space="preserve">. VecForge 2.0 kept the best candidate first and returned</w:t>
      </w:r>
      <w:r>
        <w:t xml:space="preserve"> </w:t>
      </w:r>
      <m:oMath>
        <m:r>
          <m:t>τ</m:t>
        </m:r>
        <m:r>
          <m:rPr>
            <m:sty m:val="p"/>
          </m:rPr>
          <m:t>=</m:t>
        </m:r>
        <m:r>
          <m:t>1</m:t>
        </m:r>
      </m:oMath>
      <w:r>
        <w:t xml:space="preserve"> </w:t>
      </w:r>
      <w:r>
        <w:t xml:space="preserve">for every size and every trial.</w:t>
      </w:r>
    </w:p>
    <w:p>
      <w:pPr>
        <w:pStyle w:val="BodyText"/>
      </w:pPr>
      <w:r>
        <w:t xml:space="preserve">To check that amplification does something useful when it is told what to favour, we mark a random 10% of candidates for</w:t>
      </w:r>
      <w:r>
        <w:t xml:space="preserve"> </w:t>
      </w:r>
      <m:oMath>
        <m:r>
          <m:t>N</m:t>
        </m:r>
        <m:r>
          <m:rPr>
            <m:sty m:val="p"/>
          </m:rPr>
          <m:t>∈</m:t>
        </m:r>
        <m:r>
          <m:rPr>
            <m:sty m:val="p"/>
          </m:rPr>
          <m:t>{</m:t>
        </m:r>
        <m:r>
          <m:t>20</m:t>
        </m:r>
        <m:r>
          <m:rPr>
            <m:sty m:val="p"/>
          </m:rPr>
          <m:t>,</m:t>
        </m:r>
        <m:r>
          <m:t>50</m:t>
        </m:r>
        <m:r>
          <m:rPr>
            <m:sty m:val="p"/>
          </m:rPr>
          <m:t>,</m:t>
        </m:r>
        <m:r>
          <m:t>100</m:t>
        </m:r>
        <m:r>
          <m:rPr>
            <m:sty m:val="p"/>
          </m:rPr>
          <m:t>,</m:t>
        </m:r>
        <m:r>
          <m:t>500</m:t>
        </m:r>
        <m:r>
          <m:rPr>
            <m:sty m:val="p"/>
          </m:rPr>
          <m:t>,</m:t>
        </m:r>
        <m:r>
          <m:t>1000</m:t>
        </m:r>
        <m:r>
          <m:rPr>
            <m:sty m:val="p"/>
          </m:rPr>
          <m:t>}</m:t>
        </m:r>
      </m:oMath>
      <w:r>
        <w:t xml:space="preserve">, as the consensus oracle would. In every case all marked candidates moved to the top of the list, in their original relative order.</w:t>
      </w:r>
    </w:p>
    <w:p>
      <w:pPr>
        <w:pStyle w:val="CaptionedFigure"/>
      </w:pPr>
      <w:r>
        <w:drawing>
          <wp:inline>
            <wp:extent cx="5110242" cy="2238597"/>
            <wp:effectExtent b="0" l="0" r="0" t="0"/>
            <wp:docPr descr="Figure 2. Kendall’s \tau between input and output order for every list size from 2 to 256. The 1.x reranker (diffusion only) alternates between preserving (\tau = 1) and reversing (\tau = -1) the ranking depending only on the parity of its iteration count; VecForge 2.0 always preserves it." title="" id="39" name="Picture"/>
            <a:graphic>
              <a:graphicData uri="http://schemas.openxmlformats.org/drawingml/2006/picture">
                <pic:pic>
                  <pic:nvPicPr>
                    <pic:cNvPr descr="figures/fig2-rank-preservation.png" id="40" name="Picture"/>
                    <pic:cNvPicPr>
                      <a:picLocks noChangeArrowheads="1" noChangeAspect="1"/>
                    </pic:cNvPicPr>
                  </pic:nvPicPr>
                  <pic:blipFill>
                    <a:blip r:embed="rId38"/>
                    <a:stretch>
                      <a:fillRect/>
                    </a:stretch>
                  </pic:blipFill>
                  <pic:spPr bwMode="auto">
                    <a:xfrm>
                      <a:off x="0" y="0"/>
                      <a:ext cx="5110242" cy="2238597"/>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Kendall’s</w:t>
      </w:r>
      <w:r>
        <w:t xml:space="preserve"> </w:t>
      </w:r>
      <m:oMath>
        <m:r>
          <m:t>τ</m:t>
        </m:r>
      </m:oMath>
      <w:r>
        <w:t xml:space="preserve"> </w:t>
      </w:r>
      <w:r>
        <w:t xml:space="preserve">between input and output order for every list size from 2 to 256. The 1.x reranker (diffusion only) alternates between preserving (</w:t>
      </w:r>
      <m:oMath>
        <m:r>
          <m:t>τ</m:t>
        </m:r>
        <m:r>
          <m:rPr>
            <m:sty m:val="p"/>
          </m:rPr>
          <m:t>=</m:t>
        </m:r>
        <m:r>
          <m:t>1</m:t>
        </m:r>
      </m:oMath>
      <w:r>
        <w:t xml:space="preserve">) and reversing (</w:t>
      </w:r>
      <m:oMath>
        <m:r>
          <m:t>τ</m:t>
        </m:r>
        <m:r>
          <m:rPr>
            <m:sty m:val="p"/>
          </m:rPr>
          <m:t>=</m:t>
        </m:r>
        <m:r>
          <m:rPr>
            <m:sty m:val="p"/>
          </m:rPr>
          <m:t>−</m:t>
        </m:r>
        <m:r>
          <m:t>1</m:t>
        </m:r>
      </m:oMath>
      <w:r>
        <w:t xml:space="preserve">) the ranking depending only on the parity of its iteration count; VecForge 2.0 always preserves it.</w:t>
      </w:r>
    </w:p>
    <w:bookmarkEnd w:id="41"/>
    <w:bookmarkStart w:id="42" w:name="what-does-the-reranker-cost"/>
    <w:p>
      <w:pPr>
        <w:pStyle w:val="Heading2"/>
      </w:pPr>
      <w:r>
        <w:rPr>
          <w:rStyle w:val="SectionNumber"/>
        </w:rPr>
        <w:t xml:space="preserve">6.2</w:t>
      </w:r>
      <w:r>
        <w:tab/>
      </w:r>
      <w:r>
        <w:t xml:space="preserve">What does the reranker cost?</w:t>
      </w:r>
    </w:p>
    <w:p>
      <w:pPr>
        <w:pStyle w:val="FirstParagraph"/>
      </w:pPr>
      <w:r>
        <w:t xml:space="preserve">Table 1 compares the closed form of Proposition 2 with applying the Grover iteration step by step. With the default oracle, which marks about</w:t>
      </w:r>
      <w:r>
        <w:t xml:space="preserve"> </w:t>
      </w:r>
      <m:oMath>
        <m:rad>
          <m:radPr>
            <m:degHide m:val="on"/>
          </m:radPr>
          <m:deg/>
          <m:e>
            <m:r>
              <m:t>N</m:t>
            </m:r>
          </m:e>
        </m:rad>
      </m:oMath>
      <w:r>
        <w:t xml:space="preserve"> </w:t>
      </w:r>
      <w:r>
        <w:t xml:space="preserve">candidates, few iterations are needed and the closed form is at most 1.6 times faster. With a single marked candidate the iteration count grows as</w:t>
      </w:r>
      <w:r>
        <w:t xml:space="preserve"> </w:t>
      </w:r>
      <m:oMath>
        <m:d>
          <m:dPr>
            <m:begChr m:val="("/>
            <m:endChr m:val=")"/>
            <m:sepChr m:val=""/>
            <m:grow/>
          </m:dPr>
          <m:e>
            <m:r>
              <m:t>π</m:t>
            </m:r>
            <m:r>
              <m:rPr>
                <m:sty m:val="p"/>
              </m:rPr>
              <m:t>/</m:t>
            </m:r>
            <m:r>
              <m:t>4</m:t>
            </m:r>
          </m:e>
        </m:d>
        <m:rad>
          <m:radPr>
            <m:degHide m:val="on"/>
          </m:radPr>
          <m:deg/>
          <m:e>
            <m:r>
              <m:t>N</m:t>
            </m:r>
          </m:e>
        </m:rad>
      </m:oMath>
      <w:r>
        <w:t xml:space="preserve">, reaching 248 at</w:t>
      </w:r>
      <w:r>
        <w:t xml:space="preserve"> </w:t>
      </w:r>
      <m:oMath>
        <m:r>
          <m:t>N</m:t>
        </m:r>
        <m:r>
          <m:rPr>
            <m:sty m:val="p"/>
          </m:rPr>
          <m:t>=</m:t>
        </m:r>
        <m:r>
          <m:t>100</m:t>
        </m:r>
        <m:r>
          <m:rPr>
            <m:sty m:val="p"/>
          </m:rPr>
          <m:t>,</m:t>
        </m:r>
        <m:r>
          <m:t>000</m:t>
        </m:r>
      </m:oMath>
      <w:r>
        <w:t xml:space="preserve">, and the closed form is 9.5 times faster because its cost does not depend on the number of iterations. End to end, the reranker first selects a window of at most 1,000 candidates in linear time, so reranking a million candidates takes 2.1 ms at the median.</w:t>
      </w:r>
    </w:p>
    <w:p>
      <w:pPr>
        <w:pStyle w:val="TableCaption"/>
      </w:pPr>
      <w:r>
        <w:rPr>
          <w:bCs/>
          <w:b/>
        </w:rPr>
        <w:t xml:space="preserve">Table 1.</w:t>
      </w:r>
      <w:r>
        <w:t xml:space="preserve"> </w:t>
      </w:r>
      <w:r>
        <w:t xml:space="preserve">Grover amplification cost (ms, p50);</w:t>
      </w:r>
      <w:r>
        <w:t xml:space="preserve"> </w:t>
      </w:r>
      <m:oMath>
        <m:r>
          <m:t>k</m:t>
        </m:r>
      </m:oMath>
      <w:r>
        <w:t xml:space="preserve"> </w:t>
      </w:r>
      <w:r>
        <w:t xml:space="preserve">is the number of Grover iterations. Columns 2 to 4: default oracle (about</w:t>
      </w:r>
      <w:r>
        <w:t xml:space="preserve"> </w:t>
      </w:r>
      <m:oMath>
        <m:rad>
          <m:radPr>
            <m:degHide m:val="on"/>
          </m:radPr>
          <m:deg/>
          <m:e>
            <m:r>
              <m:t>N</m:t>
            </m:r>
          </m:e>
        </m:rad>
      </m:oMath>
      <w:r>
        <w:t xml:space="preserve"> </w:t>
      </w:r>
      <w:r>
        <w:t xml:space="preserve">marked). Columns 5 to 7: a single marked candidate. Last column: end-to-end reranker with a 1,000-candidate window.</w:t>
      </w:r>
    </w:p>
    <w:tbl>
      <w:tblPr>
        <w:tblStyle w:val="Table"/>
        <w:tblW w:type="pct" w:w="5000"/>
        <w:tblLook w:firstRow="1" w:lastRow="0" w:firstColumn="0" w:lastColumn="0" w:noHBand="0" w:noVBand="0" w:val="0020"/>
        <w:jc w:val="start"/>
        <w:tblCaption w:val="Table 1. Grover amplification cost (ms, p50); k is the number of Grover iterations. Columns 2 to 4: default oracle (about \sqrt{N} marked). Columns 5 to 7: a single marked candidate. Last column: end-to-end reranker with a 1,000-candidate window."/>
      </w:tblPr>
      <w:tblGrid>
        <w:gridCol w:w="990"/>
        <w:gridCol w:w="990"/>
        <w:gridCol w:w="990"/>
        <w:gridCol w:w="990"/>
        <w:gridCol w:w="990"/>
        <w:gridCol w:w="990"/>
        <w:gridCol w:w="990"/>
        <w:gridCol w:w="990"/>
      </w:tblGrid>
      <w:tr>
        <w:trPr>
          <w:tblHeader w:val="true"/>
        </w:trPr>
        <w:tc>
          <w:tcPr/>
          <w:p>
            <w:pPr>
              <w:pStyle w:val="Compact"/>
              <w:jc w:val="right"/>
            </w:pPr>
            <m:oMath>
              <m:r>
                <m:t>N</m:t>
              </m:r>
            </m:oMath>
          </w:p>
        </w:tc>
        <w:tc>
          <w:tcPr/>
          <w:p>
            <w:pPr>
              <w:pStyle w:val="Compact"/>
              <w:jc w:val="right"/>
            </w:pPr>
            <m:oMath>
              <m:r>
                <m:t>k</m:t>
              </m:r>
            </m:oMath>
          </w:p>
        </w:tc>
        <w:tc>
          <w:tcPr/>
          <w:p>
            <w:pPr>
              <w:pStyle w:val="Compact"/>
              <w:jc w:val="right"/>
            </w:pPr>
            <w:r>
              <w:t xml:space="preserve">closed</w:t>
            </w:r>
          </w:p>
        </w:tc>
        <w:tc>
          <w:tcPr/>
          <w:p>
            <w:pPr>
              <w:pStyle w:val="Compact"/>
              <w:jc w:val="right"/>
            </w:pPr>
            <w:r>
              <w:t xml:space="preserve">iterative</w:t>
            </w:r>
          </w:p>
        </w:tc>
        <w:tc>
          <w:tcPr/>
          <w:p>
            <w:pPr>
              <w:pStyle w:val="Compact"/>
              <w:jc w:val="right"/>
            </w:pPr>
            <m:oMath>
              <m:r>
                <m:t>k</m:t>
              </m:r>
            </m:oMath>
          </w:p>
        </w:tc>
        <w:tc>
          <w:tcPr/>
          <w:p>
            <w:pPr>
              <w:pStyle w:val="Compact"/>
              <w:jc w:val="right"/>
            </w:pPr>
            <w:r>
              <w:t xml:space="preserve">closed</w:t>
            </w:r>
          </w:p>
        </w:tc>
        <w:tc>
          <w:tcPr/>
          <w:p>
            <w:pPr>
              <w:pStyle w:val="Compact"/>
              <w:jc w:val="right"/>
            </w:pPr>
            <w:r>
              <w:t xml:space="preserve">iterative</w:t>
            </w:r>
          </w:p>
        </w:tc>
        <w:tc>
          <w:tcPr/>
          <w:p>
            <w:pPr>
              <w:pStyle w:val="Compact"/>
              <w:jc w:val="right"/>
            </w:pPr>
            <w:r>
              <w:t xml:space="preserve">end to end</w:t>
            </w:r>
          </w:p>
        </w:tc>
      </w:tr>
      <w:tr>
        <w:tc>
          <w:tcPr/>
          <w:p>
            <w:pPr>
              <w:pStyle w:val="Compact"/>
              <w:jc w:val="right"/>
            </w:pPr>
            <w:r>
              <w:t xml:space="preserve">1,000</w:t>
            </w:r>
          </w:p>
        </w:tc>
        <w:tc>
          <w:tcPr/>
          <w:p>
            <w:pPr>
              <w:pStyle w:val="Compact"/>
              <w:jc w:val="right"/>
            </w:pPr>
            <w:r>
              <w:t xml:space="preserve">4</w:t>
            </w:r>
          </w:p>
        </w:tc>
        <w:tc>
          <w:tcPr/>
          <w:p>
            <w:pPr>
              <w:pStyle w:val="Compact"/>
              <w:jc w:val="right"/>
            </w:pPr>
            <w:r>
              <w:t xml:space="preserve">0.026</w:t>
            </w:r>
          </w:p>
        </w:tc>
        <w:tc>
          <w:tcPr/>
          <w:p>
            <w:pPr>
              <w:pStyle w:val="Compact"/>
              <w:jc w:val="right"/>
            </w:pPr>
            <w:r>
              <w:t xml:space="preserve">0.026</w:t>
            </w:r>
          </w:p>
        </w:tc>
        <w:tc>
          <w:tcPr/>
          <w:p>
            <w:pPr>
              <w:pStyle w:val="Compact"/>
              <w:jc w:val="right"/>
            </w:pPr>
            <w:r>
              <w:t xml:space="preserve">24</w:t>
            </w:r>
          </w:p>
        </w:tc>
        <w:tc>
          <w:tcPr/>
          <w:p>
            <w:pPr>
              <w:pStyle w:val="Compact"/>
              <w:jc w:val="right"/>
            </w:pPr>
            <w:r>
              <w:t xml:space="preserve">0.024</w:t>
            </w:r>
          </w:p>
        </w:tc>
        <w:tc>
          <w:tcPr/>
          <w:p>
            <w:pPr>
              <w:pStyle w:val="Compact"/>
              <w:jc w:val="right"/>
            </w:pPr>
            <w:r>
              <w:t xml:space="preserve">0.113</w:t>
            </w:r>
          </w:p>
        </w:tc>
        <w:tc>
          <w:tcPr/>
          <w:p>
            <w:pPr>
              <w:pStyle w:val="Compact"/>
              <w:jc w:val="right"/>
            </w:pPr>
            <w:r>
              <w:t xml:space="preserve">0.11</w:t>
            </w:r>
          </w:p>
        </w:tc>
      </w:tr>
      <w:tr>
        <w:tc>
          <w:tcPr/>
          <w:p>
            <w:pPr>
              <w:pStyle w:val="Compact"/>
              <w:jc w:val="right"/>
            </w:pPr>
            <w:r>
              <w:t xml:space="preserve">10,000</w:t>
            </w:r>
          </w:p>
        </w:tc>
        <w:tc>
          <w:tcPr/>
          <w:p>
            <w:pPr>
              <w:pStyle w:val="Compact"/>
              <w:jc w:val="right"/>
            </w:pPr>
            <w:r>
              <w:t xml:space="preserve">7</w:t>
            </w:r>
          </w:p>
        </w:tc>
        <w:tc>
          <w:tcPr/>
          <w:p>
            <w:pPr>
              <w:pStyle w:val="Compact"/>
              <w:jc w:val="right"/>
            </w:pPr>
            <w:r>
              <w:t xml:space="preserve">0.073</w:t>
            </w:r>
          </w:p>
        </w:tc>
        <w:tc>
          <w:tcPr/>
          <w:p>
            <w:pPr>
              <w:pStyle w:val="Compact"/>
              <w:jc w:val="right"/>
            </w:pPr>
            <w:r>
              <w:t xml:space="preserve">0.115</w:t>
            </w:r>
          </w:p>
        </w:tc>
        <w:tc>
          <w:tcPr/>
          <w:p>
            <w:pPr>
              <w:pStyle w:val="Compact"/>
              <w:jc w:val="right"/>
            </w:pPr>
            <w:r>
              <w:t xml:space="preserve">78</w:t>
            </w:r>
          </w:p>
        </w:tc>
        <w:tc>
          <w:tcPr/>
          <w:p>
            <w:pPr>
              <w:pStyle w:val="Compact"/>
              <w:jc w:val="right"/>
            </w:pPr>
            <w:r>
              <w:t xml:space="preserve">0.066</w:t>
            </w:r>
          </w:p>
        </w:tc>
        <w:tc>
          <w:tcPr/>
          <w:p>
            <w:pPr>
              <w:pStyle w:val="Compact"/>
              <w:jc w:val="right"/>
            </w:pPr>
            <w:r>
              <w:t xml:space="preserve">0.760</w:t>
            </w:r>
          </w:p>
        </w:tc>
        <w:tc>
          <w:tcPr/>
          <w:p>
            <w:pPr>
              <w:pStyle w:val="Compact"/>
              <w:jc w:val="right"/>
            </w:pPr>
            <w:r>
              <w:t xml:space="preserve">0.15</w:t>
            </w:r>
          </w:p>
        </w:tc>
      </w:tr>
      <w:tr>
        <w:tc>
          <w:tcPr/>
          <w:p>
            <w:pPr>
              <w:pStyle w:val="Compact"/>
              <w:jc w:val="right"/>
            </w:pPr>
            <w:r>
              <w:t xml:space="preserve">100,000</w:t>
            </w:r>
          </w:p>
        </w:tc>
        <w:tc>
          <w:tcPr/>
          <w:p>
            <w:pPr>
              <w:pStyle w:val="Compact"/>
              <w:jc w:val="right"/>
            </w:pPr>
            <w:r>
              <w:t xml:space="preserve">13</w:t>
            </w:r>
          </w:p>
        </w:tc>
        <w:tc>
          <w:tcPr/>
          <w:p>
            <w:pPr>
              <w:pStyle w:val="Compact"/>
              <w:jc w:val="right"/>
            </w:pPr>
            <w:r>
              <w:t xml:space="preserve">2.22</w:t>
            </w:r>
          </w:p>
        </w:tc>
        <w:tc>
          <w:tcPr/>
          <w:p>
            <w:pPr>
              <w:pStyle w:val="Compact"/>
              <w:jc w:val="right"/>
            </w:pPr>
            <w:r>
              <w:t xml:space="preserve">2.50</w:t>
            </w:r>
          </w:p>
        </w:tc>
        <w:tc>
          <w:tcPr/>
          <w:p>
            <w:pPr>
              <w:pStyle w:val="Compact"/>
              <w:jc w:val="right"/>
            </w:pPr>
            <w:r>
              <w:t xml:space="preserve">248</w:t>
            </w:r>
          </w:p>
        </w:tc>
        <w:tc>
          <w:tcPr/>
          <w:p>
            <w:pPr>
              <w:pStyle w:val="Compact"/>
              <w:jc w:val="right"/>
            </w:pPr>
            <w:r>
              <w:t xml:space="preserve">2.19</w:t>
            </w:r>
          </w:p>
        </w:tc>
        <w:tc>
          <w:tcPr/>
          <w:p>
            <w:pPr>
              <w:pStyle w:val="Compact"/>
              <w:jc w:val="right"/>
            </w:pPr>
            <w:r>
              <w:t xml:space="preserve">20.7</w:t>
            </w:r>
          </w:p>
        </w:tc>
        <w:tc>
          <w:tcPr/>
          <w:p>
            <w:pPr>
              <w:pStyle w:val="Compact"/>
              <w:jc w:val="right"/>
            </w:pPr>
            <w:r>
              <w:t xml:space="preserve">0.31</w:t>
            </w:r>
          </w:p>
        </w:tc>
      </w:tr>
      <w:tr>
        <w:tc>
          <w:tcPr/>
          <w:p>
            <w:pPr>
              <w:pStyle w:val="Compact"/>
              <w:jc w:val="right"/>
            </w:pPr>
            <w:r>
              <w:t xml:space="preserve">1,000,000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2.06</w:t>
            </w:r>
          </w:p>
        </w:tc>
      </w:tr>
    </w:tbl>
    <w:bookmarkEnd w:id="42"/>
    <w:bookmarkStart w:id="46" w:name="incremental-keyword-index"/>
    <w:p>
      <w:pPr>
        <w:pStyle w:val="Heading2"/>
      </w:pPr>
      <w:r>
        <w:rPr>
          <w:rStyle w:val="SectionNumber"/>
        </w:rPr>
        <w:t xml:space="preserve">6.3</w:t>
      </w:r>
      <w:r>
        <w:tab/>
      </w:r>
      <w:r>
        <w:t xml:space="preserve">Incremental keyword index</w:t>
      </w:r>
    </w:p>
    <w:p>
      <w:pPr>
        <w:pStyle w:val="FirstParagraph"/>
      </w:pPr>
      <w:r>
        <w:t xml:space="preserve">The 1.x BM25 index rebuilt itself from the whole corpus on every insert, so inserting</w:t>
      </w:r>
      <w:r>
        <w:t xml:space="preserve"> </w:t>
      </w:r>
      <m:oMath>
        <m:r>
          <m:t>n</m:t>
        </m:r>
      </m:oMath>
      <w:r>
        <w:t xml:space="preserve"> </w:t>
      </w:r>
      <w:r>
        <w:t xml:space="preserve">documents one at a time costs</w:t>
      </w:r>
      <w:r>
        <w:t xml:space="preserve"> </w:t>
      </w:r>
      <m:oMath>
        <m:r>
          <m:t>O</m:t>
        </m:r>
        <m:d>
          <m:dPr>
            <m:begChr m:val="("/>
            <m:endChr m:val=")"/>
            <m:sepChr m:val=""/>
            <m:grow/>
          </m:dPr>
          <m:e>
            <m:sSup>
              <m:e>
                <m:r>
                  <m:t>n</m:t>
                </m:r>
              </m:e>
              <m:sup>
                <m:r>
                  <m:t>2</m:t>
                </m:r>
              </m:sup>
            </m:sSup>
          </m:e>
        </m:d>
      </m:oMath>
      <w:r>
        <w:t xml:space="preserve"> </w:t>
      </w:r>
      <w:r>
        <w:t xml:space="preserve">token operations. Figure 3 shows the measured cost. Inserting 2,000 documents took 24.9 s with the 1.x index and 0.14 s with the incremental index, 183 times less; 4,000 documents took 0.48 s, while the 1.x run at that size was skipped because it grows quadratically. Queries are also faster, because the incremental index scores only the postings of the query terms (Table 2). The two indexes use different IDF variants and tokenisers, so their top-10 results overlap by 69 to 74%. This experiment therefore compares cost, not identical output.</w:t>
      </w:r>
    </w:p>
    <w:p>
      <w:pPr>
        <w:pStyle w:val="CaptionedFigure"/>
      </w:pPr>
      <w:r>
        <w:drawing>
          <wp:inline>
            <wp:extent cx="2745740" cy="2126858"/>
            <wp:effectExtent b="0" l="0" r="0" t="0"/>
            <wp:docPr descr="Figure 3. Total time to insert documents one at a time into the keyword index (log-log). The 1.x index rebuilds after every insert; the 2.0 index appends postings." title="" id="44" name="Picture"/>
            <a:graphic>
              <a:graphicData uri="http://schemas.openxmlformats.org/drawingml/2006/picture">
                <pic:pic>
                  <pic:nvPicPr>
                    <pic:cNvPr descr="figures/fig3-bm25-insert.png" id="45" name="Picture"/>
                    <pic:cNvPicPr>
                      <a:picLocks noChangeArrowheads="1" noChangeAspect="1"/>
                    </pic:cNvPicPr>
                  </pic:nvPicPr>
                  <pic:blipFill>
                    <a:blip r:embed="rId43"/>
                    <a:stretch>
                      <a:fillRect/>
                    </a:stretch>
                  </pic:blipFill>
                  <pic:spPr bwMode="auto">
                    <a:xfrm>
                      <a:off x="0" y="0"/>
                      <a:ext cx="2745740" cy="2126858"/>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Total time to insert documents one at a time into the keyword index (log-log). The 1.x index rebuilds after every insert; the 2.0 index appends postings.</w:t>
      </w:r>
    </w:p>
    <w:p>
      <w:pPr>
        <w:pStyle w:val="TableCaption"/>
      </w:pPr>
      <w:r>
        <w:rPr>
          <w:bCs/>
          <w:b/>
        </w:rPr>
        <w:t xml:space="preserve">Table 2.</w:t>
      </w:r>
      <w:r>
        <w:t xml:space="preserve"> </w:t>
      </w:r>
      <w:r>
        <w:t xml:space="preserve">BM25 query latency (ms, p50 over 50 three-term queries) and top-10 overlap between the two indexes.</w:t>
      </w:r>
    </w:p>
    <w:tbl>
      <w:tblPr>
        <w:tblStyle w:val="Table"/>
        <w:tblW w:type="auto" w:w="0"/>
        <w:tblLook w:firstRow="1" w:lastRow="0" w:firstColumn="0" w:lastColumn="0" w:noHBand="0" w:noVBand="0" w:val="0020"/>
        <w:jc w:val="start"/>
        <w:tblCaption w:val="Table 2. BM25 query latency (ms, p50 over 50 three-term queries) and top-10 overlap between the two indexes."/>
      </w:tblPr>
      <w:tblGrid>
        <w:gridCol w:w="1584"/>
        <w:gridCol w:w="1584"/>
        <w:gridCol w:w="1584"/>
        <w:gridCol w:w="1584"/>
        <w:gridCol w:w="1584"/>
      </w:tblGrid>
      <w:tr>
        <w:trPr>
          <w:tblHeader w:val="true"/>
        </w:trPr>
        <w:tc>
          <w:tcPr/>
          <w:p>
            <w:pPr>
              <w:pStyle w:val="Compact"/>
              <w:jc w:val="right"/>
            </w:pPr>
            <w:r>
              <w:t xml:space="preserve">Documents</w:t>
            </w:r>
          </w:p>
        </w:tc>
        <w:tc>
          <w:tcPr/>
          <w:p>
            <w:pPr>
              <w:pStyle w:val="Compact"/>
              <w:jc w:val="right"/>
            </w:pPr>
            <w:r>
              <w:t xml:space="preserve">1.x</w:t>
            </w:r>
          </w:p>
        </w:tc>
        <w:tc>
          <w:tcPr/>
          <w:p>
            <w:pPr>
              <w:pStyle w:val="Compact"/>
              <w:jc w:val="right"/>
            </w:pPr>
            <w:r>
              <w:t xml:space="preserve">2.0</w:t>
            </w:r>
          </w:p>
        </w:tc>
        <w:tc>
          <w:tcPr/>
          <w:p>
            <w:pPr>
              <w:pStyle w:val="Compact"/>
              <w:jc w:val="right"/>
            </w:pPr>
            <w:r>
              <w:t xml:space="preserve">Speed-up</w:t>
            </w:r>
          </w:p>
        </w:tc>
        <w:tc>
          <w:tcPr/>
          <w:p>
            <w:pPr>
              <w:pStyle w:val="Compact"/>
              <w:jc w:val="right"/>
            </w:pPr>
            <w:r>
              <w:t xml:space="preserve">Top-10 overlap</w:t>
            </w:r>
          </w:p>
        </w:tc>
      </w:tr>
      <w:tr>
        <w:tc>
          <w:tcPr/>
          <w:p>
            <w:pPr>
              <w:pStyle w:val="Compact"/>
              <w:jc w:val="right"/>
            </w:pPr>
            <w:r>
              <w:t xml:space="preserve">10,000</w:t>
            </w:r>
          </w:p>
        </w:tc>
        <w:tc>
          <w:tcPr/>
          <w:p>
            <w:pPr>
              <w:pStyle w:val="Compact"/>
              <w:jc w:val="right"/>
            </w:pPr>
            <w:r>
              <w:t xml:space="preserve">5.30</w:t>
            </w:r>
          </w:p>
        </w:tc>
        <w:tc>
          <w:tcPr/>
          <w:p>
            <w:pPr>
              <w:pStyle w:val="Compact"/>
              <w:jc w:val="right"/>
            </w:pPr>
            <w:r>
              <w:t xml:space="preserve">0.15</w:t>
            </w:r>
          </w:p>
        </w:tc>
        <w:tc>
          <w:tcPr/>
          <w:p>
            <w:pPr>
              <w:pStyle w:val="Compact"/>
              <w:jc w:val="right"/>
            </w:pPr>
            <w:r>
              <w:t xml:space="preserve">35×</w:t>
            </w:r>
          </w:p>
        </w:tc>
        <w:tc>
          <w:tcPr/>
          <w:p>
            <w:pPr>
              <w:pStyle w:val="Compact"/>
              <w:jc w:val="right"/>
            </w:pPr>
            <w:r>
              <w:t xml:space="preserve">74%</w:t>
            </w:r>
          </w:p>
        </w:tc>
      </w:tr>
      <w:tr>
        <w:tc>
          <w:tcPr/>
          <w:p>
            <w:pPr>
              <w:pStyle w:val="Compact"/>
              <w:jc w:val="right"/>
            </w:pPr>
            <w:r>
              <w:t xml:space="preserve">100,000</w:t>
            </w:r>
          </w:p>
        </w:tc>
        <w:tc>
          <w:tcPr/>
          <w:p>
            <w:pPr>
              <w:pStyle w:val="Compact"/>
              <w:jc w:val="right"/>
            </w:pPr>
            <w:r>
              <w:t xml:space="preserve">90.1</w:t>
            </w:r>
          </w:p>
        </w:tc>
        <w:tc>
          <w:tcPr/>
          <w:p>
            <w:pPr>
              <w:pStyle w:val="Compact"/>
              <w:jc w:val="right"/>
            </w:pPr>
            <w:r>
              <w:t xml:space="preserve">1.32</w:t>
            </w:r>
          </w:p>
        </w:tc>
        <w:tc>
          <w:tcPr/>
          <w:p>
            <w:pPr>
              <w:pStyle w:val="Compact"/>
              <w:jc w:val="right"/>
            </w:pPr>
            <w:r>
              <w:t xml:space="preserve">69×</w:t>
            </w:r>
          </w:p>
        </w:tc>
        <w:tc>
          <w:tcPr/>
          <w:p>
            <w:pPr>
              <w:pStyle w:val="Compact"/>
              <w:jc w:val="right"/>
            </w:pPr>
            <w:r>
              <w:t xml:space="preserve">69%</w:t>
            </w:r>
          </w:p>
        </w:tc>
      </w:tr>
    </w:tbl>
    <w:bookmarkEnd w:id="46"/>
    <w:bookmarkStart w:id="50" w:name="recall-within-a-namespace"/>
    <w:p>
      <w:pPr>
        <w:pStyle w:val="Heading2"/>
      </w:pPr>
      <w:r>
        <w:rPr>
          <w:rStyle w:val="SectionNumber"/>
        </w:rPr>
        <w:t xml:space="preserve">6.4</w:t>
      </w:r>
      <w:r>
        <w:tab/>
      </w:r>
      <w:r>
        <w:t xml:space="preserve">Recall within a namespace</w:t>
      </w:r>
    </w:p>
    <w:p>
      <w:pPr>
        <w:pStyle w:val="FirstParagraph"/>
      </w:pPr>
      <w:r>
        <w:t xml:space="preserve">We build a 100,000-vector, 384-dimensional collection from a Gaussian mixture with 2,000 clusters, assign a random subset to a namespace, and measure recall@10 within the namespace against exact search over its members, for 200 queries drawn from the same mixture (Figure 4). The 1.x strategy retrieves the global top 40 and discards other namespaces. For a namespace holding 0.1% of the vault it found 0.5% of the true neighbours, and 41% at 10%; it reaches full recall only when the namespace is half the vault. The 2.0 ID selector on a flat index is exact at every size, at 0.08 to 1.5 ms per query.</w:t>
      </w:r>
    </w:p>
    <w:p>
      <w:pPr>
        <w:pStyle w:val="BodyText"/>
      </w:pPr>
      <w:r>
        <w:t xml:space="preserve">With an HNSW index, namespaces of up to 20,000 members use the exact subset search and reach full recall (0.04 to 0.40 ms per query). The 50,000-member namespace uses filtered graph search and reaches a recall of 0.83 at efSearch = 256 (0.46 at 64). For context, unfiltered search over the same index reaches 0.85 at efSearch = 256 (0.49 at 64), so filtering costs almost no recall beyond what the graph itself loses. This index was built with efConstruction = 80 to keep the experiment short; the product default is 200, which yields a better graph.</w:t>
      </w:r>
    </w:p>
    <w:p>
      <w:pPr>
        <w:pStyle w:val="CaptionedFigure"/>
      </w:pPr>
      <w:r>
        <w:drawing>
          <wp:inline>
            <wp:extent cx="2745740" cy="2203817"/>
            <wp:effectExtent b="0" l="0" r="0" t="0"/>
            <wp:docPr descr="Figure 4. Recall@10 within a namespace as its share of a 100,000-vector vault grows. The 1.x post-filter misses most neighbours of small namespaces; the 2.0 in-index selector is exact." title="" id="48" name="Picture"/>
            <a:graphic>
              <a:graphicData uri="http://schemas.openxmlformats.org/drawingml/2006/picture">
                <pic:pic>
                  <pic:nvPicPr>
                    <pic:cNvPr descr="figures/fig4-namespace-recall.png" id="49" name="Picture"/>
                    <pic:cNvPicPr>
                      <a:picLocks noChangeArrowheads="1" noChangeAspect="1"/>
                    </pic:cNvPicPr>
                  </pic:nvPicPr>
                  <pic:blipFill>
                    <a:blip r:embed="rId47"/>
                    <a:stretch>
                      <a:fillRect/>
                    </a:stretch>
                  </pic:blipFill>
                  <pic:spPr bwMode="auto">
                    <a:xfrm>
                      <a:off x="0" y="0"/>
                      <a:ext cx="2745740" cy="2203817"/>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Recall@10 within a namespace as its share of a 100,000-vector vault grows. The 1.x post-filter misses most neighbours of small namespaces; the 2.0 in-index selector is exact.</w:t>
      </w:r>
    </w:p>
    <w:bookmarkEnd w:id="50"/>
    <w:bookmarkStart w:id="51" w:name="reopening-a-vault"/>
    <w:p>
      <w:pPr>
        <w:pStyle w:val="Heading2"/>
      </w:pPr>
      <w:r>
        <w:rPr>
          <w:rStyle w:val="SectionNumber"/>
        </w:rPr>
        <w:t xml:space="preserve">6.5</w:t>
      </w:r>
      <w:r>
        <w:tab/>
      </w:r>
      <w:r>
        <w:t xml:space="preserve">Reopening a vault</w:t>
      </w:r>
    </w:p>
    <w:p>
      <w:pPr>
        <w:pStyle w:val="FirstParagraph"/>
      </w:pPr>
      <w:r>
        <w:t xml:space="preserve">Table 3 compares opening a vault from its snapshot with rebuilding its indexes from the stored vectors (the snapshot is removed before each rebuild run). The snapshot makes reopening 9 to 17 times faster, which matters most for MCP sessions, where the assistant waits for the server to start. The cost is disk space: the snapshot stores a second copy of the vectors and the keyword index. At 100,000 documents the file was 447 MB, about 2.9 times the 154 MB of raw embeddings.</w:t>
      </w:r>
    </w:p>
    <w:p>
      <w:pPr>
        <w:pStyle w:val="TableCaption"/>
      </w:pPr>
      <w:r>
        <w:rPr>
          <w:bCs/>
          <w:b/>
        </w:rPr>
        <w:t xml:space="preserve">Table 3.</w:t>
      </w:r>
      <w:r>
        <w:t xml:space="preserve"> </w:t>
      </w:r>
      <w:r>
        <w:t xml:space="preserve">Ingest throughput and time to open a vault (median of three opens), hash embedder.</w:t>
      </w:r>
    </w:p>
    <w:tbl>
      <w:tblPr>
        <w:tblStyle w:val="Table"/>
        <w:tblW w:type="pct" w:w="5000"/>
        <w:tblLook w:firstRow="1" w:lastRow="0" w:firstColumn="0" w:lastColumn="0" w:noHBand="0" w:noVBand="0" w:val="0020"/>
        <w:jc w:val="start"/>
        <w:tblCaption w:val="Table 3. Ingest throughput and time to open a vault (median of three opens), hash embedder."/>
      </w:tblPr>
      <w:tblGrid>
        <w:gridCol w:w="1584"/>
        <w:gridCol w:w="1584"/>
        <w:gridCol w:w="1584"/>
        <w:gridCol w:w="1584"/>
        <w:gridCol w:w="1584"/>
      </w:tblGrid>
      <w:tr>
        <w:trPr>
          <w:tblHeader w:val="true"/>
        </w:trPr>
        <w:tc>
          <w:tcPr/>
          <w:p>
            <w:pPr>
              <w:pStyle w:val="Compact"/>
              <w:jc w:val="right"/>
            </w:pPr>
            <w:r>
              <w:t xml:space="preserve">Documents</w:t>
            </w:r>
          </w:p>
        </w:tc>
        <w:tc>
          <w:tcPr/>
          <w:p>
            <w:pPr>
              <w:pStyle w:val="Compact"/>
              <w:jc w:val="right"/>
            </w:pPr>
            <w:r>
              <w:t xml:space="preserve">Ingest (docs/s)</w:t>
            </w:r>
          </w:p>
        </w:tc>
        <w:tc>
          <w:tcPr/>
          <w:p>
            <w:pPr>
              <w:pStyle w:val="Compact"/>
              <w:jc w:val="right"/>
            </w:pPr>
            <w:r>
              <w:t xml:space="preserve">Open from snapshot (s)</w:t>
            </w:r>
          </w:p>
        </w:tc>
        <w:tc>
          <w:tcPr/>
          <w:p>
            <w:pPr>
              <w:pStyle w:val="Compact"/>
              <w:jc w:val="right"/>
            </w:pPr>
            <w:r>
              <w:t xml:space="preserve">Open with rebuild (s)</w:t>
            </w:r>
          </w:p>
        </w:tc>
        <w:tc>
          <w:tcPr/>
          <w:p>
            <w:pPr>
              <w:pStyle w:val="Compact"/>
              <w:jc w:val="right"/>
            </w:pPr>
            <w:r>
              <w:t xml:space="preserve">Speed-up</w:t>
            </w:r>
          </w:p>
        </w:tc>
      </w:tr>
      <w:tr>
        <w:tc>
          <w:tcPr/>
          <w:p>
            <w:pPr>
              <w:pStyle w:val="Compact"/>
              <w:jc w:val="right"/>
            </w:pPr>
            <w:r>
              <w:t xml:space="preserve">10,000</w:t>
            </w:r>
          </w:p>
        </w:tc>
        <w:tc>
          <w:tcPr/>
          <w:p>
            <w:pPr>
              <w:pStyle w:val="Compact"/>
              <w:jc w:val="right"/>
            </w:pPr>
            <w:r>
              <w:t xml:space="preserve">1,986</w:t>
            </w:r>
          </w:p>
        </w:tc>
        <w:tc>
          <w:tcPr/>
          <w:p>
            <w:pPr>
              <w:pStyle w:val="Compact"/>
              <w:jc w:val="right"/>
            </w:pPr>
            <w:r>
              <w:t xml:space="preserve">0.15</w:t>
            </w:r>
          </w:p>
        </w:tc>
        <w:tc>
          <w:tcPr/>
          <w:p>
            <w:pPr>
              <w:pStyle w:val="Compact"/>
              <w:jc w:val="right"/>
            </w:pPr>
            <w:r>
              <w:t xml:space="preserve">1.37</w:t>
            </w:r>
          </w:p>
        </w:tc>
        <w:tc>
          <w:tcPr/>
          <w:p>
            <w:pPr>
              <w:pStyle w:val="Compact"/>
              <w:jc w:val="right"/>
            </w:pPr>
            <w:r>
              <w:t xml:space="preserve">9.1×</w:t>
            </w:r>
          </w:p>
        </w:tc>
      </w:tr>
      <w:tr>
        <w:tc>
          <w:tcPr/>
          <w:p>
            <w:pPr>
              <w:pStyle w:val="Compact"/>
              <w:jc w:val="right"/>
            </w:pPr>
            <w:r>
              <w:t xml:space="preserve">50,000</w:t>
            </w:r>
          </w:p>
        </w:tc>
        <w:tc>
          <w:tcPr/>
          <w:p>
            <w:pPr>
              <w:pStyle w:val="Compact"/>
              <w:jc w:val="right"/>
            </w:pPr>
            <w:r>
              <w:t xml:space="preserve">1,795</w:t>
            </w:r>
          </w:p>
        </w:tc>
        <w:tc>
          <w:tcPr/>
          <w:p>
            <w:pPr>
              <w:pStyle w:val="Compact"/>
              <w:jc w:val="right"/>
            </w:pPr>
            <w:r>
              <w:t xml:space="preserve">1.82</w:t>
            </w:r>
          </w:p>
        </w:tc>
        <w:tc>
          <w:tcPr/>
          <w:p>
            <w:pPr>
              <w:pStyle w:val="Compact"/>
              <w:jc w:val="right"/>
            </w:pPr>
            <w:r>
              <w:t xml:space="preserve">24.0</w:t>
            </w:r>
          </w:p>
        </w:tc>
        <w:tc>
          <w:tcPr/>
          <w:p>
            <w:pPr>
              <w:pStyle w:val="Compact"/>
              <w:jc w:val="right"/>
            </w:pPr>
            <w:r>
              <w:t xml:space="preserve">13.2×</w:t>
            </w:r>
          </w:p>
        </w:tc>
      </w:tr>
      <w:tr>
        <w:tc>
          <w:tcPr/>
          <w:p>
            <w:pPr>
              <w:pStyle w:val="Compact"/>
              <w:jc w:val="right"/>
            </w:pPr>
            <w:r>
              <w:t xml:space="preserve">100,000</w:t>
            </w:r>
          </w:p>
        </w:tc>
        <w:tc>
          <w:tcPr/>
          <w:p>
            <w:pPr>
              <w:pStyle w:val="Compact"/>
              <w:jc w:val="right"/>
            </w:pPr>
            <w:r>
              <w:t xml:space="preserve">1,707</w:t>
            </w:r>
          </w:p>
        </w:tc>
        <w:tc>
          <w:tcPr/>
          <w:p>
            <w:pPr>
              <w:pStyle w:val="Compact"/>
              <w:jc w:val="right"/>
            </w:pPr>
            <w:r>
              <w:t xml:space="preserve">3.80</w:t>
            </w:r>
          </w:p>
        </w:tc>
        <w:tc>
          <w:tcPr/>
          <w:p>
            <w:pPr>
              <w:pStyle w:val="Compact"/>
              <w:jc w:val="right"/>
            </w:pPr>
            <w:r>
              <w:t xml:space="preserve">64.3</w:t>
            </w:r>
          </w:p>
        </w:tc>
        <w:tc>
          <w:tcPr/>
          <w:p>
            <w:pPr>
              <w:pStyle w:val="Compact"/>
              <w:jc w:val="right"/>
            </w:pPr>
            <w:r>
              <w:t xml:space="preserve">16.9×</w:t>
            </w:r>
          </w:p>
        </w:tc>
      </w:tr>
    </w:tbl>
    <w:bookmarkEnd w:id="51"/>
    <w:bookmarkStart w:id="52" w:name="end-to-end-search-and-agent-memory"/>
    <w:p>
      <w:pPr>
        <w:pStyle w:val="Heading2"/>
      </w:pPr>
      <w:r>
        <w:rPr>
          <w:rStyle w:val="SectionNumber"/>
        </w:rPr>
        <w:t xml:space="preserve">6.6</w:t>
      </w:r>
      <w:r>
        <w:tab/>
      </w:r>
      <w:r>
        <w:t xml:space="preserve">End-to-end search and agent memory</w:t>
      </w:r>
    </w:p>
    <w:p>
      <w:pPr>
        <w:pStyle w:val="FirstParagraph"/>
      </w:pPr>
      <w:r>
        <w:t xml:space="preserve">Table 4 reports full</w:t>
      </w:r>
      <w:r>
        <w:t xml:space="preserve"> </w:t>
      </w:r>
      <w:r>
        <w:rPr>
          <w:rStyle w:val="VerbatimChar"/>
        </w:rPr>
        <w:t xml:space="preserve">search()</w:t>
      </w:r>
      <w:r>
        <w:t xml:space="preserve"> </w:t>
      </w:r>
      <w:r>
        <w:t xml:space="preserve">calls: embedding the query, dense and sparse retrieval, fusion, hydration from SQLite and, where enabled, reranking. To keep the comparison fair, the three modes run interleaved and in rotating order, and every query string is unique so the embedding cache never hits. The quantum-inspired rerank adds 0.3 to 0.6 ms. Restricting the search to a namespace that holds half the vault costs more, about 9 to 11 ms at 100,000 documents, because the allowed set is materialised and both retrievers are scored against it. At this scale the sparse retriever and hydration dominate, so HNSW and flat search take about the same time end to end. These numbers use the hash embedder; a neural embedding model adds its own inference time to every query.</w:t>
      </w:r>
    </w:p>
    <w:p>
      <w:pPr>
        <w:pStyle w:val="TableCaption"/>
      </w:pPr>
      <w:r>
        <w:rPr>
          <w:bCs/>
          <w:b/>
        </w:rPr>
        <w:t xml:space="preserve">Table 4.</w:t>
      </w:r>
      <w:r>
        <w:t xml:space="preserve"> </w:t>
      </w:r>
      <w:r>
        <w:t xml:space="preserve">End-to-end search latency (ms, p50 / p95 over 200 queries, top 10).</w:t>
      </w:r>
    </w:p>
    <w:tbl>
      <w:tblPr>
        <w:tblStyle w:val="Table"/>
        <w:tblW w:type="auto" w:w="0"/>
        <w:tblLook w:firstRow="1" w:lastRow="0" w:firstColumn="0" w:lastColumn="0" w:noHBand="0" w:noVBand="0" w:val="0020"/>
        <w:jc w:val="start"/>
        <w:tblCaption w:val="Table 4. End-to-end search latency (ms, p50 / p95 over 200 queries, top 10)."/>
      </w:tblPr>
      <w:tblGrid>
        <w:gridCol w:w="1584"/>
        <w:gridCol w:w="1584"/>
        <w:gridCol w:w="1584"/>
        <w:gridCol w:w="1584"/>
        <w:gridCol w:w="1584"/>
      </w:tblGrid>
      <w:tr>
        <w:trPr>
          <w:tblHeader w:val="true"/>
        </w:trPr>
        <w:tc>
          <w:tcPr/>
          <w:p>
            <w:pPr>
              <w:pStyle w:val="Compact"/>
              <w:jc w:val="right"/>
            </w:pPr>
            <w:r>
              <w:t xml:space="preserve">Documents</w:t>
            </w:r>
          </w:p>
        </w:tc>
        <w:tc>
          <w:tcPr/>
          <w:p>
            <w:pPr>
              <w:pStyle w:val="Compact"/>
              <w:jc w:val="left"/>
            </w:pPr>
            <w:r>
              <w:t xml:space="preserve">Index</w:t>
            </w:r>
          </w:p>
        </w:tc>
        <w:tc>
          <w:tcPr/>
          <w:p>
            <w:pPr>
              <w:pStyle w:val="Compact"/>
              <w:jc w:val="right"/>
            </w:pPr>
            <w:r>
              <w:t xml:space="preserve">Hybrid</w:t>
            </w:r>
          </w:p>
        </w:tc>
        <w:tc>
          <w:tcPr/>
          <w:p>
            <w:pPr>
              <w:pStyle w:val="Compact"/>
              <w:jc w:val="right"/>
            </w:pPr>
            <w:r>
              <w:t xml:space="preserve">+ namespace (50%)</w:t>
            </w:r>
          </w:p>
        </w:tc>
        <w:tc>
          <w:tcPr/>
          <w:p>
            <w:pPr>
              <w:pStyle w:val="Compact"/>
              <w:jc w:val="right"/>
            </w:pPr>
            <w:r>
              <w:t xml:space="preserve">+ quantum rerank</w:t>
            </w:r>
          </w:p>
        </w:tc>
      </w:tr>
      <w:tr>
        <w:tc>
          <w:tcPr/>
          <w:p>
            <w:pPr>
              <w:pStyle w:val="Compact"/>
              <w:jc w:val="right"/>
            </w:pPr>
            <w:r>
              <w:t xml:space="preserve">10,000</w:t>
            </w:r>
          </w:p>
        </w:tc>
        <w:tc>
          <w:tcPr/>
          <w:p>
            <w:pPr>
              <w:pStyle w:val="Compact"/>
              <w:jc w:val="left"/>
            </w:pPr>
            <w:r>
              <w:t xml:space="preserve">flat</w:t>
            </w:r>
          </w:p>
        </w:tc>
        <w:tc>
          <w:tcPr/>
          <w:p>
            <w:pPr>
              <w:pStyle w:val="Compact"/>
              <w:jc w:val="right"/>
            </w:pPr>
            <w:r>
              <w:t xml:space="preserve">1.6 / 4.0</w:t>
            </w:r>
          </w:p>
        </w:tc>
        <w:tc>
          <w:tcPr/>
          <w:p>
            <w:pPr>
              <w:pStyle w:val="Compact"/>
              <w:jc w:val="right"/>
            </w:pPr>
            <w:r>
              <w:t xml:space="preserve">2.2 / 3.1</w:t>
            </w:r>
          </w:p>
        </w:tc>
        <w:tc>
          <w:tcPr/>
          <w:p>
            <w:pPr>
              <w:pStyle w:val="Compact"/>
              <w:jc w:val="right"/>
            </w:pPr>
            <w:r>
              <w:t xml:space="preserve">1.8 / 8.4</w:t>
            </w:r>
          </w:p>
        </w:tc>
      </w:tr>
      <w:tr>
        <w:tc>
          <w:tcPr/>
          <w:p>
            <w:pPr>
              <w:pStyle w:val="Compact"/>
              <w:jc w:val="right"/>
            </w:pPr>
            <w:r>
              <w:t xml:space="preserve">100,000</w:t>
            </w:r>
          </w:p>
        </w:tc>
        <w:tc>
          <w:tcPr/>
          <w:p>
            <w:pPr>
              <w:pStyle w:val="Compact"/>
              <w:jc w:val="left"/>
            </w:pPr>
            <w:r>
              <w:t xml:space="preserve">flat</w:t>
            </w:r>
          </w:p>
        </w:tc>
        <w:tc>
          <w:tcPr/>
          <w:p>
            <w:pPr>
              <w:pStyle w:val="Compact"/>
              <w:jc w:val="right"/>
            </w:pPr>
            <w:r>
              <w:t xml:space="preserve">12.5 / 22.8</w:t>
            </w:r>
          </w:p>
        </w:tc>
        <w:tc>
          <w:tcPr/>
          <w:p>
            <w:pPr>
              <w:pStyle w:val="Compact"/>
              <w:jc w:val="right"/>
            </w:pPr>
            <w:r>
              <w:t xml:space="preserve">21.3 / 33.4</w:t>
            </w:r>
          </w:p>
        </w:tc>
        <w:tc>
          <w:tcPr/>
          <w:p>
            <w:pPr>
              <w:pStyle w:val="Compact"/>
              <w:jc w:val="right"/>
            </w:pPr>
            <w:r>
              <w:t xml:space="preserve">13.1 / 25.9</w:t>
            </w:r>
          </w:p>
        </w:tc>
      </w:tr>
      <w:tr>
        <w:tc>
          <w:tcPr/>
          <w:p>
            <w:pPr>
              <w:pStyle w:val="Compact"/>
              <w:jc w:val="right"/>
            </w:pPr>
            <w:r>
              <w:t xml:space="preserve">100,000</w:t>
            </w:r>
          </w:p>
        </w:tc>
        <w:tc>
          <w:tcPr/>
          <w:p>
            <w:pPr>
              <w:pStyle w:val="Compact"/>
              <w:jc w:val="left"/>
            </w:pPr>
            <w:r>
              <w:t xml:space="preserve">HNSW</w:t>
            </w:r>
          </w:p>
        </w:tc>
        <w:tc>
          <w:tcPr/>
          <w:p>
            <w:pPr>
              <w:pStyle w:val="Compact"/>
              <w:jc w:val="right"/>
            </w:pPr>
            <w:r>
              <w:t xml:space="preserve">12.1 / 43.9</w:t>
            </w:r>
          </w:p>
        </w:tc>
        <w:tc>
          <w:tcPr/>
          <w:p>
            <w:pPr>
              <w:pStyle w:val="Compact"/>
              <w:jc w:val="right"/>
            </w:pPr>
            <w:r>
              <w:t xml:space="preserve">22.6 / 76.7</w:t>
            </w:r>
          </w:p>
        </w:tc>
        <w:tc>
          <w:tcPr/>
          <w:p>
            <w:pPr>
              <w:pStyle w:val="Compact"/>
              <w:jc w:val="right"/>
            </w:pPr>
            <w:r>
              <w:t xml:space="preserve">12.4 / 48.6</w:t>
            </w:r>
          </w:p>
        </w:tc>
      </w:tr>
    </w:tbl>
    <w:p>
      <w:pPr>
        <w:pStyle w:val="BodyText"/>
      </w:pPr>
      <w:r>
        <w:t xml:space="preserve">For the memory layer, writing the first 1,000 memories one call at a time ran at 1,697 memories per second, and the next 4,000 at 908 per second. A</w:t>
      </w:r>
      <w:r>
        <w:t xml:space="preserve"> </w:t>
      </w:r>
      <w:r>
        <w:rPr>
          <w:rStyle w:val="VerbatimChar"/>
        </w:rPr>
        <w:t xml:space="preserve">recall()</w:t>
      </w:r>
      <w:r>
        <w:t xml:space="preserve"> </w:t>
      </w:r>
      <w:r>
        <w:t xml:space="preserve">took 1.95 ms with 1,000 memories and 2.49 ms with 5,000, and a full</w:t>
      </w:r>
      <w:r>
        <w:t xml:space="preserve"> </w:t>
      </w:r>
      <w:r>
        <w:rPr>
          <w:rStyle w:val="VerbatimChar"/>
        </w:rPr>
        <w:t xml:space="preserve">context_pack()</w:t>
      </w:r>
      <w:r>
        <w:t xml:space="preserve"> </w:t>
      </w:r>
      <w:r>
        <w:t xml:space="preserve">briefing took 2.12 and 2.68 ms. Memory operations are therefore far below the latency a person or an assistant would notice.</w:t>
      </w:r>
    </w:p>
    <w:bookmarkEnd w:id="52"/>
    <w:bookmarkEnd w:id="53"/>
    <w:bookmarkStart w:id="54" w:name="discussion-and-limitations"/>
    <w:p>
      <w:pPr>
        <w:pStyle w:val="Heading1"/>
      </w:pPr>
      <w:r>
        <w:rPr>
          <w:rStyle w:val="SectionNumber"/>
        </w:rPr>
        <w:t xml:space="preserve">7</w:t>
      </w:r>
      <w:r>
        <w:tab/>
      </w:r>
      <w:r>
        <w:t xml:space="preserve">Discussion and Limitations</w:t>
      </w:r>
    </w:p>
    <w:p>
      <w:pPr>
        <w:pStyle w:val="FirstParagraph"/>
      </w:pPr>
      <w:r>
        <w:rPr>
          <w:bCs/>
          <w:b/>
        </w:rPr>
        <w:t xml:space="preserve">Retrieval quality.</w:t>
      </w:r>
      <w:r>
        <w:t xml:space="preserve"> </w:t>
      </w:r>
      <w:r>
        <w:t xml:space="preserve">This paper measures correctness, recall under constraints and efficiency. It does not report retrieval effectiveness on standard benchmarks such as BEIR</w:t>
      </w:r>
      <w:r>
        <w:t xml:space="preserve"> </w:t>
      </w:r>
      <w:r>
        <w:t xml:space="preserve">[16]</w:t>
      </w:r>
      <w:r>
        <w:t xml:space="preserve">, because effectiveness depends mainly on the embedding model and the fusion weight, not on the storage engine. A systematic comparison of fusion settings and of the consensus oracle against RRF and cross-encoder reranking on BEIR is the most important next step.</w:t>
      </w:r>
    </w:p>
    <w:p>
      <w:pPr>
        <w:pStyle w:val="BodyText"/>
      </w:pPr>
      <w:r>
        <w:rPr>
          <w:bCs/>
          <w:b/>
        </w:rPr>
        <w:t xml:space="preserve">What</w:t>
      </w:r>
      <w:r>
        <w:rPr>
          <w:bCs/>
          <w:b/>
        </w:rPr>
        <w:t xml:space="preserve"> </w:t>
      </w:r>
      <w:r>
        <w:rPr>
          <w:bCs/>
          <w:b/>
        </w:rPr>
        <w:t xml:space="preserve">“</w:t>
      </w:r>
      <w:r>
        <w:rPr>
          <w:bCs/>
          <w:b/>
        </w:rPr>
        <w:t xml:space="preserve">quantum-inspired</w:t>
      </w:r>
      <w:r>
        <w:rPr>
          <w:bCs/>
          <w:b/>
        </w:rPr>
        <w:t xml:space="preserve">”</w:t>
      </w:r>
      <w:r>
        <w:rPr>
          <w:bCs/>
          <w:b/>
        </w:rPr>
        <w:t xml:space="preserve"> </w:t>
      </w:r>
      <w:r>
        <w:rPr>
          <w:bCs/>
          <w:b/>
        </w:rPr>
        <w:t xml:space="preserve">means here.</w:t>
      </w:r>
      <w:r>
        <w:t xml:space="preserve"> </w:t>
      </w:r>
      <w:r>
        <w:t xml:space="preserve">The reranker is a classical algorithm that borrows the algebra of amplitude amplification. It runs on ordinary CPUs, offers no quantum speed-up, and its effect is fully determined by the oracle. Its value is a principled, order-preserving way to move a chosen subset to the top and to shape the score distribution. We believe the analysis in Section 4 is useful precisely because</w:t>
      </w:r>
      <w:r>
        <w:t xml:space="preserve"> </w:t>
      </w:r>
      <w:r>
        <w:t xml:space="preserve">“</w:t>
      </w:r>
      <w:r>
        <w:t xml:space="preserve">Grover-inspired</w:t>
      </w:r>
      <w:r>
        <w:t xml:space="preserve">”</w:t>
      </w:r>
      <w:r>
        <w:t xml:space="preserve"> </w:t>
      </w:r>
      <w:r>
        <w:t xml:space="preserve">components can look plausible while doing nothing, or harm.</w:t>
      </w:r>
    </w:p>
    <w:p>
      <w:pPr>
        <w:pStyle w:val="BodyText"/>
      </w:pPr>
      <w:r>
        <w:rPr>
          <w:bCs/>
          <w:b/>
        </w:rPr>
        <w:t xml:space="preserve">Scale and scope.</w:t>
      </w:r>
      <w:r>
        <w:t xml:space="preserve"> </w:t>
      </w:r>
      <w:r>
        <w:t xml:space="preserve">VecForge targets one machine and up to a few million vectors. It does not shard, replicate or serve concurrent writers from several processes. Snapshots trade disk space for reopen time. The hash embedder used in parts of the evaluation is a lexical feature-hashing model chosen so that the experiments run offline and deterministically; it is not a substitute for a neural embedding model in production.</w:t>
      </w:r>
    </w:p>
    <w:p>
      <w:pPr>
        <w:pStyle w:val="BodyText"/>
      </w:pPr>
      <w:r>
        <w:rPr>
          <w:bCs/>
          <w:b/>
        </w:rPr>
        <w:t xml:space="preserve">Licence.</w:t>
      </w:r>
      <w:r>
        <w:t xml:space="preserve"> </w:t>
      </w:r>
      <w:r>
        <w:t xml:space="preserve">VecForge is distributed under the Business Source License 1.1. The source is public, and personal, research and non-commercial use is free; commercial use requires a licence. It is source-available rather than open source in the OSI sense.</w:t>
      </w:r>
    </w:p>
    <w:bookmarkEnd w:id="54"/>
    <w:bookmarkStart w:id="55" w:name="conclusion"/>
    <w:p>
      <w:pPr>
        <w:pStyle w:val="Heading1"/>
      </w:pPr>
      <w:r>
        <w:rPr>
          <w:rStyle w:val="SectionNumber"/>
        </w:rPr>
        <w:t xml:space="preserve">8</w:t>
      </w:r>
      <w:r>
        <w:tab/>
      </w:r>
      <w:r>
        <w:t xml:space="preserve">Conclusion</w:t>
      </w:r>
    </w:p>
    <w:p>
      <w:pPr>
        <w:pStyle w:val="FirstParagraph"/>
      </w:pPr>
      <w:r>
        <w:t xml:space="preserve">VecForge 2.0 shows that an embedded vector database can offer hybrid retrieval with in-index constraints, encrypted storage that reopens without re-indexing, and a persistent, standards-based memory for AI assistants, all inside a single Python process. In the process, we found and corrected a reranker that applied only half of Grover’s algorithm, proved why that half alone can only preserve or reverse a ranking, and replaced it with an O(N) closed form of the full algorithm that preserves order within the marked and unmarked sets. The system, the experiments and this paper’s data generators are publicly available.</w:t>
      </w:r>
    </w:p>
    <w:bookmarkEnd w:id="55"/>
    <w:bookmarkStart w:id="58" w:name="availability"/>
    <w:p>
      <w:pPr>
        <w:pStyle w:val="Heading1"/>
      </w:pPr>
      <w:r>
        <w:rPr>
          <w:rStyle w:val="SectionNumber"/>
        </w:rPr>
        <w:t xml:space="preserve">9</w:t>
      </w:r>
      <w:r>
        <w:tab/>
      </w:r>
      <w:r>
        <w:t xml:space="preserve">Availability</w:t>
      </w:r>
    </w:p>
    <w:p>
      <w:pPr>
        <w:numPr>
          <w:ilvl w:val="0"/>
          <w:numId w:val="1002"/>
        </w:numPr>
        <w:pStyle w:val="Compact"/>
      </w:pPr>
      <w:r>
        <w:t xml:space="preserve">Install:</w:t>
      </w:r>
      <w:r>
        <w:t xml:space="preserve"> </w:t>
      </w:r>
      <w:r>
        <w:rPr>
          <w:rStyle w:val="VerbatimChar"/>
        </w:rPr>
        <w:t xml:space="preserve">pip install vecforge</w:t>
      </w:r>
      <w:r>
        <w:t xml:space="preserve"> </w:t>
      </w:r>
      <w:r>
        <w:t xml:space="preserve">(version 2.0.0), or</w:t>
      </w:r>
      <w:r>
        <w:t xml:space="preserve"> </w:t>
      </w:r>
      <w:r>
        <w:rPr>
          <w:rStyle w:val="VerbatimChar"/>
        </w:rPr>
        <w:t xml:space="preserve">pip install "vecforge[mcp]"</w:t>
      </w:r>
      <w:r>
        <w:t xml:space="preserve"> </w:t>
      </w:r>
      <w:r>
        <w:t xml:space="preserve">for the MCP server.</w:t>
      </w:r>
    </w:p>
    <w:p>
      <w:pPr>
        <w:numPr>
          <w:ilvl w:val="0"/>
          <w:numId w:val="1002"/>
        </w:numPr>
        <w:pStyle w:val="Compact"/>
      </w:pPr>
      <w:r>
        <w:t xml:space="preserve">Source, documentation and experiments:</w:t>
      </w:r>
      <w:r>
        <w:t xml:space="preserve"> </w:t>
      </w:r>
      <w:hyperlink r:id="rId56">
        <w:r>
          <w:rPr>
            <w:rStyle w:val="Hyperlink"/>
          </w:rPr>
          <w:t xml:space="preserve">https://github.com/bosekarmegam/vecforge</w:t>
        </w:r>
      </w:hyperlink>
      <w:r>
        <w:t xml:space="preserve"> </w:t>
      </w:r>
      <w:r>
        <w:t xml:space="preserve">(experiments in</w:t>
      </w:r>
      <w:r>
        <w:t xml:space="preserve"> </w:t>
      </w:r>
      <w:r>
        <w:rPr>
          <w:rStyle w:val="VerbatimChar"/>
        </w:rPr>
        <w:t xml:space="preserve">paper/experiments/</w:t>
      </w:r>
      <w:r>
        <w:t xml:space="preserve">).</w:t>
      </w:r>
    </w:p>
    <w:p>
      <w:pPr>
        <w:numPr>
          <w:ilvl w:val="0"/>
          <w:numId w:val="1002"/>
        </w:numPr>
        <w:pStyle w:val="Compact"/>
      </w:pPr>
      <w:r>
        <w:t xml:space="preserve">Documentation website:</w:t>
      </w:r>
      <w:r>
        <w:t xml:space="preserve"> </w:t>
      </w:r>
      <w:hyperlink r:id="rId57">
        <w:r>
          <w:rPr>
            <w:rStyle w:val="Hyperlink"/>
          </w:rPr>
          <w:t xml:space="preserve">https://bosekarmegam.github.io/vecforge/</w:t>
        </w:r>
      </w:hyperlink>
      <w:r>
        <w:t xml:space="preserve">.</w:t>
      </w:r>
    </w:p>
    <w:bookmarkEnd w:id="58"/>
    <w:bookmarkStart w:id="100" w:name="references"/>
    <w:p>
      <w:pPr>
        <w:pStyle w:val="Heading1"/>
      </w:pPr>
      <w:r>
        <w:t xml:space="preserve">References</w:t>
      </w:r>
    </w:p>
    <w:bookmarkStart w:id="99" w:name="refs"/>
    <w:bookmarkStart w:id="59" w:name="ref-lewis2020rag"/>
    <w:p>
      <w:pPr>
        <w:pStyle w:val="Bibliography"/>
      </w:pPr>
      <w:r>
        <w:t xml:space="preserve">[1]</w:t>
      </w:r>
      <w:r>
        <w:t xml:space="preserve"> </w:t>
      </w:r>
      <w:r>
        <w:t xml:space="preserve">	</w:t>
      </w:r>
      <w:r>
        <w:t xml:space="preserve">P. Lewis et al.,</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33 (NeurIPS 2020)</w:t>
      </w:r>
      <w:r>
        <w:t xml:space="preserve">, pp. 9459–9474, 2020.</w:t>
      </w:r>
    </w:p>
    <w:bookmarkEnd w:id="59"/>
    <w:bookmarkStart w:id="61" w:name="ref-pinecone"/>
    <w:p>
      <w:pPr>
        <w:pStyle w:val="Bibliography"/>
      </w:pPr>
      <w:r>
        <w:t xml:space="preserve">[2]</w:t>
      </w:r>
      <w:r>
        <w:t xml:space="preserve"> </w:t>
      </w:r>
      <w:r>
        <w:t xml:space="preserve">	</w:t>
      </w:r>
      <w:r>
        <w:t xml:space="preserve">Pinecone Systems, Inc.,</w:t>
      </w:r>
      <w:r>
        <w:t xml:space="preserve"> </w:t>
      </w:r>
      <w:r>
        <w:t xml:space="preserve">“Pinecone: The vector database,”</w:t>
      </w:r>
      <w:r>
        <w:t xml:space="preserve"> </w:t>
      </w:r>
      <w:hyperlink r:id="rId60">
        <w:r>
          <w:rPr>
            <w:rStyle w:val="Hyperlink"/>
          </w:rPr>
          <w:t xml:space="preserve">https://www.pinecone.io</w:t>
        </w:r>
      </w:hyperlink>
      <w:r>
        <w:t xml:space="preserve">, 2026, Accessed October 2026.</w:t>
      </w:r>
    </w:p>
    <w:bookmarkEnd w:id="61"/>
    <w:bookmarkStart w:id="63" w:name="ref-wang2021milvus"/>
    <w:p>
      <w:pPr>
        <w:pStyle w:val="Bibliography"/>
      </w:pPr>
      <w:r>
        <w:t xml:space="preserve">[3]</w:t>
      </w:r>
      <w:r>
        <w:t xml:space="preserve"> </w:t>
      </w:r>
      <w:r>
        <w:t xml:space="preserve">	</w:t>
      </w:r>
      <w:r>
        <w:t xml:space="preserve">J. Wang et al.,</w:t>
      </w:r>
      <w:r>
        <w:t xml:space="preserve"> </w:t>
      </w:r>
      <w:r>
        <w:t xml:space="preserve">“Milvus: A purpose-built vector data management system,”</w:t>
      </w:r>
      <w:r>
        <w:t xml:space="preserve"> </w:t>
      </w:r>
      <w:r>
        <w:t xml:space="preserve">in</w:t>
      </w:r>
      <w:r>
        <w:t xml:space="preserve"> </w:t>
      </w:r>
      <w:r>
        <w:rPr>
          <w:iCs/>
          <w:i/>
        </w:rPr>
        <w:t xml:space="preserve">Proceedings of the 2021 International Conference on Management of Data (SIGMOD ’21)</w:t>
      </w:r>
      <w:r>
        <w:t xml:space="preserve">, pp. 2614–2627, 2021, doi:</w:t>
      </w:r>
      <w:r>
        <w:t xml:space="preserve"> </w:t>
      </w:r>
      <w:hyperlink r:id="rId62">
        <w:r>
          <w:rPr>
            <w:rStyle w:val="Hyperlink"/>
          </w:rPr>
          <w:t xml:space="preserve">10.1145/3448016.3457550</w:t>
        </w:r>
      </w:hyperlink>
      <w:r>
        <w:t xml:space="preserve">.</w:t>
      </w:r>
    </w:p>
    <w:bookmarkEnd w:id="63"/>
    <w:bookmarkStart w:id="65" w:name="ref-mcp2024"/>
    <w:p>
      <w:pPr>
        <w:pStyle w:val="Bibliography"/>
      </w:pPr>
      <w:r>
        <w:t xml:space="preserve">[4]</w:t>
      </w:r>
      <w:r>
        <w:t xml:space="preserve"> </w:t>
      </w:r>
      <w:r>
        <w:t xml:space="preserve">	</w:t>
      </w:r>
      <w:r>
        <w:t xml:space="preserve">Anthropic,</w:t>
      </w:r>
      <w:r>
        <w:t xml:space="preserve"> </w:t>
      </w:r>
      <w:r>
        <w:t xml:space="preserve">“Model context protocol specification,”</w:t>
      </w:r>
      <w:r>
        <w:t xml:space="preserve"> </w:t>
      </w:r>
      <w:hyperlink r:id="rId64">
        <w:r>
          <w:rPr>
            <w:rStyle w:val="Hyperlink"/>
          </w:rPr>
          <w:t xml:space="preserve">https://modelcontextprotocol.io</w:t>
        </w:r>
      </w:hyperlink>
      <w:r>
        <w:t xml:space="preserve">, 2024, Accessed October 2026.</w:t>
      </w:r>
    </w:p>
    <w:bookmarkEnd w:id="65"/>
    <w:bookmarkStart w:id="67" w:name="ref-park2023generative"/>
    <w:p>
      <w:pPr>
        <w:pStyle w:val="Bibliography"/>
      </w:pPr>
      <w:r>
        <w:t xml:space="preserve">[5]</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 ACM Symposium on User Interface Software and Technology (UIST ’23)</w:t>
      </w:r>
      <w:r>
        <w:t xml:space="preserve">, 2023, doi:</w:t>
      </w:r>
      <w:r>
        <w:t xml:space="preserve"> </w:t>
      </w:r>
      <w:hyperlink r:id="rId66">
        <w:r>
          <w:rPr>
            <w:rStyle w:val="Hyperlink"/>
          </w:rPr>
          <w:t xml:space="preserve">10.1145/3586183.3606763</w:t>
        </w:r>
      </w:hyperlink>
      <w:r>
        <w:t xml:space="preserve">.</w:t>
      </w:r>
    </w:p>
    <w:bookmarkEnd w:id="67"/>
    <w:bookmarkStart w:id="68" w:name="ref-packer2023memgpt"/>
    <w:p>
      <w:pPr>
        <w:pStyle w:val="Bibliography"/>
      </w:pPr>
      <w:r>
        <w:t xml:space="preserve">[6]</w:t>
      </w:r>
      <w:r>
        <w:t xml:space="preserve"> </w:t>
      </w:r>
      <w:r>
        <w:t xml:space="preserve">	</w:t>
      </w:r>
      <w:r>
        <w:t xml:space="preserve">C. Packer et al.,</w:t>
      </w:r>
      <w:r>
        <w:t xml:space="preserve"> </w:t>
      </w:r>
      <w:r>
        <w:t xml:space="preserve">“</w:t>
      </w:r>
      <w:r>
        <w:t xml:space="preserve">MemGPT</w:t>
      </w:r>
      <w:r>
        <w:t xml:space="preserve">: Towards</w:t>
      </w:r>
      <w:r>
        <w:t xml:space="preserve"> </w:t>
      </w:r>
      <w:r>
        <w:t xml:space="preserve">LLMs</w:t>
      </w:r>
      <w:r>
        <w:t xml:space="preserve"> </w:t>
      </w:r>
      <w:r>
        <w:t xml:space="preserve">as operating systems,”</w:t>
      </w:r>
      <w:r>
        <w:t xml:space="preserve"> </w:t>
      </w:r>
      <w:r>
        <w:t xml:space="preserve">arXiv:2310.08560, 2023.</w:t>
      </w:r>
    </w:p>
    <w:bookmarkEnd w:id="68"/>
    <w:bookmarkStart w:id="70" w:name="ref-kleppmann2019localfirst"/>
    <w:p>
      <w:pPr>
        <w:pStyle w:val="Bibliography"/>
      </w:pPr>
      <w:r>
        <w:t xml:space="preserve">[7]</w:t>
      </w:r>
      <w:r>
        <w:t xml:space="preserve"> </w:t>
      </w:r>
      <w:r>
        <w:t xml:space="preserve">	</w:t>
      </w:r>
      <w:r>
        <w:t xml:space="preserve">M. Kleppmann, A. Wiggins, P. van Hardenberg, and M. McGranaghan,</w:t>
      </w:r>
      <w:r>
        <w:t xml:space="preserve"> </w:t>
      </w:r>
      <w:r>
        <w:t xml:space="preserve">“Local-first software: You own your data, in spite of the cloud,”</w:t>
      </w:r>
      <w:r>
        <w:t xml:space="preserve"> </w:t>
      </w:r>
      <w:r>
        <w:t xml:space="preserve">in</w:t>
      </w:r>
      <w:r>
        <w:t xml:space="preserve"> </w:t>
      </w:r>
      <w:r>
        <w:rPr>
          <w:iCs/>
          <w:i/>
        </w:rPr>
        <w:t xml:space="preserve">Proceedings of the 2019 ACM SIGPLAN International Symposium on New Ideas, New Paradigms, and Reflections on Programming and Software (Onward! 2019)</w:t>
      </w:r>
      <w:r>
        <w:t xml:space="preserve">, pp. 154–178, 2019, doi:</w:t>
      </w:r>
      <w:r>
        <w:t xml:space="preserve"> </w:t>
      </w:r>
      <w:hyperlink r:id="rId69">
        <w:r>
          <w:rPr>
            <w:rStyle w:val="Hyperlink"/>
          </w:rPr>
          <w:t xml:space="preserve">10.1145/3359591.3359737</w:t>
        </w:r>
      </w:hyperlink>
      <w:r>
        <w:t xml:space="preserve">.</w:t>
      </w:r>
    </w:p>
    <w:bookmarkEnd w:id="70"/>
    <w:bookmarkStart w:id="72" w:name="ref-johnson2019faiss"/>
    <w:p>
      <w:pPr>
        <w:pStyle w:val="Bibliography"/>
      </w:pPr>
      <w:r>
        <w:t xml:space="preserve">[8]</w:t>
      </w:r>
      <w:r>
        <w:t xml:space="preserve"> </w:t>
      </w:r>
      <w:r>
        <w:t xml:space="preserve">	</w:t>
      </w:r>
      <w:r>
        <w:t xml:space="preserve">J. Johnson, M. Douze, and H. Jégou,</w:t>
      </w:r>
      <w:r>
        <w:t xml:space="preserve"> </w:t>
      </w:r>
      <w:r>
        <w:t xml:space="preserve">“Billion-scale similarity search with</w:t>
      </w:r>
      <w:r>
        <w:t xml:space="preserve"> </w:t>
      </w:r>
      <w:r>
        <w:t xml:space="preserve">GPUs</w:t>
      </w:r>
      <w:r>
        <w:t xml:space="preserve">,”</w:t>
      </w:r>
      <w:r>
        <w:t xml:space="preserve"> </w:t>
      </w:r>
      <w:r>
        <w:rPr>
          <w:iCs/>
          <w:i/>
        </w:rPr>
        <w:t xml:space="preserve">IEEE Transactions on Big Data</w:t>
      </w:r>
      <w:r>
        <w:t xml:space="preserve">, vol. 7, no. 3, pp. 535–547, 2021, doi:</w:t>
      </w:r>
      <w:r>
        <w:t xml:space="preserve"> </w:t>
      </w:r>
      <w:hyperlink r:id="rId71">
        <w:r>
          <w:rPr>
            <w:rStyle w:val="Hyperlink"/>
          </w:rPr>
          <w:t xml:space="preserve">10.1109/TBDATA.2019.2921572</w:t>
        </w:r>
      </w:hyperlink>
      <w:r>
        <w:t xml:space="preserve">.</w:t>
      </w:r>
    </w:p>
    <w:bookmarkEnd w:id="72"/>
    <w:bookmarkStart w:id="73" w:name="ref-douze2024faiss"/>
    <w:p>
      <w:pPr>
        <w:pStyle w:val="Bibliography"/>
      </w:pPr>
      <w:r>
        <w:t xml:space="preserve">[9]</w:t>
      </w:r>
      <w:r>
        <w:t xml:space="preserve"> </w:t>
      </w:r>
      <w:r>
        <w:t xml:space="preserve">	</w:t>
      </w:r>
      <w:r>
        <w:t xml:space="preserve">M. Douze et al.,</w:t>
      </w:r>
      <w:r>
        <w:t xml:space="preserve"> </w:t>
      </w:r>
      <w:r>
        <w:t xml:space="preserve">“The</w:t>
      </w:r>
      <w:r>
        <w:t xml:space="preserve"> </w:t>
      </w:r>
      <w:r>
        <w:t xml:space="preserve">Faiss</w:t>
      </w:r>
      <w:r>
        <w:t xml:space="preserve"> </w:t>
      </w:r>
      <w:r>
        <w:t xml:space="preserve">library,”</w:t>
      </w:r>
      <w:r>
        <w:t xml:space="preserve"> </w:t>
      </w:r>
      <w:r>
        <w:t xml:space="preserve">arXiv:2401.08281, 2024.</w:t>
      </w:r>
    </w:p>
    <w:bookmarkEnd w:id="73"/>
    <w:bookmarkStart w:id="75" w:name="ref-robertson2009bm25"/>
    <w:p>
      <w:pPr>
        <w:pStyle w:val="Bibliography"/>
      </w:pPr>
      <w:r>
        <w:t xml:space="preserve">[10]</w:t>
      </w:r>
      <w:r>
        <w:t xml:space="preserve"> </w:t>
      </w:r>
      <w:r>
        <w:t xml:space="preserve">	</w:t>
      </w:r>
      <w:r>
        <w:t xml:space="preserve">S. Robertson and H. Zaragoza,</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vol. 3, no. 4, pp. 333–389, 2009, doi:</w:t>
      </w:r>
      <w:r>
        <w:t xml:space="preserve"> </w:t>
      </w:r>
      <w:hyperlink r:id="rId74">
        <w:r>
          <w:rPr>
            <w:rStyle w:val="Hyperlink"/>
          </w:rPr>
          <w:t xml:space="preserve">10.1561/1500000019</w:t>
        </w:r>
      </w:hyperlink>
      <w:r>
        <w:t xml:space="preserve">.</w:t>
      </w:r>
    </w:p>
    <w:bookmarkEnd w:id="75"/>
    <w:bookmarkStart w:id="77" w:name="ref-sqlcipher"/>
    <w:p>
      <w:pPr>
        <w:pStyle w:val="Bibliography"/>
      </w:pPr>
      <w:r>
        <w:t xml:space="preserve">[11]</w:t>
      </w:r>
      <w:r>
        <w:t xml:space="preserve"> </w:t>
      </w:r>
      <w:r>
        <w:t xml:space="preserve">	</w:t>
      </w:r>
      <w:r>
        <w:t xml:space="preserve">Zetetic LLC,</w:t>
      </w:r>
      <w:r>
        <w:t xml:space="preserve"> </w:t>
      </w:r>
      <w:r>
        <w:t xml:space="preserve">“</w:t>
      </w:r>
      <w:r>
        <w:t xml:space="preserve">SQLCipher</w:t>
      </w:r>
      <w:r>
        <w:t xml:space="preserve">: Full database encryption for</w:t>
      </w:r>
      <w:r>
        <w:t xml:space="preserve"> </w:t>
      </w:r>
      <w:r>
        <w:t xml:space="preserve">SQLite</w:t>
      </w:r>
      <w:r>
        <w:t xml:space="preserve">,”</w:t>
      </w:r>
      <w:r>
        <w:t xml:space="preserve"> </w:t>
      </w:r>
      <w:hyperlink r:id="rId76">
        <w:r>
          <w:rPr>
            <w:rStyle w:val="Hyperlink"/>
          </w:rPr>
          <w:t xml:space="preserve">https://www.zetetic.net/sqlcipher/</w:t>
        </w:r>
      </w:hyperlink>
      <w:r>
        <w:t xml:space="preserve">, 2026, Accessed October 2026.</w:t>
      </w:r>
    </w:p>
    <w:bookmarkEnd w:id="77"/>
    <w:bookmarkStart w:id="79" w:name="ref-grover1996"/>
    <w:p>
      <w:pPr>
        <w:pStyle w:val="Bibliography"/>
      </w:pPr>
      <w:r>
        <w:t xml:space="preserve">[12]</w:t>
      </w:r>
      <w:r>
        <w:t xml:space="preserve"> </w:t>
      </w:r>
      <w:r>
        <w:t xml:space="preserve">	</w:t>
      </w:r>
      <w:r>
        <w:t xml:space="preserve">L. K. Grover,</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 ACM Symposium on Theory of Computing (STOC ’96)</w:t>
      </w:r>
      <w:r>
        <w:t xml:space="preserve">, pp. 212–219, 1996, doi:</w:t>
      </w:r>
      <w:r>
        <w:t xml:space="preserve"> </w:t>
      </w:r>
      <w:hyperlink r:id="rId78">
        <w:r>
          <w:rPr>
            <w:rStyle w:val="Hyperlink"/>
          </w:rPr>
          <w:t xml:space="preserve">10.1145/237814.237866</w:t>
        </w:r>
      </w:hyperlink>
      <w:r>
        <w:t xml:space="preserve">.</w:t>
      </w:r>
    </w:p>
    <w:bookmarkEnd w:id="79"/>
    <w:bookmarkStart w:id="81" w:name="ref-malkov2020hnsw"/>
    <w:p>
      <w:pPr>
        <w:pStyle w:val="Bibliography"/>
      </w:pPr>
      <w:r>
        <w:t xml:space="preserve">[13]</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vol. 42, no. 4, pp. 824–836, 2020, doi:</w:t>
      </w:r>
      <w:r>
        <w:t xml:space="preserve"> </w:t>
      </w:r>
      <w:hyperlink r:id="rId80">
        <w:r>
          <w:rPr>
            <w:rStyle w:val="Hyperlink"/>
          </w:rPr>
          <w:t xml:space="preserve">10.1109/TPAMI.2018.2889473</w:t>
        </w:r>
      </w:hyperlink>
      <w:r>
        <w:t xml:space="preserve">.</w:t>
      </w:r>
    </w:p>
    <w:bookmarkEnd w:id="81"/>
    <w:bookmarkStart w:id="83" w:name="ref-brassard2002amplitude"/>
    <w:p>
      <w:pPr>
        <w:pStyle w:val="Bibliography"/>
      </w:pPr>
      <w:r>
        <w:t xml:space="preserve">[14]</w:t>
      </w:r>
      <w:r>
        <w:t xml:space="preserve"> </w:t>
      </w:r>
      <w:r>
        <w:t xml:space="preserve">	</w:t>
      </w:r>
      <w:r>
        <w:t xml:space="preserve">G. Brassard, P. Høyer, M. Mosca, and A. Tapp,</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Contemporary mathematics, vol. 305, pp. 53–74, 2002, doi:</w:t>
      </w:r>
      <w:r>
        <w:t xml:space="preserve"> </w:t>
      </w:r>
      <w:hyperlink r:id="rId82">
        <w:r>
          <w:rPr>
            <w:rStyle w:val="Hyperlink"/>
          </w:rPr>
          <w:t xml:space="preserve">10.1090/conm/305/05215</w:t>
        </w:r>
      </w:hyperlink>
      <w:r>
        <w:t xml:space="preserve">.</w:t>
      </w:r>
    </w:p>
    <w:bookmarkEnd w:id="83"/>
    <w:bookmarkStart w:id="85" w:name="ref-jegou2011pq"/>
    <w:p>
      <w:pPr>
        <w:pStyle w:val="Bibliography"/>
      </w:pPr>
      <w:r>
        <w:t xml:space="preserve">[15]</w:t>
      </w:r>
      <w:r>
        <w:t xml:space="preserve"> </w:t>
      </w:r>
      <w:r>
        <w:t xml:space="preserve">	</w:t>
      </w:r>
      <w:r>
        <w:t xml:space="preserve">H. Jégou, M. Douze, and C. Schmid,</w:t>
      </w:r>
      <w:r>
        <w:t xml:space="preserve"> </w:t>
      </w:r>
      <w:r>
        <w:t xml:space="preserve">“Product quantization for nearest neighbor search,”</w:t>
      </w:r>
      <w:r>
        <w:t xml:space="preserve"> </w:t>
      </w:r>
      <w:r>
        <w:rPr>
          <w:iCs/>
          <w:i/>
        </w:rPr>
        <w:t xml:space="preserve">IEEE Transactions on Pattern Analysis and Machine Intelligence</w:t>
      </w:r>
      <w:r>
        <w:t xml:space="preserve">, vol. 33, no. 1, pp. 117–128, 2011, doi:</w:t>
      </w:r>
      <w:r>
        <w:t xml:space="preserve"> </w:t>
      </w:r>
      <w:hyperlink r:id="rId84">
        <w:r>
          <w:rPr>
            <w:rStyle w:val="Hyperlink"/>
          </w:rPr>
          <w:t xml:space="preserve">10.1109/TPAMI.2010.57</w:t>
        </w:r>
      </w:hyperlink>
      <w:r>
        <w:t xml:space="preserve">.</w:t>
      </w:r>
    </w:p>
    <w:bookmarkEnd w:id="85"/>
    <w:bookmarkStart w:id="86" w:name="ref-thakur2021beir"/>
    <w:p>
      <w:pPr>
        <w:pStyle w:val="Bibliography"/>
      </w:pPr>
      <w:r>
        <w:t xml:space="preserve">[16]</w:t>
      </w:r>
      <w:r>
        <w:t xml:space="preserve"> </w:t>
      </w:r>
      <w:r>
        <w:t xml:space="preserve">	</w:t>
      </w:r>
      <w:r>
        <w:t xml:space="preserve">N. Thakur, N. Reimers, A. Rücklé, A. Srivastava, and I. Gurevych,</w:t>
      </w:r>
      <w:r>
        <w:t xml:space="preserve"> </w:t>
      </w:r>
      <w:r>
        <w:t xml:space="preserve">“</w:t>
      </w:r>
      <w:r>
        <w:t xml:space="preserve">BEIR</w:t>
      </w:r>
      <w:r>
        <w:t xml:space="preserve">: A heterogeneous benchmark for zero-shot evaluation of information retrieval models,”</w:t>
      </w:r>
      <w:r>
        <w:t xml:space="preserve"> </w:t>
      </w:r>
      <w:r>
        <w:t xml:space="preserve">in</w:t>
      </w:r>
      <w:r>
        <w:t xml:space="preserve"> </w:t>
      </w:r>
      <w:r>
        <w:rPr>
          <w:iCs/>
          <w:i/>
        </w:rPr>
        <w:t xml:space="preserve">Proceedings of the Neural Information Processing Systems Track on Datasets and Benchmarks</w:t>
      </w:r>
      <w:r>
        <w:t xml:space="preserve">, 2021.</w:t>
      </w:r>
    </w:p>
    <w:bookmarkEnd w:id="86"/>
    <w:bookmarkStart w:id="88" w:name="ref-cormack2009rrf"/>
    <w:p>
      <w:pPr>
        <w:pStyle w:val="Bibliography"/>
      </w:pPr>
      <w:r>
        <w:t xml:space="preserve">[17]</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w:t>
      </w:r>
      <w:r>
        <w:t xml:space="preserve">in</w:t>
      </w:r>
      <w:r>
        <w:t xml:space="preserve"> </w:t>
      </w:r>
      <w:r>
        <w:rPr>
          <w:iCs/>
          <w:i/>
        </w:rPr>
        <w:t xml:space="preserve">Proceedings of the 32nd International ACM SIGIR Conference on Research and Development in Information Retrieval</w:t>
      </w:r>
      <w:r>
        <w:t xml:space="preserve">, pp. 758–759, 2009, doi:</w:t>
      </w:r>
      <w:r>
        <w:t xml:space="preserve"> </w:t>
      </w:r>
      <w:hyperlink r:id="rId87">
        <w:r>
          <w:rPr>
            <w:rStyle w:val="Hyperlink"/>
          </w:rPr>
          <w:t xml:space="preserve">10.1145/1571941.1572114</w:t>
        </w:r>
      </w:hyperlink>
      <w:r>
        <w:t xml:space="preserve">.</w:t>
      </w:r>
    </w:p>
    <w:bookmarkEnd w:id="88"/>
    <w:bookmarkStart w:id="90" w:name="ref-bruch2023fusion"/>
    <w:p>
      <w:pPr>
        <w:pStyle w:val="Bibliography"/>
      </w:pPr>
      <w:r>
        <w:t xml:space="preserve">[18]</w:t>
      </w:r>
      <w:r>
        <w:t xml:space="preserve"> </w:t>
      </w:r>
      <w:r>
        <w:t xml:space="preserve">	</w:t>
      </w:r>
      <w:r>
        <w:t xml:space="preserve">S. Bruch, S. Gai, and A. Ingber,</w:t>
      </w:r>
      <w:r>
        <w:t xml:space="preserve"> </w:t>
      </w:r>
      <w:r>
        <w:t xml:space="preserve">“An analysis of fusion functions for hybrid retrieval,”</w:t>
      </w:r>
      <w:r>
        <w:t xml:space="preserve"> </w:t>
      </w:r>
      <w:r>
        <w:rPr>
          <w:iCs/>
          <w:i/>
        </w:rPr>
        <w:t xml:space="preserve">ACM Transactions on Information Systems</w:t>
      </w:r>
      <w:r>
        <w:t xml:space="preserve">, vol. 42, no. 1, 2023, doi:</w:t>
      </w:r>
      <w:r>
        <w:t xml:space="preserve"> </w:t>
      </w:r>
      <w:hyperlink r:id="rId89">
        <w:r>
          <w:rPr>
            <w:rStyle w:val="Hyperlink"/>
          </w:rPr>
          <w:t xml:space="preserve">10.1145/3596512</w:t>
        </w:r>
      </w:hyperlink>
      <w:r>
        <w:t xml:space="preserve">.</w:t>
      </w:r>
    </w:p>
    <w:bookmarkEnd w:id="90"/>
    <w:bookmarkStart w:id="91" w:name="ref-nogueira2019passage"/>
    <w:p>
      <w:pPr>
        <w:pStyle w:val="Bibliography"/>
      </w:pPr>
      <w:r>
        <w:t xml:space="preserve">[19]</w:t>
      </w:r>
      <w:r>
        <w:t xml:space="preserve"> </w:t>
      </w:r>
      <w:r>
        <w:t xml:space="preserve">	</w:t>
      </w:r>
      <w:r>
        <w:t xml:space="preserve">R. Nogueira and K. Cho,</w:t>
      </w:r>
      <w:r>
        <w:t xml:space="preserve"> </w:t>
      </w:r>
      <w:r>
        <w:t xml:space="preserve">“Passage re-ranking with</w:t>
      </w:r>
      <w:r>
        <w:t xml:space="preserve"> </w:t>
      </w:r>
      <w:r>
        <w:t xml:space="preserve">BERT</w:t>
      </w:r>
      <w:r>
        <w:t xml:space="preserve">,”</w:t>
      </w:r>
      <w:r>
        <w:t xml:space="preserve"> </w:t>
      </w:r>
      <w:r>
        <w:t xml:space="preserve">arXiv:1901.04085, 2019.</w:t>
      </w:r>
    </w:p>
    <w:bookmarkEnd w:id="91"/>
    <w:bookmarkStart w:id="93" w:name="ref-reimers2019sbert"/>
    <w:p>
      <w:pPr>
        <w:pStyle w:val="Bibliography"/>
      </w:pPr>
      <w:r>
        <w:t xml:space="preserve">[20]</w:t>
      </w:r>
      <w:r>
        <w:t xml:space="preserve"> </w:t>
      </w:r>
      <w:r>
        <w:t xml:space="preserve">	</w:t>
      </w:r>
      <w:r>
        <w:t xml:space="preserve">N. Reimers and I. Gurevych,</w:t>
      </w:r>
      <w:r>
        <w:t xml:space="preserve"> </w:t>
      </w:r>
      <w:r>
        <w:t xml:space="preserve">“Sentence-</w:t>
      </w:r>
      <w:r>
        <w:t xml:space="preserve">BERT</w:t>
      </w:r>
      <w:r>
        <w:t xml:space="preserve">: Sentence embeddings using</w:t>
      </w:r>
      <w:r>
        <w:t xml:space="preserve"> </w:t>
      </w:r>
      <w:r>
        <w:t xml:space="preserve">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pp. 3982–3992, 2019, doi:</w:t>
      </w:r>
      <w:r>
        <w:t xml:space="preserve"> </w:t>
      </w:r>
      <w:hyperlink r:id="rId92">
        <w:r>
          <w:rPr>
            <w:rStyle w:val="Hyperlink"/>
          </w:rPr>
          <w:t xml:space="preserve">10.18653/v1/D19-1410</w:t>
        </w:r>
      </w:hyperlink>
      <w:r>
        <w:t xml:space="preserve">.</w:t>
      </w:r>
    </w:p>
    <w:bookmarkEnd w:id="93"/>
    <w:bookmarkStart w:id="94" w:name="ref-wang2020minilm"/>
    <w:p>
      <w:pPr>
        <w:pStyle w:val="Bibliography"/>
      </w:pPr>
      <w:r>
        <w:t xml:space="preserve">[21]</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t xml:space="preserve">in</w:t>
      </w:r>
      <w:r>
        <w:t xml:space="preserve"> </w:t>
      </w:r>
      <w:r>
        <w:rPr>
          <w:iCs/>
          <w:i/>
        </w:rPr>
        <w:t xml:space="preserve">Advances in Neural Information Processing Systems 33 (NeurIPS 2020)</w:t>
      </w:r>
      <w:r>
        <w:t xml:space="preserve">, 2020.</w:t>
      </w:r>
    </w:p>
    <w:bookmarkEnd w:id="94"/>
    <w:bookmarkStart w:id="96" w:name="ref-tang2019quantuminspired"/>
    <w:p>
      <w:pPr>
        <w:pStyle w:val="Bibliography"/>
      </w:pPr>
      <w:r>
        <w:t xml:space="preserve">[22]</w:t>
      </w:r>
      <w:r>
        <w:t xml:space="preserve"> </w:t>
      </w:r>
      <w:r>
        <w:t xml:space="preserve">	</w:t>
      </w:r>
      <w:r>
        <w:t xml:space="preserve">E. Tang,</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 ACM SIGACT Symposium on Theory of Computing (STOC 2019)</w:t>
      </w:r>
      <w:r>
        <w:t xml:space="preserve">, pp. 217–228, 2019, doi:</w:t>
      </w:r>
      <w:r>
        <w:t xml:space="preserve"> </w:t>
      </w:r>
      <w:hyperlink r:id="rId95">
        <w:r>
          <w:rPr>
            <w:rStyle w:val="Hyperlink"/>
          </w:rPr>
          <w:t xml:space="preserve">10.1145/3313276.3316310</w:t>
        </w:r>
      </w:hyperlink>
      <w:r>
        <w:t xml:space="preserve">.</w:t>
      </w:r>
    </w:p>
    <w:bookmarkEnd w:id="96"/>
    <w:bookmarkStart w:id="98" w:name="ref-kendall1938"/>
    <w:p>
      <w:pPr>
        <w:pStyle w:val="Bibliography"/>
      </w:pPr>
      <w:r>
        <w:t xml:space="preserve">[23]</w:t>
      </w:r>
      <w:r>
        <w:t xml:space="preserve"> </w:t>
      </w:r>
      <w:r>
        <w:t xml:space="preserve">	</w:t>
      </w:r>
      <w:r>
        <w:t xml:space="preserve">M. G. Kendall,</w:t>
      </w:r>
      <w:r>
        <w:t xml:space="preserve"> </w:t>
      </w:r>
      <w:r>
        <w:t xml:space="preserve">“A new measure of rank correlation,”</w:t>
      </w:r>
      <w:r>
        <w:t xml:space="preserve"> </w:t>
      </w:r>
      <w:r>
        <w:rPr>
          <w:iCs/>
          <w:i/>
        </w:rPr>
        <w:t xml:space="preserve">Biometrika</w:t>
      </w:r>
      <w:r>
        <w:t xml:space="preserve">, vol. 30, no. 1/2, pp. 81–93, 1938, doi:</w:t>
      </w:r>
      <w:r>
        <w:t xml:space="preserve"> </w:t>
      </w:r>
      <w:hyperlink r:id="rId97">
        <w:r>
          <w:rPr>
            <w:rStyle w:val="Hyperlink"/>
          </w:rPr>
          <w:t xml:space="preserve">10.2307/2332226</w:t>
        </w:r>
      </w:hyperlink>
      <w:r>
        <w:t xml:space="preserve">.</w:t>
      </w:r>
    </w:p>
    <w:bookmarkEnd w:id="98"/>
    <w:bookmarkEnd w:id="99"/>
    <w:bookmarkEnd w:id="100"/>
    <w:sectPr>
      <w:pgSz w:h="16838" w:w="11906"/>
      <w:pgMar w:bottom="1304" w:left="1247" w:right="1247" w:top="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cs="Times New Roman" w:eastAsia="Times New Roman" w:hAnsi="Times New Roman"/>
      <w:color w:val="111111"/>
      <w:sz w:val="22"/>
    </w:rPr>
  </w:style>
  <w:style w:styleId="BodyText" w:type="paragraph">
    <w:name w:val="Body Text"/>
    <w:basedOn w:val="Normal"/>
    <w:link w:val="BodyTextChar"/>
    <w:pPr>
      <w:spacing w:after="100" w:before="0"/>
      <w:jc w:val="both"/>
    </w:pPr>
    <w:qFormat/>
    <w:rPr>
      <w:rFonts w:ascii="Times New Roman" w:cs="Times New Roman" w:eastAsia="Times New Roman" w:hAnsi="Times New Roman"/>
      <w:color w:val="111111"/>
      <w:sz w:val="22"/>
    </w:rPr>
  </w:style>
  <w:style w:customStyle="1" w:styleId="FirstParagraph" w:type="paragraph">
    <w:name w:val="First Paragraph"/>
    <w:basedOn w:val="BodyText"/>
    <w:next w:val="BodyText"/>
    <w:qFormat/>
    <w:pPr>
      <w:spacing w:after="100" w:before="0"/>
      <w:jc w:val="both"/>
    </w:pPr>
    <w:rPr>
      <w:rFonts w:ascii="Times New Roman" w:cs="Times New Roman" w:eastAsia="Times New Roman" w:hAnsi="Times New Roman"/>
      <w:color w:val="111111"/>
      <w:sz w:val="22"/>
    </w:rPr>
  </w:style>
  <w:style w:customStyle="1" w:styleId="Compact" w:type="paragraph">
    <w:name w:val="Compact"/>
    <w:basedOn w:val="BodyText"/>
    <w:qFormat/>
    <w:pPr>
      <w:spacing w:after="40" w:before="0"/>
      <w:jc w:val="left"/>
    </w:pPr>
    <w:rPr>
      <w:rFonts w:ascii="Times New Roman" w:cs="Times New Roman" w:eastAsia="Times New Roman" w:hAnsi="Times New Roman"/>
      <w:color w:val="111111"/>
      <w:sz w:val="22"/>
    </w:rPr>
  </w:style>
  <w:style w:styleId="Title" w:type="paragraph">
    <w:name w:val="Title"/>
    <w:basedOn w:val="Normal"/>
    <w:next w:val="BodyText"/>
    <w:qFormat/>
    <w:pPr>
      <w:keepNext/>
      <w:keepLines/>
      <w:spacing w:after="160" w:before="0"/>
      <w:jc w:val="center"/>
    </w:pPr>
    <w:rPr>
      <w:rFonts w:ascii="Times New Roman" w:cs="Times New Roman" w:eastAsia="Times New Roman" w:hAnsi="Times New Roman"/>
      <w:b/>
      <w:bCs/>
      <w:color w:val="111111"/>
      <w:sz w:val="34"/>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111111"/>
      <w:sz w:val="24"/>
      <w:szCs w:val="30"/>
    </w:rPr>
  </w:style>
  <w:style w:customStyle="1" w:styleId="Author" w:type="paragraph">
    <w:name w:val="Author"/>
    <w:next w:val="BodyText"/>
    <w:qFormat/>
    <w:pPr>
      <w:keepNext/>
      <w:keepLines/>
      <w:spacing w:after="40" w:before="40"/>
      <w:jc w:val="center"/>
    </w:pPr>
    <w:rPr>
      <w:rFonts w:ascii="Times New Roman" w:cs="Times New Roman" w:eastAsia="Times New Roman" w:hAnsi="Times New Roman"/>
      <w:b/>
      <w:color w:val="111111"/>
      <w:sz w:val="24"/>
    </w:rPr>
  </w:style>
  <w:style w:styleId="Date" w:type="paragraph">
    <w:name w:val="Date"/>
    <w:next w:val="BodyText"/>
    <w:qFormat/>
    <w:pPr>
      <w:keepNext/>
      <w:keepLines/>
      <w:spacing w:after="200" w:before="0"/>
      <w:jc w:val="center"/>
    </w:pPr>
    <w:rPr>
      <w:rFonts w:ascii="Times New Roman" w:cs="Times New Roman" w:eastAsia="Times New Roman" w:hAnsi="Times New Roman"/>
      <w:i/>
      <w:color w:val="111111"/>
      <w:sz w:val="20"/>
    </w:rPr>
  </w:style>
  <w:style w:customStyle="1" w:styleId="AbstractTitle" w:type="paragraph">
    <w:name w:val="Abstract Title"/>
    <w:basedOn w:val="Normal"/>
    <w:next w:val="Abstract"/>
    <w:qFormat/>
    <w:pPr>
      <w:keepNext/>
      <w:keepLines/>
      <w:jc w:val="center"/>
      <w:spacing w:after="0" w:before="300"/>
    </w:pPr>
    <w:rPr>
      <w:color w:val="111111"/>
      <w:sz w:val="21"/>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80"/>
      <w:jc w:val="both"/>
    </w:pPr>
    <w:rPr>
      <w:rFonts w:ascii="Times New Roman" w:cs="Times New Roman" w:eastAsia="Times New Roman" w:hAnsi="Times New Roman"/>
      <w:color w:val="111111"/>
      <w:sz w:val="20"/>
      <w:szCs w:val="20"/>
    </w:rPr>
  </w:style>
  <w:style w:styleId="Bibliography" w:type="paragraph">
    <w:name w:val="Bibliography"/>
    <w:basedOn w:val="Normal"/>
    <w:next w:val="Bibliography"/>
    <w:qFormat/>
    <w:pPr>
      <w:spacing w:after="40"/>
      <w:jc w:val="left"/>
    </w:pPr>
    <w:rPr>
      <w:rFonts w:ascii="Times New Roman" w:cs="Times New Roman" w:eastAsia="Times New Roman" w:hAnsi="Times New Roman"/>
      <w:color w:val="111111"/>
      <w:sz w:val="19"/>
    </w:rPr>
  </w:style>
  <w:style w:styleId="Heading1" w:type="paragraph">
    <w:name w:val="Heading 1"/>
    <w:basedOn w:val="Normal"/>
    <w:next w:val="BodyText"/>
    <w:uiPriority w:val="9"/>
    <w:qFormat/>
    <w:pPr>
      <w:keepNext/>
      <w:keepLines/>
      <w:spacing w:after="80" w:before="240"/>
      <w:jc w:val="left"/>
      <w:outlineLvl w:val="0"/>
    </w:pPr>
    <w:rPr>
      <w:rFonts w:ascii="Times New Roman" w:cs="Times New Roman" w:eastAsia="Times New Roman" w:hAnsi="Times New Roman"/>
      <w:b/>
      <w:bCs/>
      <w:i w:val="0"/>
      <w:color w:val="111111"/>
      <w:sz w:val="26"/>
      <w:szCs w:val="32"/>
    </w:rPr>
  </w:style>
  <w:style w:styleId="Heading2" w:type="paragraph">
    <w:name w:val="Heading 2"/>
    <w:basedOn w:val="Normal"/>
    <w:next w:val="BodyText"/>
    <w:uiPriority w:val="9"/>
    <w:unhideWhenUsed/>
    <w:qFormat/>
    <w:pPr>
      <w:keepNext/>
      <w:keepLines/>
      <w:spacing w:after="80" w:before="160"/>
      <w:jc w:val="left"/>
      <w:outlineLvl w:val="1"/>
    </w:pPr>
    <w:rPr>
      <w:rFonts w:ascii="Times New Roman" w:cs="Times New Roman" w:eastAsia="Times New Roman" w:hAnsi="Times New Roman"/>
      <w:b/>
      <w:bCs/>
      <w:i w:val="0"/>
      <w:color w:val="111111"/>
      <w:sz w:val="23"/>
      <w:szCs w:val="28"/>
    </w:rPr>
  </w:style>
  <w:style w:styleId="Heading3" w:type="paragraph">
    <w:name w:val="Heading 3"/>
    <w:basedOn w:val="Normal"/>
    <w:next w:val="BodyText"/>
    <w:uiPriority w:val="9"/>
    <w:unhideWhenUsed/>
    <w:qFormat/>
    <w:pPr>
      <w:keepNext/>
      <w:keepLines/>
      <w:spacing w:after="80" w:before="160"/>
      <w:jc w:val="left"/>
      <w:outlineLvl w:val="2"/>
    </w:pPr>
    <w:rPr>
      <w:rFonts w:ascii="Times New Roman" w:cs="Times New Roman" w:eastAsia="Times New Roman" w:hAnsi="Times New Roman"/>
      <w:b/>
      <w:bCs/>
      <w:i/>
      <w:color w:val="111111"/>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120"/>
      <w:jc w:val="left"/>
    </w:pPr>
    <w:rPr>
      <w:rFonts w:ascii="Times New Roman" w:cs="Times New Roman" w:eastAsia="Times New Roman" w:hAnsi="Times New Roman"/>
      <w:color w:val="111111"/>
      <w:sz w:val="19"/>
    </w:rPr>
  </w:style>
  <w:style w:customStyle="1" w:styleId="ImageCaption" w:type="paragraph">
    <w:name w:val="Image Caption"/>
    <w:basedOn w:val="Caption"/>
    <w:pPr>
      <w:spacing w:after="160" w:before="40"/>
      <w:jc w:val="both"/>
    </w:pPr>
    <w:rPr>
      <w:rFonts w:ascii="Times New Roman" w:cs="Times New Roman" w:eastAsia="Times New Roman" w:hAnsi="Times New Roman"/>
      <w:color w:val="111111"/>
      <w:sz w:val="19"/>
    </w:rPr>
  </w:style>
  <w:style w:customStyle="1" w:styleId="Figure" w:type="paragraph">
    <w:name w:val="Figure"/>
    <w:basedOn w:val="Normal"/>
    <w:pPr>
      <w:jc w:val="center"/>
    </w:pPr>
    <w:rPr>
      <w:rFonts w:ascii="Times New Roman" w:cs="Times New Roman" w:eastAsia="Times New Roman" w:hAnsi="Times New Roman"/>
      <w:color w:val="111111"/>
      <w:sz w:val="20"/>
    </w:rPr>
  </w:style>
  <w:style w:customStyle="1" w:styleId="CaptionedFigure" w:type="paragraph">
    <w:name w:val="Captioned Figure"/>
    <w:basedOn w:val="Figure"/>
    <w:pPr>
      <w:keepNext/>
      <w:jc w:val="center"/>
    </w:pPr>
    <w:rPr>
      <w:rFonts w:ascii="Times New Roman" w:cs="Times New Roman" w:eastAsia="Times New Roman" w:hAnsi="Times New Roman"/>
      <w:color w:val="111111"/>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7" Target="https://bosekarmegam.github.io/vecforge/" TargetMode="External" /><Relationship Type="http://schemas.openxmlformats.org/officeDocument/2006/relationships/hyperlink" Id="rId82" Target="https://doi.org/10.1090/conm/305/05215" TargetMode="External" /><Relationship Type="http://schemas.openxmlformats.org/officeDocument/2006/relationships/hyperlink" Id="rId71" Target="https://doi.org/10.1109/TBDATA.2019.2921572" TargetMode="External" /><Relationship Type="http://schemas.openxmlformats.org/officeDocument/2006/relationships/hyperlink" Id="rId84" Target="https://doi.org/10.1109/TPAMI.2010.57" TargetMode="External" /><Relationship Type="http://schemas.openxmlformats.org/officeDocument/2006/relationships/hyperlink" Id="rId80" Target="https://doi.org/10.1109/TPAMI.2018.2889473" TargetMode="External" /><Relationship Type="http://schemas.openxmlformats.org/officeDocument/2006/relationships/hyperlink" Id="rId87" Target="https://doi.org/10.1145/1571941.1572114" TargetMode="External" /><Relationship Type="http://schemas.openxmlformats.org/officeDocument/2006/relationships/hyperlink" Id="rId78" Target="https://doi.org/10.1145/237814.237866" TargetMode="External" /><Relationship Type="http://schemas.openxmlformats.org/officeDocument/2006/relationships/hyperlink" Id="rId95" Target="https://doi.org/10.1145/3313276.3316310" TargetMode="External" /><Relationship Type="http://schemas.openxmlformats.org/officeDocument/2006/relationships/hyperlink" Id="rId69" Target="https://doi.org/10.1145/3359591.3359737" TargetMode="External" /><Relationship Type="http://schemas.openxmlformats.org/officeDocument/2006/relationships/hyperlink" Id="rId62" Target="https://doi.org/10.1145/3448016.3457550" TargetMode="External" /><Relationship Type="http://schemas.openxmlformats.org/officeDocument/2006/relationships/hyperlink" Id="rId66" Target="https://doi.org/10.1145/3586183.3606763" TargetMode="External" /><Relationship Type="http://schemas.openxmlformats.org/officeDocument/2006/relationships/hyperlink" Id="rId89" Target="https://doi.org/10.1145/3596512" TargetMode="External" /><Relationship Type="http://schemas.openxmlformats.org/officeDocument/2006/relationships/hyperlink" Id="rId74" Target="https://doi.org/10.1561/1500000019" TargetMode="External" /><Relationship Type="http://schemas.openxmlformats.org/officeDocument/2006/relationships/hyperlink" Id="rId92" Target="https://doi.org/10.18653/v1/D19-1410" TargetMode="External" /><Relationship Type="http://schemas.openxmlformats.org/officeDocument/2006/relationships/hyperlink" Id="rId97" Target="https://doi.org/10.2307/2332226" TargetMode="External" /><Relationship Type="http://schemas.openxmlformats.org/officeDocument/2006/relationships/hyperlink" Id="rId56" Target="https://github.com/bosekarmegam/vecforge" TargetMode="External" /><Relationship Type="http://schemas.openxmlformats.org/officeDocument/2006/relationships/hyperlink" Id="rId64" Target="https://modelcontextprotocol.io" TargetMode="External" /><Relationship Type="http://schemas.openxmlformats.org/officeDocument/2006/relationships/hyperlink" Id="rId60" Target="https://www.pinecone.io" TargetMode="External" /><Relationship Type="http://schemas.openxmlformats.org/officeDocument/2006/relationships/hyperlink" Id="rId76" Target="https://www.zetetic.net/sqlcipher/" TargetMode="External" /></Relationships>
</file>

<file path=word/_rels/footnotes.xml.rels><?xml version="1.0" encoding="UTF-8"?><Relationships xmlns="http://schemas.openxmlformats.org/package/2006/relationships"><Relationship Type="http://schemas.openxmlformats.org/officeDocument/2006/relationships/hyperlink" Id="rId57" Target="https://bosekarmegam.github.io/vecforge/" TargetMode="External" /><Relationship Type="http://schemas.openxmlformats.org/officeDocument/2006/relationships/hyperlink" Id="rId82" Target="https://doi.org/10.1090/conm/305/05215" TargetMode="External" /><Relationship Type="http://schemas.openxmlformats.org/officeDocument/2006/relationships/hyperlink" Id="rId71" Target="https://doi.org/10.1109/TBDATA.2019.2921572" TargetMode="External" /><Relationship Type="http://schemas.openxmlformats.org/officeDocument/2006/relationships/hyperlink" Id="rId84" Target="https://doi.org/10.1109/TPAMI.2010.57" TargetMode="External" /><Relationship Type="http://schemas.openxmlformats.org/officeDocument/2006/relationships/hyperlink" Id="rId80" Target="https://doi.org/10.1109/TPAMI.2018.2889473" TargetMode="External" /><Relationship Type="http://schemas.openxmlformats.org/officeDocument/2006/relationships/hyperlink" Id="rId87" Target="https://doi.org/10.1145/1571941.1572114" TargetMode="External" /><Relationship Type="http://schemas.openxmlformats.org/officeDocument/2006/relationships/hyperlink" Id="rId78" Target="https://doi.org/10.1145/237814.237866" TargetMode="External" /><Relationship Type="http://schemas.openxmlformats.org/officeDocument/2006/relationships/hyperlink" Id="rId95" Target="https://doi.org/10.1145/3313276.3316310" TargetMode="External" /><Relationship Type="http://schemas.openxmlformats.org/officeDocument/2006/relationships/hyperlink" Id="rId69" Target="https://doi.org/10.1145/3359591.3359737" TargetMode="External" /><Relationship Type="http://schemas.openxmlformats.org/officeDocument/2006/relationships/hyperlink" Id="rId62" Target="https://doi.org/10.1145/3448016.3457550" TargetMode="External" /><Relationship Type="http://schemas.openxmlformats.org/officeDocument/2006/relationships/hyperlink" Id="rId66" Target="https://doi.org/10.1145/3586183.3606763" TargetMode="External" /><Relationship Type="http://schemas.openxmlformats.org/officeDocument/2006/relationships/hyperlink" Id="rId89" Target="https://doi.org/10.1145/3596512" TargetMode="External" /><Relationship Type="http://schemas.openxmlformats.org/officeDocument/2006/relationships/hyperlink" Id="rId74" Target="https://doi.org/10.1561/1500000019" TargetMode="External" /><Relationship Type="http://schemas.openxmlformats.org/officeDocument/2006/relationships/hyperlink" Id="rId92" Target="https://doi.org/10.18653/v1/D19-1410" TargetMode="External" /><Relationship Type="http://schemas.openxmlformats.org/officeDocument/2006/relationships/hyperlink" Id="rId97" Target="https://doi.org/10.2307/2332226" TargetMode="External" /><Relationship Type="http://schemas.openxmlformats.org/officeDocument/2006/relationships/hyperlink" Id="rId56" Target="https://github.com/bosekarmegam/vecforge" TargetMode="External" /><Relationship Type="http://schemas.openxmlformats.org/officeDocument/2006/relationships/hyperlink" Id="rId64" Target="https://modelcontextprotocol.io" TargetMode="External" /><Relationship Type="http://schemas.openxmlformats.org/officeDocument/2006/relationships/hyperlink" Id="rId60" Target="https://www.pinecone.io" TargetMode="External" /><Relationship Type="http://schemas.openxmlformats.org/officeDocument/2006/relationships/hyperlink" Id="rId76" Target="https://www.zetetic.net/sqlciph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VecForge: A Local-First Hybrid Vector Database with Persistent Agent Memory and a Corrected Grover-Inspired Reranker</dc:title>
  <dc:creator>Suneel Bose K</dc:creator>
  <cp:keywords/>
  <dcterms:created xsi:type="dcterms:W3CDTF">2026-10-17T12:54:39Z</dcterms:created>
  <dcterms:modified xsi:type="dcterms:W3CDTF">2026-10-17T12:54:39Z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applications and AI assistants increasingly need a vector store that runs inside the user’s own process, keeps data encrypted on disk, combines semantic and keyword retrieval, and remembers information across conversations. We present VecForge 2.0, an embedded Python vector database built around four ideas. First, a hybrid retriever fuses FAISS dense search with an incremental inverted-index BM25, and applies namespace and deletion constraints inside the vector index rather than after it. Second, index snapshots stored inside the encrypted SQLite vault, validated by a generation counter, let a database reopen without rebuilding its indexes. Third, a persistent memory layer exposed over the Model Context Protocol (MCP) gives assistants such as Claude long-term, per-agent memory ranked by relevance, importance and recency. Fourth, a quantum-inspired reranker based on Grover amplitude amplification. We show analytically and empirically that the reranker in the previous release applied only the diffusion half of Grover’s algorithm, which is an involution: it reversed the ranking for 50.2% of candidate-list sizes and left it unchanged for the rest. VecForge 2.0 implements oracle and diffusion together in closed form in O(N) time, provably preserves order within the marked and unmarked sets, and reranks a million candidates in about 2 ms at the median. We evaluate each component on commodity hardware against the 1.x code as a baseline, report where the new design helps and where it does not, and release the system, experiments and data generators for reproduction.</vt:lpwstr>
  </property>
  <property fmtid="{D5CDD505-2E9C-101B-9397-08002B2CF9AE}" pid="3" name="affiliation">
    <vt:lpwstr>ArcGX TechLabs Private Limited, Tiruchirappalli, Tamil Nadu, India</vt:lpwstr>
  </property>
  <property fmtid="{D5CDD505-2E9C-101B-9397-08002B2CF9AE}" pid="4" name="bibliography">
    <vt:lpwstr>/home/user/vecforge/paper/references.bib</vt:lpwstr>
  </property>
  <property fmtid="{D5CDD505-2E9C-101B-9397-08002B2CF9AE}" pid="5" name="csl">
    <vt:lpwstr>/home/user/vecforge/paper/ieee-numeric.csl</vt:lpwstr>
  </property>
  <property fmtid="{D5CDD505-2E9C-101B-9397-08002B2CF9AE}" pid="6" name="date">
    <vt:lpwstr>ArcGX TechLabs Private Limited, Tiruchirappalli, Tamil Nadu, India · suneelbose@arcgx.in · October 2026</vt:lpwstr>
  </property>
  <property fmtid="{D5CDD505-2E9C-101B-9397-08002B2CF9AE}" pid="7" name="email">
    <vt:lpwstr>suneelbose@arcgx.in</vt:lpwstr>
  </property>
  <property fmtid="{D5CDD505-2E9C-101B-9397-08002B2CF9AE}" pid="8" name="version">
    <vt:lpwstr>Preprint v1 · VecForge 2.0.0</vt:lpwstr>
  </property>
</Properties>
</file>