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840"/>
          <w:sz w:val="56"/>
          <w:szCs w:val="56"/>
        </w:rPr>
        <w:t xml:space="preserve">Curo</w:t>
      </w:r>
    </w:p>
    <w:p>
      <w:pPr>
        <w:spacing w:after="300"/>
      </w:pPr>
      <w:r>
        <w:rPr>
          <w:color w:val="4C586C"/>
          <w:sz w:val="26"/>
          <w:szCs w:val="26"/>
        </w:rPr>
        <w:t xml:space="preserve">Deployment Handover — push to GitHub and host on a server</w:t>
      </w:r>
    </w:p>
    <w:p>
      <w:pPr>
        <w:spacing w:after="160" w:line="276"/>
      </w:pPr>
      <w:r>
        <w:rPr>
          <w:sz w:val="21"/>
          <w:szCs w:val="21"/>
        </w:rPr>
        <w:t xml:space="preserve">This document is self-contained: hand it to any assistant or engineer who has never seen this codebase, together with access to the GitHub repository, and it is sufficient to get the app hosted. Every fact below was </w:t>
      </w:r>
      <w:r>
        <w:rPr>
          <w:b/>
          <w:bCs/>
          <w:sz w:val="21"/>
          <w:szCs w:val="21"/>
        </w:rPr>
        <w:t xml:space="preserve">verified against the actual code and git history</w:t>
      </w:r>
      <w:r>
        <w:rPr>
          <w:sz w:val="21"/>
          <w:szCs w:val="21"/>
        </w:rPr>
        <w:t xml:space="preserve"> on 2026-08-31, not assumed.</w:t>
      </w:r>
    </w:p>
    <w:p>
      <w:pPr>
        <w:spacing w:after="160" w:line="276"/>
      </w:pPr>
      <w:r>
        <w:rPr>
          <w:b/>
          <w:bCs/>
          <w:sz w:val="21"/>
          <w:szCs w:val="21"/>
        </w:rPr>
        <w:t xml:space="preserve">Repository: </w:t>
      </w:r>
      <w:r>
        <w:rPr>
          <w:rFonts w:ascii="Consolas" w:cs="Consolas" w:eastAsia="Consolas" w:hAnsi="Consolas"/>
          <w:sz w:val="19"/>
          <w:szCs w:val="19"/>
          <w:shd w:fill="F3F4F6" w:val="clear"/>
        </w:rPr>
        <w:t xml:space="preserve">https://github.com/boseraison-alt/endoai-rag</w:t>
      </w:r>
    </w:p>
    <w:p>
      <w:pPr>
        <w:pStyle w:val="Heading1"/>
        <w:spacing w:after="140" w:before="320"/>
      </w:pPr>
      <w:r>
        <w:rPr>
          <w:b/>
          <w:bCs/>
          <w:color w:val="1E2840"/>
          <w:sz w:val="30"/>
          <w:szCs w:val="30"/>
        </w:rPr>
        <w:t xml:space="preserve">1. What this is</w:t>
      </w:r>
    </w:p>
    <w:p>
      <w:pPr>
        <w:spacing w:after="160" w:line="276"/>
      </w:pPr>
      <w:r>
        <w:rPr>
          <w:sz w:val="21"/>
          <w:szCs w:val="21"/>
        </w:rPr>
        <w:t xml:space="preserve">Curo (repo name endo-ai-rag) is a clinical endodontics evidence assistant: a Flask web app that takes a clinical question, retrieves papers from a local pgvector library and/or live PubMed, scores and tiers them by study design, has Claude synthesize an answer that cites only retrieved papers, and validates every citation against the abstracts before showing it. One HTML page, JSON endpoints, background worker threads, polling for progress.</w:t>
      </w:r>
    </w:p>
    <w:p>
      <w:pPr>
        <w:spacing w:after="160" w:line="276"/>
      </w:pPr>
      <w:r>
        <w:rPr>
          <w:b/>
          <w:bCs/>
          <w:sz w:val="21"/>
          <w:szCs w:val="21"/>
        </w:rPr>
        <w:t xml:space="preserve">Stack: </w:t>
      </w:r>
      <w:r>
        <w:rPr>
          <w:sz w:val="21"/>
          <w:szCs w:val="21"/>
        </w:rPr>
        <w:t xml:space="preserve">Python / Flask 3.1 · Neon Postgres + pgvector (cloud-hosted) · Anthropic API (Opus/Sonnet/Haiku) · NCBI E-utilities · sentence-transformers (all-MiniLM-L6-v2, runs locally on CPU) · single-page UI in </w:t>
      </w:r>
      <w:r>
        <w:rPr>
          <w:rFonts w:ascii="Consolas" w:cs="Consolas" w:eastAsia="Consolas" w:hAnsi="Consolas"/>
          <w:sz w:val="19"/>
          <w:szCs w:val="19"/>
          <w:shd w:fill="F3F4F6" w:val="clear"/>
        </w:rPr>
        <w:t xml:space="preserve">templates/index.html</w:t>
      </w:r>
    </w:p>
    <w:p>
      <w:pPr>
        <w:pStyle w:val="Heading1"/>
        <w:spacing w:after="140" w:before="320"/>
      </w:pPr>
      <w:r>
        <w:rPr>
          <w:b/>
          <w:bCs/>
          <w:color w:val="1E2840"/>
          <w:sz w:val="30"/>
          <w:szCs w:val="30"/>
        </w:rPr>
        <w:t xml:space="preserve">2. Current state — what is already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CF2" w:val="clear"/>
            <w:tcMar>
              <w:top w:type="dxa" w:w="80"/>
              <w:left w:type="dxa" w:w="120"/>
              <w:bottom w:type="dxa" w:w="80"/>
              <w:right w:type="dxa" w:w="120"/>
            </w:tcMar>
          </w:tcPr>
          <w:p>
            <w:pPr>
              <w:spacing w:after="0" w:line="252"/>
            </w:pPr>
            <w:r>
              <w:rPr>
                <w:b/>
                <w:bCs/>
                <w:sz w:val="21"/>
                <w:szCs w:val="21"/>
              </w:rPr>
              <w:t xml:space="preserve">Item</w:t>
            </w:r>
          </w:p>
        </w:tc>
        <w:tc>
          <w:tcPr>
            <w:tcW w:type="dxa" w:w="7160"/>
            <w:shd w:fill="E8ECF2" w:val="clear"/>
            <w:tcMar>
              <w:top w:type="dxa" w:w="80"/>
              <w:left w:type="dxa" w:w="120"/>
              <w:bottom w:type="dxa" w:w="80"/>
              <w:right w:type="dxa" w:w="120"/>
            </w:tcMar>
          </w:tcPr>
          <w:p>
            <w:pPr>
              <w:spacing w:after="0" w:line="252"/>
            </w:pPr>
            <w:r>
              <w:rPr>
                <w:b/>
                <w:bCs/>
                <w:sz w:val="21"/>
                <w:szCs w:val="21"/>
              </w:rPr>
              <w:t xml:space="preserve">State</w:t>
            </w:r>
          </w:p>
        </w:tc>
      </w:tr>
      <w:tr>
        <w:tc>
          <w:tcPr>
            <w:tcW w:type="dxa" w:w="2200"/>
            <w:tcMar>
              <w:top w:type="dxa" w:w="80"/>
              <w:left w:type="dxa" w:w="120"/>
              <w:bottom w:type="dxa" w:w="80"/>
              <w:right w:type="dxa" w:w="120"/>
            </w:tcMar>
          </w:tcPr>
          <w:p>
            <w:pPr>
              <w:spacing w:after="0" w:line="252"/>
            </w:pPr>
            <w:r>
              <w:rPr>
                <w:sz w:val="21"/>
                <w:szCs w:val="21"/>
              </w:rPr>
              <w:t xml:space="preserve">GitHub repo</w:t>
            </w:r>
          </w:p>
        </w:tc>
        <w:tc>
          <w:tcPr>
            <w:tcW w:type="dxa" w:w="7160"/>
            <w:tcMar>
              <w:top w:type="dxa" w:w="80"/>
              <w:left w:type="dxa" w:w="120"/>
              <w:bottom w:type="dxa" w:w="80"/>
              <w:right w:type="dxa" w:w="120"/>
            </w:tcMar>
          </w:tcPr>
          <w:p>
            <w:pPr>
              <w:spacing w:after="0" w:line="252"/>
            </w:pPr>
            <w:r>
              <w:rPr>
                <w:sz w:val="21"/>
                <w:szCs w:val="21"/>
              </w:rPr>
              <w:t xml:space="preserve">main is pushed and up to date; tags mvp-demo and mvp-demo-2 pushed.</w:t>
            </w:r>
          </w:p>
        </w:tc>
      </w:tr>
      <w:tr>
        <w:tc>
          <w:tcPr>
            <w:tcW w:type="dxa" w:w="2200"/>
            <w:tcMar>
              <w:top w:type="dxa" w:w="80"/>
              <w:left w:type="dxa" w:w="120"/>
              <w:bottom w:type="dxa" w:w="80"/>
              <w:right w:type="dxa" w:w="120"/>
            </w:tcMar>
          </w:tcPr>
          <w:p>
            <w:pPr>
              <w:spacing w:after="0" w:line="252"/>
            </w:pPr>
            <w:r>
              <w:rPr>
                <w:sz w:val="21"/>
                <w:szCs w:val="21"/>
              </w:rPr>
              <w:t xml:space="preserve">Secrets hygiene</w:t>
            </w:r>
          </w:p>
        </w:tc>
        <w:tc>
          <w:tcPr>
            <w:tcW w:type="dxa" w:w="7160"/>
            <w:tcMar>
              <w:top w:type="dxa" w:w="80"/>
              <w:left w:type="dxa" w:w="120"/>
              <w:bottom w:type="dxa" w:w="80"/>
              <w:right w:type="dxa" w:w="120"/>
            </w:tcMar>
          </w:tcPr>
          <w:p>
            <w:pPr>
              <w:spacing w:after="0" w:line="252"/>
            </w:pPr>
            <w:r>
              <w:rPr>
                <w:sz w:val="21"/>
                <w:szCs w:val="21"/>
              </w:rPr>
              <w:t xml:space="preserve">Verified: .env was never committed in any revision; full-history scans for API-key and connection-string patterns are clean; .gitignore blocks .env*, logs, generated media and runtime data.</w:t>
            </w:r>
          </w:p>
        </w:tc>
      </w:tr>
      <w:tr>
        <w:tc>
          <w:tcPr>
            <w:tcW w:type="dxa" w:w="2200"/>
            <w:tcMar>
              <w:top w:type="dxa" w:w="80"/>
              <w:left w:type="dxa" w:w="120"/>
              <w:bottom w:type="dxa" w:w="80"/>
              <w:right w:type="dxa" w:w="120"/>
            </w:tcMar>
          </w:tcPr>
          <w:p>
            <w:pPr>
              <w:spacing w:after="0" w:line="252"/>
            </w:pPr>
            <w:r>
              <w:rPr>
                <w:sz w:val="21"/>
                <w:szCs w:val="21"/>
              </w:rPr>
              <w:t xml:space="preserve">Env templates</w:t>
            </w:r>
          </w:p>
        </w:tc>
        <w:tc>
          <w:tcPr>
            <w:tcW w:type="dxa" w:w="7160"/>
            <w:tcMar>
              <w:top w:type="dxa" w:w="80"/>
              <w:left w:type="dxa" w:w="120"/>
              <w:bottom w:type="dxa" w:w="80"/>
              <w:right w:type="dxa" w:w="120"/>
            </w:tcMar>
          </w:tcPr>
          <w:p>
            <w:pPr>
              <w:spacing w:after="0" w:line="252"/>
            </w:pPr>
            <w:r>
              <w:rPr>
                <w:sz w:val="21"/>
                <w:szCs w:val="21"/>
              </w:rPr>
              <w:t xml:space="preserve">.env.example / .env.template are tracked and contain placeholders only.</w:t>
            </w:r>
          </w:p>
        </w:tc>
      </w:tr>
      <w:tr>
        <w:tc>
          <w:tcPr>
            <w:tcW w:type="dxa" w:w="2200"/>
            <w:tcMar>
              <w:top w:type="dxa" w:w="80"/>
              <w:left w:type="dxa" w:w="120"/>
              <w:bottom w:type="dxa" w:w="80"/>
              <w:right w:type="dxa" w:w="120"/>
            </w:tcMar>
          </w:tcPr>
          <w:p>
            <w:pPr>
              <w:spacing w:after="0" w:line="252"/>
            </w:pPr>
            <w:r>
              <w:rPr>
                <w:sz w:val="21"/>
                <w:szCs w:val="21"/>
              </w:rPr>
              <w:t xml:space="preserve">Database</w:t>
            </w:r>
          </w:p>
        </w:tc>
        <w:tc>
          <w:tcPr>
            <w:tcW w:type="dxa" w:w="7160"/>
            <w:tcMar>
              <w:top w:type="dxa" w:w="80"/>
              <w:left w:type="dxa" w:w="120"/>
              <w:bottom w:type="dxa" w:w="80"/>
              <w:right w:type="dxa" w:w="120"/>
            </w:tcMar>
          </w:tcPr>
          <w:p>
            <w:pPr>
              <w:spacing w:after="0" w:line="252"/>
            </w:pPr>
            <w:r>
              <w:rPr>
                <w:sz w:val="21"/>
                <w:szCs w:val="21"/>
              </w:rPr>
              <w:t xml:space="preserve">Already hosted on Neon (serverless Postgres with pgvector): ~2,400 papers with embeddings, plus caches. Nothing to migrate — a server only needs DATABASE_URL.</w:t>
            </w:r>
          </w:p>
        </w:tc>
      </w:tr>
      <w:tr>
        <w:tc>
          <w:tcPr>
            <w:tcW w:type="dxa" w:w="2200"/>
            <w:tcMar>
              <w:top w:type="dxa" w:w="80"/>
              <w:left w:type="dxa" w:w="120"/>
              <w:bottom w:type="dxa" w:w="80"/>
              <w:right w:type="dxa" w:w="120"/>
            </w:tcMar>
          </w:tcPr>
          <w:p>
            <w:pPr>
              <w:spacing w:after="0" w:line="252"/>
            </w:pPr>
            <w:r>
              <w:rPr>
                <w:sz w:val="21"/>
                <w:szCs w:val="21"/>
              </w:rPr>
              <w:t xml:space="preserve">Tests</w:t>
            </w:r>
          </w:p>
        </w:tc>
        <w:tc>
          <w:tcPr>
            <w:tcW w:type="dxa" w:w="7160"/>
            <w:tcMar>
              <w:top w:type="dxa" w:w="80"/>
              <w:left w:type="dxa" w:w="120"/>
              <w:bottom w:type="dxa" w:w="80"/>
              <w:right w:type="dxa" w:w="120"/>
            </w:tcMar>
          </w:tcPr>
          <w:p>
            <w:pPr>
              <w:spacing w:after="0" w:line="252"/>
            </w:pPr>
            <w:r>
              <w:rPr>
                <w:sz w:val="21"/>
                <w:szCs w:val="21"/>
              </w:rPr>
              <w:t xml:space="preserve">600+ pass locally (python -m pytest -q); network-dependent tests are opt-in via RUN_NETWORK_TESTS=1.</w:t>
            </w:r>
          </w:p>
        </w:tc>
      </w:tr>
    </w:tbl>
    <w:p>
      <w:pPr>
        <w:spacing w:after="160" w:line="276"/>
      </w:pPr>
      <w:r>
        <w:rPr>
          <w:sz w:val="21"/>
          <w:szCs w:val="21"/>
        </w:rPr>
        <w:t xml:space="preserve"/>
      </w:r>
    </w:p>
    <w:p>
      <w:pPr>
        <w:pStyle w:val="Heading1"/>
        <w:spacing w:after="140" w:before="320"/>
      </w:pPr>
      <w:r>
        <w:rPr>
          <w:b/>
          <w:bCs/>
          <w:color w:val="1E2840"/>
          <w:sz w:val="30"/>
          <w:szCs w:val="30"/>
        </w:rPr>
        <w:t xml:space="preserve">3. Read this before choosing hosting</w:t>
      </w:r>
    </w:p>
    <w:p>
      <w:pPr>
        <w:shd w:fill="FEF3C7" w:val="clear"/>
        <w:spacing w:after="160" w:line="276"/>
        <w:ind w:left="240" w:right="240"/>
      </w:pPr>
      <w:r>
        <w:rPr>
          <w:b/>
          <w:bCs/>
          <w:sz w:val="21"/>
          <w:szCs w:val="21"/>
        </w:rPr>
        <w:t xml:space="preserve">The app has NO end-user authentication. </w:t>
      </w:r>
      <w:r>
        <w:rPr>
          <w:sz w:val="21"/>
          <w:szCs w:val="21"/>
        </w:rPr>
        <w:t xml:space="preserve">Anyone who can reach it can ask questions, and every live question spends real Anthropic API money (~$0.20–$1.20 per literature review, ~$1.20 per Deep Learning curriculum). Do not put it on the open internet as-is. Acceptable options: an auth proxy (Cloudflare Access, Tailscale, basic-auth in the reverse proxy), a private network, or adding a login layer first. Only the admin/destructive routes are gated (ADMIN_TOKEN below).</w:t>
      </w:r>
    </w:p>
    <w:p>
      <w:pPr>
        <w:pStyle w:val="ListParagraph"/>
        <w:numPr>
          <w:ilvl w:val="0"/>
          <w:numId w:val="2"/>
        </w:numPr>
        <w:spacing w:after="120" w:line="276"/>
      </w:pPr>
      <w:r>
        <w:rPr>
          <w:rFonts w:ascii="Consolas" w:cs="Consolas" w:eastAsia="Consolas" w:hAnsi="Consolas"/>
          <w:sz w:val="19"/>
          <w:szCs w:val="19"/>
          <w:shd w:fill="F3F4F6" w:val="clear"/>
        </w:rPr>
        <w:t xml:space="preserve">app.run(debug=True)</w:t>
      </w:r>
      <w:r>
        <w:rPr>
          <w:sz w:val="21"/>
          <w:szCs w:val="21"/>
        </w:rPr>
        <w:t xml:space="preserve"> at the bottom of </w:t>
      </w:r>
      <w:r>
        <w:rPr>
          <w:rFonts w:ascii="Consolas" w:cs="Consolas" w:eastAsia="Consolas" w:hAnsi="Consolas"/>
          <w:sz w:val="19"/>
          <w:szCs w:val="19"/>
          <w:shd w:fill="F3F4F6" w:val="clear"/>
        </w:rPr>
        <w:t xml:space="preserve">app.py</w:t>
      </w:r>
      <w:r>
        <w:rPr>
          <w:sz w:val="21"/>
          <w:szCs w:val="21"/>
        </w:rPr>
        <w:t xml:space="preserve"> is the dev entry point. Never run it in production — Flask debug mode exposes the Werkzeug debugger, which is remote code execution. Use gunicorn (below).</w:t>
      </w:r>
    </w:p>
    <w:p>
      <w:pPr>
        <w:pStyle w:val="ListParagraph"/>
        <w:numPr>
          <w:ilvl w:val="0"/>
          <w:numId w:val="2"/>
        </w:numPr>
        <w:spacing w:after="120" w:line="276"/>
      </w:pPr>
      <w:r>
        <w:rPr>
          <w:b/>
          <w:bCs/>
          <w:sz w:val="21"/>
          <w:szCs w:val="21"/>
        </w:rPr>
        <w:t xml:space="preserve">Exactly ONE worker process. </w:t>
      </w:r>
      <w:r>
        <w:rPr>
          <w:sz w:val="21"/>
          <w:szCs w:val="21"/>
        </w:rPr>
        <w:t xml:space="preserve">Job state (the </w:t>
      </w:r>
      <w:r>
        <w:rPr>
          <w:rFonts w:ascii="Consolas" w:cs="Consolas" w:eastAsia="Consolas" w:hAnsi="Consolas"/>
          <w:sz w:val="19"/>
          <w:szCs w:val="19"/>
          <w:shd w:fill="F3F4F6" w:val="clear"/>
        </w:rPr>
        <w:t xml:space="preserve">jobs</w:t>
      </w:r>
      <w:r>
        <w:rPr>
          <w:sz w:val="21"/>
          <w:szCs w:val="21"/>
        </w:rPr>
        <w:t xml:space="preserve"> dict) lives in process memory and long tasks run on background threads inside the process. With multiple gunicorn workers, the </w:t>
      </w:r>
      <w:r>
        <w:rPr>
          <w:rFonts w:ascii="Consolas" w:cs="Consolas" w:eastAsia="Consolas" w:hAnsi="Consolas"/>
          <w:sz w:val="19"/>
          <w:szCs w:val="19"/>
          <w:shd w:fill="F3F4F6" w:val="clear"/>
        </w:rPr>
        <w:t xml:space="preserve">/status/&lt;job_id&gt;</w:t>
      </w:r>
      <w:r>
        <w:rPr>
          <w:sz w:val="21"/>
          <w:szCs w:val="21"/>
        </w:rPr>
        <w:t xml:space="preserve"> poll lands on a worker that has never heard of the job and everything appears broken. Correct invocation:</w:t>
      </w:r>
    </w:p>
    <w:p>
      <w:pPr>
        <w:shd w:fill="F3F4F6" w:val="clear"/>
        <w:spacing w:after="160"/>
        <w:ind w:left="240"/>
      </w:pPr>
      <w:r>
        <w:rPr>
          <w:rFonts w:ascii="Consolas" w:cs="Consolas" w:eastAsia="Consolas" w:hAnsi="Consolas"/>
          <w:sz w:val="18"/>
          <w:szCs w:val="18"/>
        </w:rPr>
        <w:t xml:space="preserve">gunicorn -w 1 --threads 16 --timeout 600 -b 0.0.0.0:8000 app:app</w:t>
      </w:r>
    </w:p>
    <w:p>
      <w:pPr>
        <w:spacing w:after="160" w:line="276"/>
      </w:pPr>
      <w:r>
        <w:rPr>
          <w:sz w:val="21"/>
          <w:szCs w:val="21"/>
        </w:rPr>
        <w:t xml:space="preserve">(</w:t>
      </w:r>
      <w:r>
        <w:rPr>
          <w:rFonts w:ascii="Consolas" w:cs="Consolas" w:eastAsia="Consolas" w:hAnsi="Consolas"/>
          <w:sz w:val="19"/>
          <w:szCs w:val="19"/>
          <w:shd w:fill="F3F4F6" w:val="clear"/>
        </w:rPr>
        <w:t xml:space="preserve">gunicorn</w:t>
      </w:r>
      <w:r>
        <w:rPr>
          <w:sz w:val="21"/>
          <w:szCs w:val="21"/>
        </w:rPr>
        <w:t xml:space="preserve"> is not yet in requirements.txt — add </w:t>
      </w:r>
      <w:r>
        <w:rPr>
          <w:rFonts w:ascii="Consolas" w:cs="Consolas" w:eastAsia="Consolas" w:hAnsi="Consolas"/>
          <w:sz w:val="19"/>
          <w:szCs w:val="19"/>
          <w:shd w:fill="F3F4F6" w:val="clear"/>
        </w:rPr>
        <w:t xml:space="preserve">gunicorn==23.0.0</w:t>
      </w:r>
      <w:r>
        <w:rPr>
          <w:sz w:val="21"/>
          <w:szCs w:val="21"/>
        </w:rPr>
        <w:t xml:space="preserve"> on the server; use waitress on Windows.)</w:t>
      </w:r>
    </w:p>
    <w:p>
      <w:pPr>
        <w:pStyle w:val="ListParagraph"/>
        <w:numPr>
          <w:ilvl w:val="0"/>
          <w:numId w:val="2"/>
        </w:numPr>
        <w:spacing w:after="120" w:line="276"/>
      </w:pPr>
      <w:r>
        <w:rPr>
          <w:b/>
          <w:bCs/>
          <w:sz w:val="21"/>
          <w:szCs w:val="21"/>
        </w:rPr>
        <w:t xml:space="preserve">Patient imagery / PHI: </w:t>
      </w:r>
      <w:r>
        <w:rPr>
          <w:sz w:val="21"/>
          <w:szCs w:val="21"/>
        </w:rPr>
        <w:t xml:space="preserve">the X-ray/vision path is disabled by default (</w:t>
      </w:r>
      <w:r>
        <w:rPr>
          <w:rFonts w:ascii="Consolas" w:cs="Consolas" w:eastAsia="Consolas" w:hAnsi="Consolas"/>
          <w:sz w:val="19"/>
          <w:szCs w:val="19"/>
          <w:shd w:fill="F3F4F6" w:val="clear"/>
        </w:rPr>
        <w:t xml:space="preserve">ENABLE_XRAY=false</w:t>
      </w:r>
      <w:r>
        <w:rPr>
          <w:sz w:val="21"/>
          <w:szCs w:val="21"/>
        </w:rPr>
        <w:t xml:space="preserve">) and must stay off unless a BAA is in place with the model provider. Text questions are not patient records, but do not log or expose them publicly either.</w:t>
      </w:r>
    </w:p>
    <w:p>
      <w:pPr>
        <w:pStyle w:val="Heading1"/>
        <w:spacing w:after="140" w:before="320"/>
      </w:pPr>
      <w:r>
        <w:rPr>
          <w:b/>
          <w:bCs/>
          <w:color w:val="1E2840"/>
          <w:sz w:val="30"/>
          <w:szCs w:val="30"/>
        </w:rPr>
        <w:t xml:space="preserve">4. Server requirements</w:t>
      </w:r>
    </w:p>
    <w:p>
      <w:pPr>
        <w:pStyle w:val="ListParagraph"/>
        <w:numPr>
          <w:ilvl w:val="0"/>
          <w:numId w:val="3"/>
        </w:numPr>
        <w:spacing w:after="100" w:line="276"/>
      </w:pPr>
      <w:r>
        <w:rPr>
          <w:b/>
          <w:bCs/>
          <w:sz w:val="21"/>
          <w:szCs w:val="21"/>
        </w:rPr>
        <w:t xml:space="preserve">Python 3.12+</w:t>
      </w:r>
      <w:r>
        <w:rPr>
          <w:sz w:val="21"/>
          <w:szCs w:val="21"/>
        </w:rPr>
        <w:t xml:space="preserve"> (developed and tested on 3.14).</w:t>
      </w:r>
    </w:p>
    <w:p>
      <w:pPr>
        <w:pStyle w:val="ListParagraph"/>
        <w:numPr>
          <w:ilvl w:val="0"/>
          <w:numId w:val="3"/>
        </w:numPr>
        <w:spacing w:after="100" w:line="276"/>
      </w:pPr>
      <w:r>
        <w:rPr>
          <w:b/>
          <w:bCs/>
          <w:sz w:val="21"/>
          <w:szCs w:val="21"/>
        </w:rPr>
        <w:t xml:space="preserve">RAM: 2 GB minimum</w:t>
      </w:r>
      <w:r>
        <w:rPr>
          <w:sz w:val="21"/>
          <w:szCs w:val="21"/>
        </w:rPr>
        <w:t xml:space="preserve"> — PyTorch plus the MiniLM embedding model run in-process on CPU. 512 MB / 1 GB instances will OOM.</w:t>
      </w:r>
    </w:p>
    <w:p>
      <w:pPr>
        <w:pStyle w:val="ListParagraph"/>
        <w:numPr>
          <w:ilvl w:val="0"/>
          <w:numId w:val="3"/>
        </w:numPr>
        <w:spacing w:after="100" w:line="276"/>
      </w:pPr>
      <w:r>
        <w:rPr>
          <w:b/>
          <w:bCs/>
          <w:sz w:val="21"/>
          <w:szCs w:val="21"/>
        </w:rPr>
        <w:t xml:space="preserve">Disk: ~7 GB free</w:t>
      </w:r>
      <w:r>
        <w:rPr>
          <w:sz w:val="21"/>
          <w:szCs w:val="21"/>
        </w:rPr>
        <w:t xml:space="preserve"> for dependencies (torch is multi-GB) plus the model.</w:t>
      </w:r>
    </w:p>
    <w:p>
      <w:pPr>
        <w:pStyle w:val="ListParagraph"/>
        <w:numPr>
          <w:ilvl w:val="0"/>
          <w:numId w:val="3"/>
        </w:numPr>
        <w:spacing w:after="100" w:line="276"/>
      </w:pPr>
      <w:r>
        <w:rPr>
          <w:b/>
          <w:bCs/>
          <w:sz w:val="21"/>
          <w:szCs w:val="21"/>
        </w:rPr>
        <w:t xml:space="preserve">First boot downloads the embedding model</w:t>
      </w:r>
      <w:r>
        <w:rPr>
          <w:sz w:val="21"/>
          <w:szCs w:val="21"/>
        </w:rPr>
        <w:t xml:space="preserve"> (~90 MB, all-MiniLM-L6-v2) from Hugging Face on the first embedding call; cached afterwards. Setting </w:t>
      </w:r>
      <w:r>
        <w:rPr>
          <w:rFonts w:ascii="Consolas" w:cs="Consolas" w:eastAsia="Consolas" w:hAnsi="Consolas"/>
          <w:sz w:val="19"/>
          <w:szCs w:val="19"/>
          <w:shd w:fill="F3F4F6" w:val="clear"/>
        </w:rPr>
        <w:t xml:space="preserve">HF_HOME</w:t>
      </w:r>
      <w:r>
        <w:rPr>
          <w:sz w:val="21"/>
          <w:szCs w:val="21"/>
        </w:rPr>
        <w:t xml:space="preserve"> to a persistent path avoids re-downloading.</w:t>
      </w:r>
    </w:p>
    <w:p>
      <w:pPr>
        <w:pStyle w:val="ListParagraph"/>
        <w:numPr>
          <w:ilvl w:val="0"/>
          <w:numId w:val="3"/>
        </w:numPr>
        <w:spacing w:after="100" w:line="276"/>
      </w:pPr>
      <w:r>
        <w:rPr>
          <w:b/>
          <w:bCs/>
          <w:sz w:val="21"/>
          <w:szCs w:val="21"/>
        </w:rPr>
        <w:t xml:space="preserve">Outbound HTTPS</w:t>
      </w:r>
      <w:r>
        <w:rPr>
          <w:sz w:val="21"/>
          <w:szCs w:val="21"/>
        </w:rPr>
        <w:t xml:space="preserve"> to api.anthropic.com, eutils.ncbi.nlm.nih.gov, Neon's Postgres host (5432, TLS), huggingface.co (first boot). Google Fonts load client-side in the browser.</w:t>
      </w:r>
    </w:p>
    <w:p>
      <w:pPr>
        <w:pStyle w:val="ListParagraph"/>
        <w:numPr>
          <w:ilvl w:val="0"/>
          <w:numId w:val="3"/>
        </w:numPr>
        <w:spacing w:after="100" w:line="276"/>
      </w:pPr>
      <w:r>
        <w:rPr>
          <w:b/>
          <w:bCs/>
          <w:sz w:val="21"/>
          <w:szCs w:val="21"/>
        </w:rPr>
        <w:t xml:space="preserve">Writable dirs at repo root: </w:t>
      </w:r>
      <w:r>
        <w:rPr>
          <w:sz w:val="21"/>
          <w:szCs w:val="21"/>
        </w:rPr>
        <w:t xml:space="preserve">the app appends runtime files next to the code — learn_history/ (saved curricula, ~$1 each to regenerate), answers/, audit_logs/, cost_log.jsonl, pubmed_audit.jsonl, evidence_mapping.jsonl. On ephemeral filesystems (Render/Railway/Fly) attach a persistent volume, or accept that history and audit logs vanish on redeploy. The paper library itself is in Neon and is safe either way.</w:t>
      </w:r>
    </w:p>
    <w:p>
      <w:pPr>
        <w:pStyle w:val="Heading1"/>
        <w:spacing w:after="140" w:before="320"/>
      </w:pPr>
      <w:r>
        <w:rPr>
          <w:b/>
          <w:bCs/>
          <w:color w:val="1E2840"/>
          <w:sz w:val="30"/>
          <w:szCs w:val="30"/>
        </w:rPr>
        <w:t xml:space="preserve">5. Environment variables</w:t>
      </w:r>
    </w:p>
    <w:p>
      <w:pPr>
        <w:spacing w:after="160" w:line="276"/>
      </w:pPr>
      <w:r>
        <w:rPr>
          <w:sz w:val="21"/>
          <w:szCs w:val="21"/>
        </w:rPr>
        <w:t xml:space="preserve">Copy </w:t>
      </w:r>
      <w:r>
        <w:rPr>
          <w:rFonts w:ascii="Consolas" w:cs="Consolas" w:eastAsia="Consolas" w:hAnsi="Consolas"/>
          <w:sz w:val="19"/>
          <w:szCs w:val="19"/>
          <w:shd w:fill="F3F4F6" w:val="clear"/>
        </w:rPr>
        <w:t xml:space="preserve">.env.example</w:t>
      </w:r>
      <w:r>
        <w:rPr>
          <w:sz w:val="21"/>
          <w:szCs w:val="21"/>
        </w:rPr>
        <w:t xml:space="preserve"> to </w:t>
      </w:r>
      <w:r>
        <w:rPr>
          <w:rFonts w:ascii="Consolas" w:cs="Consolas" w:eastAsia="Consolas" w:hAnsi="Consolas"/>
          <w:sz w:val="19"/>
          <w:szCs w:val="19"/>
          <w:shd w:fill="F3F4F6" w:val="clear"/>
        </w:rPr>
        <w:t xml:space="preserve">.env</w:t>
      </w:r>
      <w:r>
        <w:rPr>
          <w:sz w:val="21"/>
          <w:szCs w:val="21"/>
        </w:rPr>
        <w:t xml:space="preserve"> (loaded via python-dotenv), or set these in the host's env-var UI.</w:t>
      </w:r>
    </w:p>
    <w:p>
      <w:pPr>
        <w:pStyle w:val="Heading2"/>
        <w:spacing w:after="110" w:before="260"/>
      </w:pPr>
      <w:r>
        <w:rPr>
          <w:b/>
          <w:bCs/>
          <w:color w:val="1D4ED8"/>
          <w:sz w:val="24"/>
          <w:szCs w:val="24"/>
        </w:rPr>
        <w:t xml:space="preserve">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8ECF2" w:val="clear"/>
            <w:tcMar>
              <w:top w:type="dxa" w:w="80"/>
              <w:left w:type="dxa" w:w="120"/>
              <w:bottom w:type="dxa" w:w="80"/>
              <w:right w:type="dxa" w:w="120"/>
            </w:tcMar>
          </w:tcPr>
          <w:p>
            <w:pPr>
              <w:spacing w:after="0" w:line="252"/>
            </w:pPr>
            <w:r>
              <w:rPr>
                <w:b/>
                <w:bCs/>
                <w:sz w:val="21"/>
                <w:szCs w:val="21"/>
              </w:rPr>
              <w:t xml:space="preserve">Variable</w:t>
            </w:r>
          </w:p>
        </w:tc>
        <w:tc>
          <w:tcPr>
            <w:tcW w:type="dxa" w:w="6760"/>
            <w:shd w:fill="E8ECF2" w:val="clear"/>
            <w:tcMar>
              <w:top w:type="dxa" w:w="80"/>
              <w:left w:type="dxa" w:w="120"/>
              <w:bottom w:type="dxa" w:w="80"/>
              <w:right w:type="dxa" w:w="120"/>
            </w:tcMar>
          </w:tcPr>
          <w:p>
            <w:pPr>
              <w:spacing w:after="0" w:line="252"/>
            </w:pPr>
            <w:r>
              <w:rPr>
                <w:b/>
                <w:bCs/>
                <w:sz w:val="21"/>
                <w:szCs w:val="21"/>
              </w:rPr>
              <w:t xml:space="preserve">Purpose</w:t>
            </w:r>
          </w:p>
        </w:tc>
      </w:tr>
      <w:tr>
        <w:tc>
          <w:tcPr>
            <w:tcW w:type="dxa" w:w="2600"/>
            <w:tcMar>
              <w:top w:type="dxa" w:w="80"/>
              <w:left w:type="dxa" w:w="120"/>
              <w:bottom w:type="dxa" w:w="80"/>
              <w:right w:type="dxa" w:w="120"/>
            </w:tcMar>
          </w:tcPr>
          <w:p>
            <w:pPr>
              <w:spacing w:after="0" w:line="252"/>
            </w:pPr>
            <w:r>
              <w:rPr>
                <w:sz w:val="21"/>
                <w:szCs w:val="21"/>
              </w:rPr>
              <w:t xml:space="preserve">ANTHROPIC_API_KEY</w:t>
            </w:r>
          </w:p>
        </w:tc>
        <w:tc>
          <w:tcPr>
            <w:tcW w:type="dxa" w:w="6760"/>
            <w:tcMar>
              <w:top w:type="dxa" w:w="80"/>
              <w:left w:type="dxa" w:w="120"/>
              <w:bottom w:type="dxa" w:w="80"/>
              <w:right w:type="dxa" w:w="120"/>
            </w:tcMar>
          </w:tcPr>
          <w:p>
            <w:pPr>
              <w:spacing w:after="0" w:line="252"/>
            </w:pPr>
            <w:r>
              <w:rPr>
                <w:sz w:val="21"/>
                <w:szCs w:val="21"/>
              </w:rPr>
              <w:t xml:space="preserve">All synthesis/validation calls. Set a monthly spend limit in the Anthropic console before going live.</w:t>
            </w:r>
          </w:p>
        </w:tc>
      </w:tr>
      <w:tr>
        <w:tc>
          <w:tcPr>
            <w:tcW w:type="dxa" w:w="2600"/>
            <w:tcMar>
              <w:top w:type="dxa" w:w="80"/>
              <w:left w:type="dxa" w:w="120"/>
              <w:bottom w:type="dxa" w:w="80"/>
              <w:right w:type="dxa" w:w="120"/>
            </w:tcMar>
          </w:tcPr>
          <w:p>
            <w:pPr>
              <w:spacing w:after="0" w:line="252"/>
            </w:pPr>
            <w:r>
              <w:rPr>
                <w:sz w:val="21"/>
                <w:szCs w:val="21"/>
              </w:rPr>
              <w:t xml:space="preserve">DATABASE_URL</w:t>
            </w:r>
          </w:p>
        </w:tc>
        <w:tc>
          <w:tcPr>
            <w:tcW w:type="dxa" w:w="6760"/>
            <w:tcMar>
              <w:top w:type="dxa" w:w="80"/>
              <w:left w:type="dxa" w:w="120"/>
              <w:bottom w:type="dxa" w:w="80"/>
              <w:right w:type="dxa" w:w="120"/>
            </w:tcMar>
          </w:tcPr>
          <w:p>
            <w:pPr>
              <w:spacing w:after="0" w:line="252"/>
            </w:pPr>
            <w:r>
              <w:rPr>
                <w:sz w:val="21"/>
                <w:szCs w:val="21"/>
              </w:rPr>
              <w:t xml:space="preserve">Neon Postgres connection string (postgresql://...?sslmode=require). The existing database already holds the paper library.</w:t>
            </w:r>
          </w:p>
        </w:tc>
      </w:tr>
      <w:tr>
        <w:tc>
          <w:tcPr>
            <w:tcW w:type="dxa" w:w="2600"/>
            <w:tcMar>
              <w:top w:type="dxa" w:w="80"/>
              <w:left w:type="dxa" w:w="120"/>
              <w:bottom w:type="dxa" w:w="80"/>
              <w:right w:type="dxa" w:w="120"/>
            </w:tcMar>
          </w:tcPr>
          <w:p>
            <w:pPr>
              <w:spacing w:after="0" w:line="252"/>
            </w:pPr>
            <w:r>
              <w:rPr>
                <w:sz w:val="21"/>
                <w:szCs w:val="21"/>
              </w:rPr>
              <w:t xml:space="preserve">FLASK_SECRET_KEY</w:t>
            </w:r>
          </w:p>
        </w:tc>
        <w:tc>
          <w:tcPr>
            <w:tcW w:type="dxa" w:w="6760"/>
            <w:tcMar>
              <w:top w:type="dxa" w:w="80"/>
              <w:left w:type="dxa" w:w="120"/>
              <w:bottom w:type="dxa" w:w="80"/>
              <w:right w:type="dxa" w:w="120"/>
            </w:tcMar>
          </w:tcPr>
          <w:p>
            <w:pPr>
              <w:spacing w:after="0" w:line="252"/>
            </w:pPr>
            <w:r>
              <w:rPr>
                <w:sz w:val="21"/>
                <w:szCs w:val="21"/>
              </w:rPr>
              <w:t xml:space="preserve">Signs the admin session cookie. Generate: python -c "import secrets;print(secrets.token_hex(32))". Admin auth fails closed without it.</w:t>
            </w:r>
          </w:p>
        </w:tc>
      </w:tr>
      <w:tr>
        <w:tc>
          <w:tcPr>
            <w:tcW w:type="dxa" w:w="2600"/>
            <w:tcMar>
              <w:top w:type="dxa" w:w="80"/>
              <w:left w:type="dxa" w:w="120"/>
              <w:bottom w:type="dxa" w:w="80"/>
              <w:right w:type="dxa" w:w="120"/>
            </w:tcMar>
          </w:tcPr>
          <w:p>
            <w:pPr>
              <w:spacing w:after="0" w:line="252"/>
            </w:pPr>
            <w:r>
              <w:rPr>
                <w:sz w:val="21"/>
                <w:szCs w:val="21"/>
              </w:rPr>
              <w:t xml:space="preserve">ADMIN_TOKEN</w:t>
            </w:r>
          </w:p>
        </w:tc>
        <w:tc>
          <w:tcPr>
            <w:tcW w:type="dxa" w:w="6760"/>
            <w:tcMar>
              <w:top w:type="dxa" w:w="80"/>
              <w:left w:type="dxa" w:w="120"/>
              <w:bottom w:type="dxa" w:w="80"/>
              <w:right w:type="dxa" w:w="120"/>
            </w:tcMar>
          </w:tcPr>
          <w:p>
            <w:pPr>
              <w:spacing w:after="0" w:line="252"/>
            </w:pPr>
            <w:r>
              <w:rPr>
                <w:sz w:val="21"/>
                <w:szCs w:val="21"/>
              </w:rPr>
              <w:t xml:space="preserve">Shared secret for admin login (/admin/costs, /cache/clear, deleting saved curricula). Unset means those routes are 403 for everyone — safe, but the UI delete button won't work.</w:t>
            </w:r>
          </w:p>
        </w:tc>
      </w:tr>
    </w:tbl>
    <w:p>
      <w:pPr>
        <w:pStyle w:val="Heading2"/>
        <w:spacing w:after="110" w:before="260"/>
      </w:pPr>
      <w:r>
        <w:rPr>
          <w:b/>
          <w:bCs/>
          <w:color w:val="1D4ED8"/>
          <w:sz w:val="24"/>
          <w:szCs w:val="24"/>
        </w:rPr>
        <w:t xml:space="preserve">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shd w:fill="E8ECF2" w:val="clear"/>
            <w:tcMar>
              <w:top w:type="dxa" w:w="80"/>
              <w:left w:type="dxa" w:w="120"/>
              <w:bottom w:type="dxa" w:w="80"/>
              <w:right w:type="dxa" w:w="120"/>
            </w:tcMar>
          </w:tcPr>
          <w:p>
            <w:pPr>
              <w:spacing w:after="0" w:line="252"/>
            </w:pPr>
            <w:r>
              <w:rPr>
                <w:b/>
                <w:bCs/>
                <w:sz w:val="21"/>
                <w:szCs w:val="21"/>
              </w:rPr>
              <w:t xml:space="preserve">Variable</w:t>
            </w:r>
          </w:p>
        </w:tc>
        <w:tc>
          <w:tcPr>
            <w:tcW w:type="dxa" w:w="1500"/>
            <w:shd w:fill="E8ECF2" w:val="clear"/>
            <w:tcMar>
              <w:top w:type="dxa" w:w="80"/>
              <w:left w:type="dxa" w:w="120"/>
              <w:bottom w:type="dxa" w:w="80"/>
              <w:right w:type="dxa" w:w="120"/>
            </w:tcMar>
          </w:tcPr>
          <w:p>
            <w:pPr>
              <w:spacing w:after="0" w:line="252"/>
            </w:pPr>
            <w:r>
              <w:rPr>
                <w:b/>
                <w:bCs/>
                <w:sz w:val="21"/>
                <w:szCs w:val="21"/>
              </w:rPr>
              <w:t xml:space="preserve">Default</w:t>
            </w:r>
          </w:p>
        </w:tc>
        <w:tc>
          <w:tcPr>
            <w:tcW w:type="dxa" w:w="5260"/>
            <w:shd w:fill="E8ECF2" w:val="clear"/>
            <w:tcMar>
              <w:top w:type="dxa" w:w="80"/>
              <w:left w:type="dxa" w:w="120"/>
              <w:bottom w:type="dxa" w:w="80"/>
              <w:right w:type="dxa" w:w="120"/>
            </w:tcMar>
          </w:tcPr>
          <w:p>
            <w:pPr>
              <w:spacing w:after="0" w:line="252"/>
            </w:pPr>
            <w:r>
              <w:rPr>
                <w:b/>
                <w:bCs/>
                <w:sz w:val="21"/>
                <w:szCs w:val="21"/>
              </w:rPr>
              <w:t xml:space="preserve">Purpose</w:t>
            </w:r>
          </w:p>
        </w:tc>
      </w:tr>
      <w:tr>
        <w:tc>
          <w:tcPr>
            <w:tcW w:type="dxa" w:w="2600"/>
            <w:tcMar>
              <w:top w:type="dxa" w:w="80"/>
              <w:left w:type="dxa" w:w="120"/>
              <w:bottom w:type="dxa" w:w="80"/>
              <w:right w:type="dxa" w:w="120"/>
            </w:tcMar>
          </w:tcPr>
          <w:p>
            <w:pPr>
              <w:spacing w:after="0" w:line="252"/>
            </w:pPr>
            <w:r>
              <w:rPr>
                <w:sz w:val="21"/>
                <w:szCs w:val="21"/>
              </w:rPr>
              <w:t xml:space="preserve">NCBI_API_KEY</w:t>
            </w:r>
          </w:p>
        </w:tc>
        <w:tc>
          <w:tcPr>
            <w:tcW w:type="dxa" w:w="1500"/>
            <w:tcMar>
              <w:top w:type="dxa" w:w="80"/>
              <w:left w:type="dxa" w:w="120"/>
              <w:bottom w:type="dxa" w:w="80"/>
              <w:right w:type="dxa" w:w="120"/>
            </w:tcMar>
          </w:tcPr>
          <w:p>
            <w:pPr>
              <w:spacing w:after="0" w:line="252"/>
            </w:pPr>
            <w:r>
              <w:rPr>
                <w:sz w:val="21"/>
                <w:szCs w:val="21"/>
              </w:rPr>
              <w:t xml:space="preserve">unset</w:t>
            </w:r>
          </w:p>
        </w:tc>
        <w:tc>
          <w:tcPr>
            <w:tcW w:type="dxa" w:w="5260"/>
            <w:tcMar>
              <w:top w:type="dxa" w:w="80"/>
              <w:left w:type="dxa" w:w="120"/>
              <w:bottom w:type="dxa" w:w="80"/>
              <w:right w:type="dxa" w:w="120"/>
            </w:tcMar>
          </w:tcPr>
          <w:p>
            <w:pPr>
              <w:spacing w:after="0" w:line="252"/>
            </w:pPr>
            <w:r>
              <w:rPr>
                <w:sz w:val="21"/>
                <w:szCs w:val="21"/>
              </w:rPr>
              <w:t xml:space="preserve">Free key from an NCBI account. Raises the PubMed rate limit 3 to 9 req/sec; retrieval is ~3x slower without it (the app prints a startup reminder).</w:t>
            </w:r>
          </w:p>
        </w:tc>
      </w:tr>
      <w:tr>
        <w:tc>
          <w:tcPr>
            <w:tcW w:type="dxa" w:w="2600"/>
            <w:tcMar>
              <w:top w:type="dxa" w:w="80"/>
              <w:left w:type="dxa" w:w="120"/>
              <w:bottom w:type="dxa" w:w="80"/>
              <w:right w:type="dxa" w:w="120"/>
            </w:tcMar>
          </w:tcPr>
          <w:p>
            <w:pPr>
              <w:spacing w:after="0" w:line="252"/>
            </w:pPr>
            <w:r>
              <w:rPr>
                <w:sz w:val="21"/>
                <w:szCs w:val="21"/>
              </w:rPr>
              <w:t xml:space="preserve">NCBI_EMAIL</w:t>
            </w:r>
          </w:p>
        </w:tc>
        <w:tc>
          <w:tcPr>
            <w:tcW w:type="dxa" w:w="1500"/>
            <w:tcMar>
              <w:top w:type="dxa" w:w="80"/>
              <w:left w:type="dxa" w:w="120"/>
              <w:bottom w:type="dxa" w:w="80"/>
              <w:right w:type="dxa" w:w="120"/>
            </w:tcMar>
          </w:tcPr>
          <w:p>
            <w:pPr>
              <w:spacing w:after="0" w:line="252"/>
            </w:pPr>
            <w:r>
              <w:rPr>
                <w:sz w:val="21"/>
                <w:szCs w:val="21"/>
              </w:rPr>
              <w:t xml:space="preserve">placeholder</w:t>
            </w:r>
          </w:p>
        </w:tc>
        <w:tc>
          <w:tcPr>
            <w:tcW w:type="dxa" w:w="5260"/>
            <w:tcMar>
              <w:top w:type="dxa" w:w="80"/>
              <w:left w:type="dxa" w:w="120"/>
              <w:bottom w:type="dxa" w:w="80"/>
              <w:right w:type="dxa" w:w="120"/>
            </w:tcMar>
          </w:tcPr>
          <w:p>
            <w:pPr>
              <w:spacing w:after="0" w:line="252"/>
            </w:pPr>
            <w:r>
              <w:rPr>
                <w:sz w:val="21"/>
                <w:szCs w:val="21"/>
              </w:rPr>
              <w:t xml:space="preserve">Identifies the client to NCBI per their usage policy.</w:t>
            </w:r>
          </w:p>
        </w:tc>
      </w:tr>
      <w:tr>
        <w:tc>
          <w:tcPr>
            <w:tcW w:type="dxa" w:w="2600"/>
            <w:tcMar>
              <w:top w:type="dxa" w:w="80"/>
              <w:left w:type="dxa" w:w="120"/>
              <w:bottom w:type="dxa" w:w="80"/>
              <w:right w:type="dxa" w:w="120"/>
            </w:tcMar>
          </w:tcPr>
          <w:p>
            <w:pPr>
              <w:spacing w:after="0" w:line="252"/>
            </w:pPr>
            <w:r>
              <w:rPr>
                <w:sz w:val="21"/>
                <w:szCs w:val="21"/>
              </w:rPr>
              <w:t xml:space="preserve">DB_POOL_MAX</w:t>
            </w:r>
          </w:p>
        </w:tc>
        <w:tc>
          <w:tcPr>
            <w:tcW w:type="dxa" w:w="1500"/>
            <w:tcMar>
              <w:top w:type="dxa" w:w="80"/>
              <w:left w:type="dxa" w:w="120"/>
              <w:bottom w:type="dxa" w:w="80"/>
              <w:right w:type="dxa" w:w="120"/>
            </w:tcMar>
          </w:tcPr>
          <w:p>
            <w:pPr>
              <w:spacing w:after="0" w:line="252"/>
            </w:pPr>
            <w:r>
              <w:rPr>
                <w:sz w:val="21"/>
                <w:szCs w:val="21"/>
              </w:rPr>
              <w:t xml:space="preserve">32</w:t>
            </w:r>
          </w:p>
        </w:tc>
        <w:tc>
          <w:tcPr>
            <w:tcW w:type="dxa" w:w="5260"/>
            <w:tcMar>
              <w:top w:type="dxa" w:w="80"/>
              <w:left w:type="dxa" w:w="120"/>
              <w:bottom w:type="dxa" w:w="80"/>
              <w:right w:type="dxa" w:w="120"/>
            </w:tcMar>
          </w:tcPr>
          <w:p>
            <w:pPr>
              <w:spacing w:after="0" w:line="252"/>
            </w:pPr>
            <w:r>
              <w:rPr>
                <w:sz w:val="21"/>
                <w:szCs w:val="21"/>
              </w:rPr>
              <w:t xml:space="preserve">Keep at or below your Neon plan's connection limit.</w:t>
            </w:r>
          </w:p>
        </w:tc>
      </w:tr>
      <w:tr>
        <w:tc>
          <w:tcPr>
            <w:tcW w:type="dxa" w:w="2600"/>
            <w:tcMar>
              <w:top w:type="dxa" w:w="80"/>
              <w:left w:type="dxa" w:w="120"/>
              <w:bottom w:type="dxa" w:w="80"/>
              <w:right w:type="dxa" w:w="120"/>
            </w:tcMar>
          </w:tcPr>
          <w:p>
            <w:pPr>
              <w:spacing w:after="0" w:line="252"/>
            </w:pPr>
            <w:r>
              <w:rPr>
                <w:sz w:val="21"/>
                <w:szCs w:val="21"/>
              </w:rPr>
              <w:t xml:space="preserve">LIBRARY_WRITE_BACK</w:t>
            </w:r>
          </w:p>
        </w:tc>
        <w:tc>
          <w:tcPr>
            <w:tcW w:type="dxa" w:w="1500"/>
            <w:tcMar>
              <w:top w:type="dxa" w:w="80"/>
              <w:left w:type="dxa" w:w="120"/>
              <w:bottom w:type="dxa" w:w="80"/>
              <w:right w:type="dxa" w:w="120"/>
            </w:tcMar>
          </w:tcPr>
          <w:p>
            <w:pPr>
              <w:spacing w:after="0" w:line="252"/>
            </w:pPr>
            <w:r>
              <w:rPr>
                <w:sz w:val="21"/>
                <w:szCs w:val="21"/>
              </w:rPr>
              <w:t xml:space="preserve">true</w:t>
            </w:r>
          </w:p>
        </w:tc>
        <w:tc>
          <w:tcPr>
            <w:tcW w:type="dxa" w:w="5260"/>
            <w:tcMar>
              <w:top w:type="dxa" w:w="80"/>
              <w:left w:type="dxa" w:w="120"/>
              <w:bottom w:type="dxa" w:w="80"/>
              <w:right w:type="dxa" w:w="120"/>
            </w:tcMar>
          </w:tcPr>
          <w:p>
            <w:pPr>
              <w:spacing w:after="0" w:line="252"/>
            </w:pPr>
            <w:r>
              <w:rPr>
                <w:sz w:val="21"/>
                <w:szCs w:val="21"/>
              </w:rPr>
              <w:t xml:space="preserve">Live results are written back into the library so it learns. Set false to freeze the corpus.</w:t>
            </w:r>
          </w:p>
        </w:tc>
      </w:tr>
    </w:tbl>
    <w:p>
      <w:pPr>
        <w:pStyle w:val="Heading2"/>
        <w:spacing w:after="110" w:before="260"/>
      </w:pPr>
      <w:r>
        <w:rPr>
          <w:b/>
          <w:bCs/>
          <w:color w:val="1D4ED8"/>
          <w:sz w:val="24"/>
          <w:szCs w:val="24"/>
        </w:rPr>
        <w:t xml:space="preserve">Leave alone unless you know why</w:t>
      </w:r>
    </w:p>
    <w:p>
      <w:pPr>
        <w:spacing w:after="160" w:line="276"/>
      </w:pPr>
      <w:r>
        <w:rPr>
          <w:rFonts w:ascii="Consolas" w:cs="Consolas" w:eastAsia="Consolas" w:hAnsi="Consolas"/>
          <w:sz w:val="19"/>
          <w:szCs w:val="19"/>
          <w:shd w:fill="F3F4F6" w:val="clear"/>
        </w:rPr>
        <w:t xml:space="preserve">ENABLE_XRAY</w:t>
      </w:r>
      <w:r>
        <w:rPr>
          <w:sz w:val="21"/>
          <w:szCs w:val="21"/>
        </w:rPr>
        <w:t xml:space="preserve"> (false — PHI note above), </w:t>
      </w:r>
      <w:r>
        <w:rPr>
          <w:rFonts w:ascii="Consolas" w:cs="Consolas" w:eastAsia="Consolas" w:hAnsi="Consolas"/>
          <w:sz w:val="19"/>
          <w:szCs w:val="19"/>
          <w:shd w:fill="F3F4F6" w:val="clear"/>
        </w:rPr>
        <w:t xml:space="preserve">USE_IMPACT_FACTOR</w:t>
      </w:r>
      <w:r>
        <w:rPr>
          <w:sz w:val="21"/>
          <w:szCs w:val="21"/>
        </w:rPr>
        <w:t xml:space="preserve"> (false — deliberate scoring decision), </w:t>
      </w:r>
      <w:r>
        <w:rPr>
          <w:rFonts w:ascii="Consolas" w:cs="Consolas" w:eastAsia="Consolas" w:hAnsi="Consolas"/>
          <w:sz w:val="19"/>
          <w:szCs w:val="19"/>
          <w:shd w:fill="F3F4F6" w:val="clear"/>
        </w:rPr>
        <w:t xml:space="preserve">CITATION_SUPPORT_CHECK</w:t>
      </w:r>
      <w:r>
        <w:rPr>
          <w:sz w:val="21"/>
          <w:szCs w:val="21"/>
        </w:rPr>
        <w:t xml:space="preserve"> / </w:t>
      </w:r>
      <w:r>
        <w:rPr>
          <w:rFonts w:ascii="Consolas" w:cs="Consolas" w:eastAsia="Consolas" w:hAnsi="Consolas"/>
          <w:sz w:val="19"/>
          <w:szCs w:val="19"/>
          <w:shd w:fill="F3F4F6" w:val="clear"/>
        </w:rPr>
        <w:t xml:space="preserve">CACHE_EQUIVALENCE_CHECK</w:t>
      </w:r>
      <w:r>
        <w:rPr>
          <w:sz w:val="21"/>
          <w:szCs w:val="21"/>
        </w:rPr>
        <w:t xml:space="preserve"> (true — safety guardrails), </w:t>
      </w:r>
      <w:r>
        <w:rPr>
          <w:rFonts w:ascii="Consolas" w:cs="Consolas" w:eastAsia="Consolas" w:hAnsi="Consolas"/>
          <w:sz w:val="19"/>
          <w:szCs w:val="19"/>
          <w:shd w:fill="F3F4F6" w:val="clear"/>
        </w:rPr>
        <w:t xml:space="preserve">CURRICULUM_MAX_WORKERS</w:t>
      </w:r>
      <w:r>
        <w:rPr>
          <w:sz w:val="21"/>
          <w:szCs w:val="21"/>
        </w:rPr>
        <w:t xml:space="preserve">, </w:t>
      </w:r>
      <w:r>
        <w:rPr>
          <w:rFonts w:ascii="Consolas" w:cs="Consolas" w:eastAsia="Consolas" w:hAnsi="Consolas"/>
          <w:sz w:val="19"/>
          <w:szCs w:val="19"/>
          <w:shd w:fill="F3F4F6" w:val="clear"/>
        </w:rPr>
        <w:t xml:space="preserve">DB_POOL_MIN</w:t>
      </w:r>
      <w:r>
        <w:rPr>
          <w:sz w:val="21"/>
          <w:szCs w:val="21"/>
        </w:rPr>
        <w:t xml:space="preserve">, </w:t>
      </w:r>
      <w:r>
        <w:rPr>
          <w:rFonts w:ascii="Consolas" w:cs="Consolas" w:eastAsia="Consolas" w:hAnsi="Consolas"/>
          <w:sz w:val="19"/>
          <w:szCs w:val="19"/>
          <w:shd w:fill="F3F4F6" w:val="clear"/>
        </w:rPr>
        <w:t xml:space="preserve">WRITEBACK_SESSION_GAP_SECONDS</w:t>
      </w:r>
      <w:r>
        <w:rPr>
          <w:sz w:val="21"/>
          <w:szCs w:val="21"/>
        </w:rPr>
        <w:t xml:space="preserve">. </w:t>
      </w:r>
      <w:r>
        <w:rPr>
          <w:rFonts w:ascii="Consolas" w:cs="Consolas" w:eastAsia="Consolas" w:hAnsi="Consolas"/>
          <w:sz w:val="19"/>
          <w:szCs w:val="19"/>
          <w:shd w:fill="F3F4F6" w:val="clear"/>
        </w:rPr>
        <w:t xml:space="preserve">OPENAI_API_KEY</w:t>
      </w:r>
      <w:r>
        <w:rPr>
          <w:sz w:val="21"/>
          <w:szCs w:val="21"/>
        </w:rPr>
        <w:t xml:space="preserve"> / </w:t>
      </w:r>
      <w:r>
        <w:rPr>
          <w:rFonts w:ascii="Consolas" w:cs="Consolas" w:eastAsia="Consolas" w:hAnsi="Consolas"/>
          <w:sz w:val="19"/>
          <w:szCs w:val="19"/>
          <w:shd w:fill="F3F4F6" w:val="clear"/>
        </w:rPr>
        <w:t xml:space="preserve">GEMINI_API_KEY</w:t>
      </w:r>
      <w:r>
        <w:rPr>
          <w:sz w:val="21"/>
          <w:szCs w:val="21"/>
        </w:rPr>
        <w:t xml:space="preserve"> are unused placeholders.</w:t>
      </w:r>
    </w:p>
    <w:p>
      <w:pPr>
        <w:pStyle w:val="Heading1"/>
        <w:spacing w:after="140" w:before="320"/>
      </w:pPr>
      <w:r>
        <w:rPr>
          <w:b/>
          <w:bCs/>
          <w:color w:val="1E2840"/>
          <w:sz w:val="30"/>
          <w:szCs w:val="30"/>
        </w:rPr>
        <w:t xml:space="preserve">6. Hosting options, ranked</w:t>
      </w:r>
    </w:p>
    <w:p>
      <w:pPr>
        <w:pStyle w:val="Heading2"/>
        <w:spacing w:after="110" w:before="260"/>
      </w:pPr>
      <w:r>
        <w:rPr>
          <w:b/>
          <w:bCs/>
          <w:color w:val="1D4ED8"/>
          <w:sz w:val="24"/>
          <w:szCs w:val="24"/>
        </w:rPr>
        <w:t xml:space="preserve">A. Small VPS (recommended — most control, ~$6–12/mo)</w:t>
      </w:r>
    </w:p>
    <w:p>
      <w:pPr>
        <w:spacing w:after="160" w:line="276"/>
      </w:pPr>
      <w:r>
        <w:rPr>
          <w:sz w:val="21"/>
          <w:szCs w:val="21"/>
        </w:rPr>
        <w:t xml:space="preserve">Hetzner CX22, DigitalOcean, or Lightsail: 2 vCPU / 4 GB, Ubuntu 24.04. Clone the repo, create a venv, pip install -r requirements.txt plus gunicorn, write .env, run gunicorn as a systemd service, and put Caddy or nginx in front for TLS (Caddy: two lines, automatic HTTPS). Add basic-auth or Cloudflare Access at the proxy. Everything persists; no platform quirks.</w:t>
      </w:r>
    </w:p>
    <w:p>
      <w:pPr>
        <w:pStyle w:val="Heading2"/>
        <w:spacing w:after="110" w:before="260"/>
      </w:pPr>
      <w:r>
        <w:rPr>
          <w:b/>
          <w:bCs/>
          <w:color w:val="1D4ED8"/>
          <w:sz w:val="24"/>
          <w:szCs w:val="24"/>
        </w:rPr>
        <w:t xml:space="preserve">B. Render / Railway (easiest, ~$7–25/mo)</w:t>
      </w:r>
    </w:p>
    <w:p>
      <w:pPr>
        <w:spacing w:after="160" w:line="276"/>
      </w:pPr>
      <w:r>
        <w:rPr>
          <w:sz w:val="21"/>
          <w:szCs w:val="21"/>
        </w:rPr>
        <w:t xml:space="preserve">Connect the GitHub repo, set env vars in the dashboard, start command = the gunicorn line above. You need the tier with 2+ GB RAM (free tiers OOM on torch). Add a persistent disk mounted at the repo path for learn_history/ and logs, or accept losing them on deploy. Watch the build: installing torch can exceed free build limits.</w:t>
      </w:r>
    </w:p>
    <w:p>
      <w:pPr>
        <w:pStyle w:val="Heading2"/>
        <w:spacing w:after="110" w:before="260"/>
      </w:pPr>
      <w:r>
        <w:rPr>
          <w:b/>
          <w:bCs/>
          <w:color w:val="1D4ED8"/>
          <w:sz w:val="24"/>
          <w:szCs w:val="24"/>
        </w:rPr>
        <w:t xml:space="preserve">C. Fly.io / Docker anywhere</w:t>
      </w:r>
    </w:p>
    <w:p>
      <w:pPr>
        <w:spacing w:after="160" w:line="276"/>
      </w:pPr>
      <w:r>
        <w:rPr>
          <w:sz w:val="21"/>
          <w:szCs w:val="21"/>
        </w:rPr>
        <w:t xml:space="preserve">A starting Dockerfile (untested — verify the build before relying on it):</w:t>
      </w:r>
    </w:p>
    <w:p>
      <w:pPr>
        <w:shd w:fill="F3F4F6" w:val="clear"/>
        <w:spacing w:after="0"/>
        <w:ind w:left="240"/>
      </w:pPr>
      <w:r>
        <w:rPr>
          <w:rFonts w:ascii="Consolas" w:cs="Consolas" w:eastAsia="Consolas" w:hAnsi="Consolas"/>
          <w:sz w:val="18"/>
          <w:szCs w:val="18"/>
        </w:rPr>
        <w:t xml:space="preserve">FROM python:3.12-slim</w:t>
      </w:r>
    </w:p>
    <w:p>
      <w:pPr>
        <w:shd w:fill="F3F4F6" w:val="clear"/>
        <w:spacing w:after="0"/>
        <w:ind w:left="240"/>
      </w:pPr>
      <w:r>
        <w:rPr>
          <w:rFonts w:ascii="Consolas" w:cs="Consolas" w:eastAsia="Consolas" w:hAnsi="Consolas"/>
          <w:sz w:val="18"/>
          <w:szCs w:val="18"/>
        </w:rPr>
        <w:t xml:space="preserve">WORKDIR /app</w:t>
      </w:r>
    </w:p>
    <w:p>
      <w:pPr>
        <w:shd w:fill="F3F4F6" w:val="clear"/>
        <w:spacing w:after="0"/>
        <w:ind w:left="240"/>
      </w:pPr>
      <w:r>
        <w:rPr>
          <w:rFonts w:ascii="Consolas" w:cs="Consolas" w:eastAsia="Consolas" w:hAnsi="Consolas"/>
          <w:sz w:val="18"/>
          <w:szCs w:val="18"/>
        </w:rPr>
        <w:t xml:space="preserve">COPY requirements.txt .</w:t>
      </w:r>
    </w:p>
    <w:p>
      <w:pPr>
        <w:shd w:fill="F3F4F6" w:val="clear"/>
        <w:spacing w:after="0"/>
        <w:ind w:left="240"/>
      </w:pPr>
      <w:r>
        <w:rPr>
          <w:rFonts w:ascii="Consolas" w:cs="Consolas" w:eastAsia="Consolas" w:hAnsi="Consolas"/>
          <w:sz w:val="18"/>
          <w:szCs w:val="18"/>
        </w:rPr>
        <w:t xml:space="preserve">RUN pip install --no-cache-dir -r requirements.txt gunicorn==23.0.0</w:t>
      </w:r>
    </w:p>
    <w:p>
      <w:pPr>
        <w:shd w:fill="F3F4F6" w:val="clear"/>
        <w:spacing w:after="0"/>
        <w:ind w:left="240"/>
      </w:pPr>
      <w:r>
        <w:rPr>
          <w:rFonts w:ascii="Consolas" w:cs="Consolas" w:eastAsia="Consolas" w:hAnsi="Consolas"/>
          <w:sz w:val="18"/>
          <w:szCs w:val="18"/>
        </w:rPr>
        <w:t xml:space="preserve">COPY . .</w:t>
      </w:r>
    </w:p>
    <w:p>
      <w:pPr>
        <w:shd w:fill="F3F4F6" w:val="clear"/>
        <w:spacing w:after="0"/>
        <w:ind w:left="240"/>
      </w:pPr>
      <w:r>
        <w:rPr>
          <w:rFonts w:ascii="Consolas" w:cs="Consolas" w:eastAsia="Consolas" w:hAnsi="Consolas"/>
          <w:sz w:val="18"/>
          <w:szCs w:val="18"/>
        </w:rPr>
        <w:t xml:space="preserve">ENV HF_HOME=/data/hf-cache</w:t>
      </w:r>
    </w:p>
    <w:p>
      <w:pPr>
        <w:shd w:fill="F3F4F6" w:val="clear"/>
        <w:spacing w:after="0"/>
        <w:ind w:left="240"/>
      </w:pPr>
      <w:r>
        <w:rPr>
          <w:rFonts w:ascii="Consolas" w:cs="Consolas" w:eastAsia="Consolas" w:hAnsi="Consolas"/>
          <w:sz w:val="18"/>
          <w:szCs w:val="18"/>
        </w:rPr>
        <w:t xml:space="preserve">EXPOSE 8000</w:t>
      </w:r>
    </w:p>
    <w:p>
      <w:pPr>
        <w:shd w:fill="F3F4F6" w:val="clear"/>
        <w:spacing w:after="160"/>
        <w:ind w:left="240"/>
      </w:pPr>
      <w:r>
        <w:rPr>
          <w:rFonts w:ascii="Consolas" w:cs="Consolas" w:eastAsia="Consolas" w:hAnsi="Consolas"/>
          <w:sz w:val="18"/>
          <w:szCs w:val="18"/>
        </w:rPr>
        <w:t xml:space="preserve">CMD ["gunicorn", "-w", "1", "--threads", "16", "--timeout", "600", "-b", "0.0.0.0:8000", "app:app"]</w:t>
      </w:r>
    </w:p>
    <w:p>
      <w:pPr>
        <w:spacing w:after="160" w:line="276"/>
      </w:pPr>
      <w:r>
        <w:rPr>
          <w:b/>
          <w:bCs/>
          <w:sz w:val="21"/>
          <w:szCs w:val="21"/>
        </w:rPr>
        <w:t xml:space="preserve">Not suitable: </w:t>
      </w:r>
      <w:r>
        <w:rPr>
          <w:sz w:val="21"/>
          <w:szCs w:val="21"/>
        </w:rPr>
        <w:t xml:space="preserve">serverless/lambda-style platforms (long background jobs, in-memory state) and anything under 2 GB RAM.</w:t>
      </w:r>
    </w:p>
    <w:p>
      <w:pPr>
        <w:pStyle w:val="Heading1"/>
        <w:spacing w:after="140" w:before="320"/>
      </w:pPr>
      <w:r>
        <w:rPr>
          <w:b/>
          <w:bCs/>
          <w:color w:val="1E2840"/>
          <w:sz w:val="30"/>
          <w:szCs w:val="30"/>
        </w:rPr>
        <w:t xml:space="preserve">7. Deployment checklist</w:t>
      </w:r>
    </w:p>
    <w:p>
      <w:pPr>
        <w:pStyle w:val="ListParagraph"/>
        <w:numPr>
          <w:ilvl w:val="0"/>
          <w:numId w:val="4"/>
        </w:numPr>
        <w:spacing w:after="120" w:line="276"/>
      </w:pPr>
      <w:r>
        <w:rPr>
          <w:sz w:val="21"/>
          <w:szCs w:val="21"/>
        </w:rPr>
        <w:t xml:space="preserve">Clone; create a venv; pip install -r requirements.txt gunicorn.</w:t>
      </w:r>
    </w:p>
    <w:p>
      <w:pPr>
        <w:pStyle w:val="ListParagraph"/>
        <w:numPr>
          <w:ilvl w:val="0"/>
          <w:numId w:val="4"/>
        </w:numPr>
        <w:spacing w:after="120" w:line="276"/>
      </w:pPr>
      <w:r>
        <w:rPr>
          <w:sz w:val="21"/>
          <w:szCs w:val="21"/>
        </w:rPr>
        <w:t xml:space="preserve">Set the four required env vars (plus NCBI_API_KEY).</w:t>
      </w:r>
    </w:p>
    <w:p>
      <w:pPr>
        <w:pStyle w:val="ListParagraph"/>
        <w:numPr>
          <w:ilvl w:val="0"/>
          <w:numId w:val="4"/>
        </w:numPr>
        <w:spacing w:after="120" w:line="276"/>
      </w:pPr>
      <w:r>
        <w:rPr>
          <w:sz w:val="21"/>
          <w:szCs w:val="21"/>
        </w:rPr>
        <w:t xml:space="preserve">Start gunicorn with ONE worker, many threads.</w:t>
      </w:r>
    </w:p>
    <w:p>
      <w:pPr>
        <w:pStyle w:val="ListParagraph"/>
        <w:numPr>
          <w:ilvl w:val="0"/>
          <w:numId w:val="4"/>
        </w:numPr>
        <w:spacing w:after="120" w:line="276"/>
      </w:pPr>
      <w:r>
        <w:rPr>
          <w:sz w:val="21"/>
          <w:szCs w:val="21"/>
        </w:rPr>
        <w:t xml:space="preserve">Open the app: the Curo page should load with the tooth logo.</w:t>
      </w:r>
    </w:p>
    <w:p>
      <w:pPr>
        <w:pStyle w:val="ListParagraph"/>
        <w:numPr>
          <w:ilvl w:val="0"/>
          <w:numId w:val="4"/>
        </w:numPr>
        <w:spacing w:after="120" w:line="276"/>
      </w:pPr>
      <w:r>
        <w:rPr>
          <w:sz w:val="21"/>
          <w:szCs w:val="21"/>
        </w:rPr>
        <w:t xml:space="preserve">Ask a </w:t>
      </w:r>
      <w:r>
        <w:rPr>
          <w:b/>
          <w:bCs/>
          <w:sz w:val="21"/>
          <w:szCs w:val="21"/>
        </w:rPr>
        <w:t xml:space="preserve">cached</w:t>
      </w:r>
      <w:r>
        <w:rPr>
          <w:sz w:val="21"/>
          <w:szCs w:val="21"/>
        </w:rPr>
        <w:t xml:space="preserve"> question first (costs ~$0): “Single-visit versus multiple-visit root canal treatment for necrotic teeth with apical periodontitis” — should answer in seconds from cache.</w:t>
      </w:r>
    </w:p>
    <w:p>
      <w:pPr>
        <w:pStyle w:val="ListParagraph"/>
        <w:numPr>
          <w:ilvl w:val="0"/>
          <w:numId w:val="4"/>
        </w:numPr>
        <w:spacing w:after="120" w:line="276"/>
      </w:pPr>
      <w:r>
        <w:rPr>
          <w:sz w:val="21"/>
          <w:szCs w:val="21"/>
        </w:rPr>
        <w:t xml:space="preserve">Ask an uncached review question — expect ~60–90 s with streaming text and a cost line in the answer footer. This confirms Anthropic, NCBI and Neon are all reachable.</w:t>
      </w:r>
    </w:p>
    <w:p>
      <w:pPr>
        <w:pStyle w:val="ListParagraph"/>
        <w:numPr>
          <w:ilvl w:val="0"/>
          <w:numId w:val="4"/>
        </w:numPr>
        <w:spacing w:after="120" w:line="276"/>
      </w:pPr>
      <w:r>
        <w:rPr>
          <w:sz w:val="21"/>
          <w:szCs w:val="21"/>
        </w:rPr>
        <w:t xml:space="preserve">Check GET /admin/costs without a token returns 403.</w:t>
      </w:r>
    </w:p>
    <w:p>
      <w:pPr>
        <w:pStyle w:val="ListParagraph"/>
        <w:numPr>
          <w:ilvl w:val="0"/>
          <w:numId w:val="4"/>
        </w:numPr>
        <w:spacing w:after="120" w:line="276"/>
      </w:pPr>
      <w:r>
        <w:rPr>
          <w:sz w:val="21"/>
          <w:szCs w:val="21"/>
        </w:rPr>
        <w:t xml:space="preserve">Set an Anthropic spend cap and confirm the auth story (proxy auth or private network) before sharing the URL with anyone.</w:t>
      </w:r>
    </w:p>
    <w:p>
      <w:pPr>
        <w:pStyle w:val="Heading1"/>
        <w:spacing w:after="140" w:before="320"/>
      </w:pPr>
      <w:r>
        <w:rPr>
          <w:b/>
          <w:bCs/>
          <w:color w:val="1E2840"/>
          <w:sz w:val="30"/>
          <w:szCs w:val="30"/>
        </w:rPr>
        <w:t xml:space="preserve">8. Facts an assistant will otherwise get wrong</w:t>
      </w:r>
    </w:p>
    <w:p>
      <w:pPr>
        <w:pStyle w:val="ListParagraph"/>
        <w:numPr>
          <w:ilvl w:val="0"/>
          <w:numId w:val="3"/>
        </w:numPr>
        <w:spacing w:after="100" w:line="276"/>
      </w:pPr>
      <w:r>
        <w:rPr>
          <w:sz w:val="21"/>
          <w:szCs w:val="21"/>
        </w:rPr>
        <w:t xml:space="preserve">The database is </w:t>
      </w:r>
      <w:r>
        <w:rPr>
          <w:b/>
          <w:bCs/>
          <w:sz w:val="21"/>
          <w:szCs w:val="21"/>
        </w:rPr>
        <w:t xml:space="preserve">already in the cloud</w:t>
      </w:r>
      <w:r>
        <w:rPr>
          <w:sz w:val="21"/>
          <w:szCs w:val="21"/>
        </w:rPr>
        <w:t xml:space="preserve"> (Neon). Do not provision Postgres on the server, do not run migrations — just supply DATABASE_URL.</w:t>
      </w:r>
    </w:p>
    <w:p>
      <w:pPr>
        <w:pStyle w:val="ListParagraph"/>
        <w:numPr>
          <w:ilvl w:val="0"/>
          <w:numId w:val="3"/>
        </w:numPr>
        <w:spacing w:after="100" w:line="276"/>
      </w:pPr>
      <w:r>
        <w:rPr>
          <w:sz w:val="21"/>
          <w:szCs w:val="21"/>
        </w:rPr>
        <w:t xml:space="preserve">Embeddings are </w:t>
      </w:r>
      <w:r>
        <w:rPr>
          <w:b/>
          <w:bCs/>
          <w:sz w:val="21"/>
          <w:szCs w:val="21"/>
        </w:rPr>
        <w:t xml:space="preserve">local CPU</w:t>
      </w:r>
      <w:r>
        <w:rPr>
          <w:sz w:val="21"/>
          <w:szCs w:val="21"/>
        </w:rPr>
        <w:t xml:space="preserve"> (sentence-transformers), not an API — that is why RAM matters and why no embedding key exists.</w:t>
      </w:r>
    </w:p>
    <w:p>
      <w:pPr>
        <w:pStyle w:val="ListParagraph"/>
        <w:numPr>
          <w:ilvl w:val="0"/>
          <w:numId w:val="3"/>
        </w:numPr>
        <w:spacing w:after="100" w:line="276"/>
      </w:pPr>
      <w:r>
        <w:rPr>
          <w:sz w:val="21"/>
          <w:szCs w:val="21"/>
        </w:rPr>
        <w:t xml:space="preserve">One gunicorn </w:t>
      </w:r>
      <w:r>
        <w:rPr>
          <w:b/>
          <w:bCs/>
          <w:sz w:val="21"/>
          <w:szCs w:val="21"/>
        </w:rPr>
        <w:t xml:space="preserve">worker</w:t>
      </w:r>
      <w:r>
        <w:rPr>
          <w:sz w:val="21"/>
          <w:szCs w:val="21"/>
        </w:rPr>
        <w:t xml:space="preserve">, not one thread. Scaling horizontally requires moving job state out of process memory first (not done).</w:t>
      </w:r>
    </w:p>
    <w:p>
      <w:pPr>
        <w:pStyle w:val="ListParagraph"/>
        <w:numPr>
          <w:ilvl w:val="0"/>
          <w:numId w:val="3"/>
        </w:numPr>
        <w:spacing w:after="100" w:line="276"/>
      </w:pPr>
      <w:r>
        <w:rPr>
          <w:sz w:val="21"/>
          <w:szCs w:val="21"/>
        </w:rPr>
        <w:t xml:space="preserve">requirements.txt is fully pinned; install exactly those versions. The pins exist because a torch/transformers mismatch silently breaks embeddings.</w:t>
      </w:r>
    </w:p>
    <w:p>
      <w:pPr>
        <w:pStyle w:val="ListParagraph"/>
        <w:numPr>
          <w:ilvl w:val="0"/>
          <w:numId w:val="3"/>
        </w:numPr>
        <w:spacing w:after="100" w:line="276"/>
      </w:pPr>
      <w:r>
        <w:rPr>
          <w:sz w:val="21"/>
          <w:szCs w:val="21"/>
        </w:rPr>
        <w:t xml:space="preserve">The repo's WORKLIST.md, HANDOVER.md and DEMO_RUNBOOK.md are engineering history for developers; this document supersedes them for deployment purposes.</w:t>
      </w:r>
    </w:p>
    <w:p>
      <w:pPr>
        <w:pStyle w:val="ListParagraph"/>
        <w:numPr>
          <w:ilvl w:val="0"/>
          <w:numId w:val="3"/>
        </w:numPr>
        <w:spacing w:after="100" w:line="276"/>
      </w:pPr>
      <w:r>
        <w:rPr>
          <w:sz w:val="21"/>
          <w:szCs w:val="21"/>
        </w:rPr>
        <w:t xml:space="preserve">Runtime artifacts (cost_log.jsonl, pubmed_audit.jsonl, learn_history/) are append-only evidence trails the app expects to be able to write; they are gitignored, so a fresh clone starts them empty. That is fine.</w:t>
      </w:r>
    </w:p>
    <w:p>
      <w:pPr>
        <w:pStyle w:val="Heading1"/>
        <w:spacing w:after="140" w:before="320"/>
      </w:pPr>
      <w:r>
        <w:rPr>
          <w:b/>
          <w:bCs/>
          <w:color w:val="1E2840"/>
          <w:sz w:val="30"/>
          <w:szCs w:val="30"/>
        </w:rPr>
        <w:t xml:space="preserve">9. What the owner still needs to decide</w:t>
      </w:r>
    </w:p>
    <w:p>
      <w:pPr>
        <w:pStyle w:val="ListParagraph"/>
        <w:numPr>
          <w:ilvl w:val="0"/>
          <w:numId w:val="5"/>
        </w:numPr>
        <w:spacing w:after="120" w:line="276"/>
      </w:pPr>
      <w:r>
        <w:rPr>
          <w:sz w:val="21"/>
          <w:szCs w:val="21"/>
        </w:rPr>
        <w:t xml:space="preserve">Hosting option A/B/C above, and budget.</w:t>
      </w:r>
    </w:p>
    <w:p>
      <w:pPr>
        <w:pStyle w:val="ListParagraph"/>
        <w:numPr>
          <w:ilvl w:val="0"/>
          <w:numId w:val="5"/>
        </w:numPr>
        <w:spacing w:after="120" w:line="276"/>
      </w:pPr>
      <w:r>
        <w:rPr>
          <w:sz w:val="21"/>
          <w:szCs w:val="21"/>
        </w:rPr>
        <w:t xml:space="preserve">The access-control story (Cloudflare Access / proxy basic-auth / VPN / private-only) — required before public exposure.</w:t>
      </w:r>
    </w:p>
    <w:p>
      <w:pPr>
        <w:pStyle w:val="ListParagraph"/>
        <w:numPr>
          <w:ilvl w:val="0"/>
          <w:numId w:val="5"/>
        </w:numPr>
        <w:spacing w:after="120" w:line="276"/>
      </w:pPr>
      <w:r>
        <w:rPr>
          <w:sz w:val="21"/>
          <w:szCs w:val="21"/>
        </w:rPr>
        <w:t xml:space="preserve">A domain name, if any (point DNS at the proxy; Caddy issues TLS automatically).</w:t>
      </w:r>
    </w:p>
    <w:p>
      <w:pPr>
        <w:pStyle w:val="ListParagraph"/>
        <w:numPr>
          <w:ilvl w:val="0"/>
          <w:numId w:val="5"/>
        </w:numPr>
        <w:spacing w:after="120" w:line="276"/>
      </w:pPr>
      <w:r>
        <w:rPr>
          <w:sz w:val="21"/>
          <w:szCs w:val="21"/>
        </w:rPr>
        <w:t xml:space="preserve">The Anthropic monthly spend-cap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abstractNum w:abstractNumId="3" w15:restartNumberingAfterBreak="0">
    <w:multiLevelType w:val="hybridMultilevel"/>
    <w:lvl w:ilvl="0" w15:tentative="1">
      <w:start w:val="1"/>
      <w:numFmt w:val="decimal"/>
      <w:lvlText w:val="%1."/>
      <w:lvlJc w:val="start"/>
      <w:pPr>
        <w:ind w:left="480" w:hanging="240"/>
      </w:pPr>
    </w:lvl>
  </w:abstractNum>
  <w:abstractNum w:abstractNumId="4" w15:restartNumberingAfterBreak="0">
    <w:multiLevelType w:val="hybridMultilevel"/>
    <w:lvl w:ilvl="0" w15:tentative="1">
      <w:start w:val="1"/>
      <w:numFmt w:val="decimal"/>
      <w:lvlText w:val="%1."/>
      <w:lvlJc w:val="start"/>
      <w:pPr>
        <w:ind w:left="480" w:hanging="240"/>
      </w:pPr>
    </w:lvl>
  </w:abstractNum>
  <w:abstractNum w:abstractNumId="5" w15:restartNumberingAfterBreak="0">
    <w:multiLevelType w:val="hybridMultilevel"/>
    <w:lvl w:ilvl="0" w15:tentative="1">
      <w:start w:val="1"/>
      <w:numFmt w:val="decimal"/>
      <w:lvlText w:val="%1."/>
      <w:lvlJc w:val="star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8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2026-08-30T20:59:39.109Z</dcterms:created>
  <dcterms:modified xsi:type="dcterms:W3CDTF">2026-08-30T20:59:39.111Z</dcterms:modified>
</cp:coreProperties>
</file>

<file path=docProps/custom.xml><?xml version="1.0" encoding="utf-8"?>
<Properties xmlns="http://schemas.openxmlformats.org/officeDocument/2006/custom-properties" xmlns:vt="http://schemas.openxmlformats.org/officeDocument/2006/docPropsVTypes"/>
</file>