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06BF" w14:paraId="4596D26A" w14:textId="77777777" w:rsidTr="5375BA86">
        <w:tc>
          <w:tcPr>
            <w:tcW w:w="9360" w:type="dxa"/>
            <w:tcBorders>
              <w:top w:val="none" w:sz="0" w:space="0" w:color="FFFFFF"/>
              <w:left w:val="none" w:sz="0" w:space="0" w:color="FFFFFF"/>
              <w:bottom w:val="none" w:sz="0" w:space="0" w:color="FFFFFF"/>
              <w:right w:val="none" w:sz="0" w:space="0" w:color="FFFFFF"/>
            </w:tcBorders>
            <w:shd w:val="clear" w:color="auto" w:fill="0078D4"/>
            <w:tcMar>
              <w:top w:w="600" w:type="dxa"/>
              <w:left w:w="500" w:type="dxa"/>
              <w:bottom w:w="500" w:type="dxa"/>
              <w:right w:w="400" w:type="dxa"/>
            </w:tcMar>
          </w:tcPr>
          <w:p w14:paraId="468CF8DE" w14:textId="77777777" w:rsidR="00E606BF" w:rsidRDefault="00DE6AA0">
            <w:pPr>
              <w:spacing w:after="100"/>
            </w:pPr>
            <w:r>
              <w:rPr>
                <w:color w:val="C8E6FF"/>
                <w:sz w:val="22"/>
                <w:szCs w:val="22"/>
              </w:rPr>
              <w:t>NORTHBRIDGE GROUP</w:t>
            </w:r>
          </w:p>
          <w:p w14:paraId="2B194D23" w14:textId="77777777" w:rsidR="00E606BF" w:rsidRDefault="00DE6AA0">
            <w:pPr>
              <w:spacing w:after="140"/>
            </w:pPr>
            <w:r>
              <w:rPr>
                <w:b/>
                <w:bCs/>
                <w:color w:val="FFFFFF"/>
                <w:sz w:val="52"/>
                <w:szCs w:val="52"/>
              </w:rPr>
              <w:t>Employee Handbook</w:t>
            </w:r>
          </w:p>
          <w:p w14:paraId="4D030DF8" w14:textId="77777777" w:rsidR="00E606BF" w:rsidRDefault="00DE6AA0">
            <w:pPr>
              <w:spacing w:after="100"/>
            </w:pPr>
            <w:r>
              <w:rPr>
                <w:color w:val="C8E6FF"/>
                <w:sz w:val="21"/>
                <w:szCs w:val="21"/>
              </w:rPr>
              <w:t>Your guide to policies, entitlements, and working practices.</w:t>
            </w:r>
          </w:p>
          <w:p w14:paraId="69D157EF" w14:textId="77777777" w:rsidR="00E606BF" w:rsidRDefault="5375BA86">
            <w:r w:rsidRPr="5375BA86">
              <w:rPr>
                <w:color w:val="C8E6FF"/>
                <w:sz w:val="19"/>
                <w:szCs w:val="19"/>
                <w:lang w:val="en-US"/>
              </w:rPr>
              <w:t>Version 3.2  |  Effective 1 January 2025</w:t>
            </w:r>
          </w:p>
        </w:tc>
      </w:tr>
    </w:tbl>
    <w:p w14:paraId="672A6659" w14:textId="77777777" w:rsidR="00E606BF" w:rsidRDefault="00E606BF">
      <w:pPr>
        <w:spacing w:before="240"/>
      </w:pPr>
    </w:p>
    <w:p w14:paraId="3E7A9F1C" w14:textId="77777777" w:rsidR="00E606BF" w:rsidRDefault="00DE6AA0">
      <w:pPr>
        <w:spacing w:after="100"/>
      </w:pPr>
      <w:r>
        <w:rPr>
          <w:b/>
          <w:bCs/>
          <w:color w:val="003F7F"/>
          <w:sz w:val="28"/>
          <w:szCs w:val="28"/>
        </w:rPr>
        <w:t>Introduction</w:t>
      </w:r>
    </w:p>
    <w:p w14:paraId="77FF4A2A" w14:textId="77777777" w:rsidR="00E606BF" w:rsidRDefault="5375BA86">
      <w:pPr>
        <w:spacing w:before="60" w:after="120"/>
      </w:pPr>
      <w:r w:rsidRPr="5375BA86">
        <w:rPr>
          <w:lang w:val="en-US"/>
        </w:rPr>
        <w:t>This handbook sets out the employment policies, procedures, and entitlements that apply to all employees of Northbridge Group. It should be read in conjunction with your individual contract of employment. In the event of any conflict between this handbook and your contract, your contract will take precedence.</w:t>
      </w:r>
    </w:p>
    <w:p w14:paraId="0A244D2F" w14:textId="77777777" w:rsidR="00E606BF" w:rsidRDefault="00DE6AA0">
      <w:pPr>
        <w:spacing w:before="60" w:after="120"/>
      </w:pPr>
      <w:r>
        <w:t>Northbridge Group reserves the right to amend, update, or withdraw any policy in this handbook at any time. Employees will be notified of any material changes in writing. The most current version of this handbook is always available on the company intranet under People &amp; Culture &gt; Policies.</w:t>
      </w:r>
    </w:p>
    <w:p w14:paraId="32D75170" w14:textId="77777777" w:rsidR="00E606BF" w:rsidRDefault="5375BA86">
      <w:pPr>
        <w:spacing w:before="60" w:after="120"/>
      </w:pPr>
      <w:r w:rsidRPr="5375BA86">
        <w:rPr>
          <w:lang w:val="en-US"/>
        </w:rPr>
        <w:t>This handbook does not form part of your contract of employment unless expressly stated. If you have questions about any policy, please contact your HR Business Partner.</w:t>
      </w:r>
    </w:p>
    <w:p w14:paraId="0A37501D" w14:textId="77777777" w:rsidR="00E606BF" w:rsidRDefault="00E606B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E606BF" w14:paraId="605A5789" w14:textId="77777777">
        <w:trPr>
          <w:cantSplit/>
        </w:trPr>
        <w:tc>
          <w:tcPr>
            <w:tcW w:w="900" w:type="dxa"/>
            <w:tcBorders>
              <w:top w:val="none" w:sz="0" w:space="0" w:color="FFFFFF"/>
              <w:left w:val="none" w:sz="0" w:space="0" w:color="FFFFFF"/>
              <w:bottom w:val="none" w:sz="0" w:space="0" w:color="FFFFFF"/>
              <w:right w:val="none" w:sz="0" w:space="0" w:color="FFFFFF"/>
            </w:tcBorders>
            <w:shd w:val="clear" w:color="auto" w:fill="0078D4"/>
            <w:tcMar>
              <w:top w:w="160" w:type="dxa"/>
              <w:left w:w="200" w:type="dxa"/>
              <w:bottom w:w="160" w:type="dxa"/>
              <w:right w:w="120" w:type="dxa"/>
            </w:tcMar>
            <w:vAlign w:val="center"/>
          </w:tcPr>
          <w:p w14:paraId="649841BE" w14:textId="77777777" w:rsidR="00E606BF" w:rsidRDefault="00DE6AA0">
            <w:pPr>
              <w:jc w:val="center"/>
            </w:pPr>
            <w:r>
              <w:rPr>
                <w:b/>
                <w:bCs/>
                <w:color w:val="FFFFFF"/>
                <w:sz w:val="32"/>
                <w:szCs w:val="32"/>
              </w:rPr>
              <w:t>1</w:t>
            </w:r>
          </w:p>
        </w:tc>
        <w:tc>
          <w:tcPr>
            <w:tcW w:w="8460" w:type="dxa"/>
            <w:tcBorders>
              <w:top w:val="none" w:sz="0" w:space="0" w:color="FFFFFF"/>
              <w:left w:val="none" w:sz="0" w:space="0" w:color="FFFFFF"/>
              <w:bottom w:val="none" w:sz="0" w:space="0" w:color="FFFFFF"/>
              <w:right w:val="none" w:sz="0" w:space="0" w:color="FFFFFF"/>
            </w:tcBorders>
            <w:shd w:val="clear" w:color="auto" w:fill="003F7F"/>
            <w:tcMar>
              <w:top w:w="160" w:type="dxa"/>
              <w:left w:w="240" w:type="dxa"/>
              <w:bottom w:w="160" w:type="dxa"/>
              <w:right w:w="200" w:type="dxa"/>
            </w:tcMar>
            <w:vAlign w:val="center"/>
          </w:tcPr>
          <w:p w14:paraId="127A60A6" w14:textId="77777777" w:rsidR="00E606BF" w:rsidRDefault="00DE6AA0">
            <w:r>
              <w:rPr>
                <w:b/>
                <w:bCs/>
                <w:color w:val="FFFFFF"/>
                <w:sz w:val="28"/>
                <w:szCs w:val="28"/>
              </w:rPr>
              <w:t>Maternity, Paternity &amp; Parental Leave</w:t>
            </w:r>
          </w:p>
        </w:tc>
      </w:tr>
    </w:tbl>
    <w:p w14:paraId="5DAB6C7B" w14:textId="77777777" w:rsidR="00E606BF" w:rsidRDefault="00E606BF">
      <w:pPr>
        <w:spacing w:before="140"/>
      </w:pPr>
    </w:p>
    <w:p w14:paraId="2AF331F6" w14:textId="77777777" w:rsidR="00E606BF" w:rsidRDefault="5375BA86">
      <w:pPr>
        <w:spacing w:before="220" w:after="80"/>
      </w:pPr>
      <w:r w:rsidRPr="5375BA86">
        <w:rPr>
          <w:b/>
          <w:bCs/>
          <w:color w:val="0078D4"/>
          <w:sz w:val="22"/>
          <w:szCs w:val="22"/>
          <w:lang w:val="en-US"/>
        </w:rPr>
        <w:t xml:space="preserve">1.1  </w:t>
      </w:r>
      <w:r w:rsidRPr="5375BA86">
        <w:rPr>
          <w:b/>
          <w:bCs/>
          <w:color w:val="003F7F"/>
          <w:sz w:val="22"/>
          <w:szCs w:val="22"/>
          <w:lang w:val="en-US"/>
        </w:rPr>
        <w:t>Maternity Leave — Entitlement</w:t>
      </w:r>
    </w:p>
    <w:p w14:paraId="0482564D" w14:textId="77777777" w:rsidR="00E606BF" w:rsidRDefault="5375BA86">
      <w:pPr>
        <w:spacing w:before="60" w:after="120"/>
      </w:pPr>
      <w:r w:rsidRPr="5375BA86">
        <w:rPr>
          <w:lang w:val="en-US"/>
        </w:rPr>
        <w:t>All employees, regardless of length of service or hours worked, are entitled to 52 weeks of statutory maternity leave under the Maternity and Parental Leave (Amendment) Act 2004. This consists of 26 weeks of ordinary maternity leave (OML) and a further 26 weeks of additional maternity leave (AML), which begins immediately after OML ends.</w:t>
      </w:r>
    </w:p>
    <w:p w14:paraId="16C544F4" w14:textId="77777777" w:rsidR="00E606BF" w:rsidRDefault="5375BA86">
      <w:pPr>
        <w:spacing w:before="60" w:after="120"/>
      </w:pPr>
      <w:r w:rsidRPr="5375BA86">
        <w:rPr>
          <w:lang w:val="en-US"/>
        </w:rPr>
        <w:t>Maternity leave can begin at any time from the 11th week before the expected week of childbirth (EWC). Employees are required to take a minimum of 2 weeks of compulsory maternity leave immediately following the birth.</w:t>
      </w:r>
    </w:p>
    <w:p w14:paraId="2136A869" w14:textId="77777777" w:rsidR="00E606BF" w:rsidRDefault="5375BA86">
      <w:pPr>
        <w:spacing w:before="220" w:after="80"/>
      </w:pPr>
      <w:r w:rsidRPr="5375BA86">
        <w:rPr>
          <w:b/>
          <w:bCs/>
          <w:color w:val="0078D4"/>
          <w:sz w:val="22"/>
          <w:szCs w:val="22"/>
          <w:lang w:val="en-US"/>
        </w:rPr>
        <w:t xml:space="preserve">1.2  </w:t>
      </w:r>
      <w:r w:rsidRPr="5375BA86">
        <w:rPr>
          <w:b/>
          <w:bCs/>
          <w:color w:val="003F7F"/>
          <w:sz w:val="22"/>
          <w:szCs w:val="22"/>
          <w:lang w:val="en-US"/>
        </w:rPr>
        <w:t>Maternity Pay</w:t>
      </w:r>
    </w:p>
    <w:p w14:paraId="47C9E494" w14:textId="77777777" w:rsidR="00E606BF" w:rsidRDefault="5375BA86">
      <w:pPr>
        <w:spacing w:before="60" w:after="120"/>
      </w:pPr>
      <w:r w:rsidRPr="5375BA86">
        <w:rPr>
          <w:lang w:val="en-US"/>
        </w:rPr>
        <w:t>The company operates an enhanced maternity pay scheme for eligible employees. Eligibility and entitlements are as follows:</w:t>
      </w:r>
    </w:p>
    <w:p w14:paraId="02EB378F" w14:textId="77777777" w:rsidR="00E606BF" w:rsidRDefault="00E606BF">
      <w:pPr>
        <w:spacing w:before="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606BF" w14:paraId="4746E929" w14:textId="77777777">
        <w:trPr>
          <w:tblHeader/>
        </w:trPr>
        <w:tc>
          <w:tcPr>
            <w:tcW w:w="3120" w:type="dxa"/>
            <w:tcBorders>
              <w:top w:val="single" w:sz="2" w:space="0" w:color="0078D4"/>
              <w:left w:val="single" w:sz="2" w:space="0" w:color="0078D4"/>
              <w:bottom w:val="single" w:sz="2" w:space="0" w:color="0078D4"/>
              <w:right w:val="single" w:sz="2" w:space="0" w:color="0078D4"/>
            </w:tcBorders>
            <w:shd w:val="clear" w:color="auto" w:fill="003F7F"/>
            <w:tcMar>
              <w:top w:w="80" w:type="dxa"/>
              <w:left w:w="120" w:type="dxa"/>
              <w:bottom w:w="80" w:type="dxa"/>
              <w:right w:w="80" w:type="dxa"/>
            </w:tcMar>
          </w:tcPr>
          <w:p w14:paraId="6B8EC09E" w14:textId="77777777" w:rsidR="00E606BF" w:rsidRDefault="00DE6AA0">
            <w:r>
              <w:rPr>
                <w:b/>
                <w:bCs/>
                <w:color w:val="FFFFFF"/>
                <w:sz w:val="19"/>
                <w:szCs w:val="19"/>
              </w:rPr>
              <w:t>Period of Leave</w:t>
            </w:r>
          </w:p>
        </w:tc>
        <w:tc>
          <w:tcPr>
            <w:tcW w:w="3120" w:type="dxa"/>
            <w:tcBorders>
              <w:top w:val="single" w:sz="2" w:space="0" w:color="0078D4"/>
              <w:left w:val="single" w:sz="2" w:space="0" w:color="0078D4"/>
              <w:bottom w:val="single" w:sz="2" w:space="0" w:color="0078D4"/>
              <w:right w:val="single" w:sz="2" w:space="0" w:color="0078D4"/>
            </w:tcBorders>
            <w:shd w:val="clear" w:color="auto" w:fill="003F7F"/>
            <w:tcMar>
              <w:top w:w="80" w:type="dxa"/>
              <w:left w:w="120" w:type="dxa"/>
              <w:bottom w:w="80" w:type="dxa"/>
              <w:right w:w="80" w:type="dxa"/>
            </w:tcMar>
          </w:tcPr>
          <w:p w14:paraId="622C2DB5" w14:textId="77777777" w:rsidR="00E606BF" w:rsidRDefault="00DE6AA0">
            <w:r>
              <w:rPr>
                <w:b/>
                <w:bCs/>
                <w:color w:val="FFFFFF"/>
                <w:sz w:val="19"/>
                <w:szCs w:val="19"/>
              </w:rPr>
              <w:t>Service Requirement</w:t>
            </w:r>
          </w:p>
        </w:tc>
        <w:tc>
          <w:tcPr>
            <w:tcW w:w="3120" w:type="dxa"/>
            <w:tcBorders>
              <w:top w:val="single" w:sz="2" w:space="0" w:color="0078D4"/>
              <w:left w:val="single" w:sz="2" w:space="0" w:color="0078D4"/>
              <w:bottom w:val="single" w:sz="2" w:space="0" w:color="0078D4"/>
              <w:right w:val="single" w:sz="2" w:space="0" w:color="0078D4"/>
            </w:tcBorders>
            <w:shd w:val="clear" w:color="auto" w:fill="003F7F"/>
            <w:tcMar>
              <w:top w:w="80" w:type="dxa"/>
              <w:left w:w="120" w:type="dxa"/>
              <w:bottom w:w="80" w:type="dxa"/>
              <w:right w:w="80" w:type="dxa"/>
            </w:tcMar>
          </w:tcPr>
          <w:p w14:paraId="59F332E0" w14:textId="77777777" w:rsidR="00E606BF" w:rsidRDefault="00DE6AA0">
            <w:r>
              <w:rPr>
                <w:b/>
                <w:bCs/>
                <w:color w:val="FFFFFF"/>
                <w:sz w:val="19"/>
                <w:szCs w:val="19"/>
              </w:rPr>
              <w:t>Company Pay</w:t>
            </w:r>
          </w:p>
        </w:tc>
      </w:tr>
      <w:tr w:rsidR="00E606BF" w14:paraId="5399BFC5" w14:textId="77777777">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80" w:type="dxa"/>
            </w:tcMar>
          </w:tcPr>
          <w:p w14:paraId="43A853EE" w14:textId="77777777" w:rsidR="00E606BF" w:rsidRDefault="00DE6AA0">
            <w:r>
              <w:rPr>
                <w:sz w:val="19"/>
                <w:szCs w:val="19"/>
              </w:rPr>
              <w:t>Weeks 1–8 (OML)</w:t>
            </w:r>
          </w:p>
        </w:tc>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80" w:type="dxa"/>
            </w:tcMar>
          </w:tcPr>
          <w:p w14:paraId="62160106" w14:textId="77777777" w:rsidR="00E606BF" w:rsidRDefault="00DE6AA0">
            <w:r>
              <w:rPr>
                <w:sz w:val="19"/>
                <w:szCs w:val="19"/>
              </w:rPr>
              <w:t>6+ months at EWC</w:t>
            </w:r>
          </w:p>
        </w:tc>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80" w:type="dxa"/>
            </w:tcMar>
          </w:tcPr>
          <w:p w14:paraId="59BCEDF9" w14:textId="77777777" w:rsidR="00E606BF" w:rsidRDefault="00DE6AA0">
            <w:r>
              <w:rPr>
                <w:sz w:val="19"/>
                <w:szCs w:val="19"/>
              </w:rPr>
              <w:t>Full basic salary (less SMP where claimed)</w:t>
            </w:r>
          </w:p>
        </w:tc>
      </w:tr>
      <w:tr w:rsidR="00E606BF" w14:paraId="39B7A938" w14:textId="77777777">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0939DBEC" w14:textId="77777777" w:rsidR="00E606BF" w:rsidRDefault="00DE6AA0">
            <w:r>
              <w:rPr>
                <w:sz w:val="19"/>
                <w:szCs w:val="19"/>
              </w:rPr>
              <w:t>Weeks 9–16 (OML)</w:t>
            </w:r>
          </w:p>
        </w:tc>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0B08607E" w14:textId="77777777" w:rsidR="00E606BF" w:rsidRDefault="00DE6AA0">
            <w:r>
              <w:rPr>
                <w:sz w:val="19"/>
                <w:szCs w:val="19"/>
              </w:rPr>
              <w:t>6+ months at EWC</w:t>
            </w:r>
          </w:p>
        </w:tc>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6D3C2685" w14:textId="77777777" w:rsidR="00E606BF" w:rsidRDefault="00DE6AA0">
            <w:r>
              <w:rPr>
                <w:sz w:val="19"/>
                <w:szCs w:val="19"/>
              </w:rPr>
              <w:t>50% basic salary + SMP (if eligible)</w:t>
            </w:r>
          </w:p>
        </w:tc>
      </w:tr>
      <w:tr w:rsidR="00E606BF" w14:paraId="4A4D0286" w14:textId="77777777">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80" w:type="dxa"/>
            </w:tcMar>
          </w:tcPr>
          <w:p w14:paraId="1502D5DD" w14:textId="77777777" w:rsidR="00E606BF" w:rsidRDefault="00DE6AA0">
            <w:r>
              <w:rPr>
                <w:sz w:val="19"/>
                <w:szCs w:val="19"/>
              </w:rPr>
              <w:t>Weeks 17–26 (OML)</w:t>
            </w:r>
          </w:p>
        </w:tc>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80" w:type="dxa"/>
            </w:tcMar>
          </w:tcPr>
          <w:p w14:paraId="4C883659" w14:textId="77777777" w:rsidR="00E606BF" w:rsidRDefault="00DE6AA0">
            <w:r>
              <w:rPr>
                <w:sz w:val="19"/>
                <w:szCs w:val="19"/>
              </w:rPr>
              <w:t>6+ months at EWC</w:t>
            </w:r>
          </w:p>
        </w:tc>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80" w:type="dxa"/>
            </w:tcMar>
          </w:tcPr>
          <w:p w14:paraId="02E8D1EA" w14:textId="77777777" w:rsidR="00E606BF" w:rsidRDefault="00DE6AA0">
            <w:r>
              <w:rPr>
                <w:sz w:val="19"/>
                <w:szCs w:val="19"/>
              </w:rPr>
              <w:t>SMP only (if eligible)</w:t>
            </w:r>
          </w:p>
        </w:tc>
      </w:tr>
      <w:tr w:rsidR="00E606BF" w14:paraId="5CFDB4B1" w14:textId="77777777">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2AAE8A2B" w14:textId="77777777" w:rsidR="00E606BF" w:rsidRDefault="00DE6AA0">
            <w:r>
              <w:rPr>
                <w:sz w:val="19"/>
                <w:szCs w:val="19"/>
              </w:rPr>
              <w:t>Weeks 27–52 (AML)</w:t>
            </w:r>
          </w:p>
        </w:tc>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4F8C78E1" w14:textId="77777777" w:rsidR="00E606BF" w:rsidRDefault="00DE6AA0">
            <w:r>
              <w:rPr>
                <w:sz w:val="19"/>
                <w:szCs w:val="19"/>
              </w:rPr>
              <w:t>Any</w:t>
            </w:r>
          </w:p>
        </w:tc>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598D5A5B" w14:textId="77777777" w:rsidR="00E606BF" w:rsidRDefault="00DE6AA0">
            <w:r>
              <w:rPr>
                <w:sz w:val="19"/>
                <w:szCs w:val="19"/>
              </w:rPr>
              <w:t>Unpaid (SMP may still apply weeks 27–39)</w:t>
            </w:r>
          </w:p>
        </w:tc>
      </w:tr>
      <w:tr w:rsidR="00E606BF" w14:paraId="7EC6A38F" w14:textId="77777777">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80" w:type="dxa"/>
            </w:tcMar>
          </w:tcPr>
          <w:p w14:paraId="607167F4" w14:textId="77777777" w:rsidR="00E606BF" w:rsidRDefault="00DE6AA0">
            <w:r>
              <w:rPr>
                <w:sz w:val="19"/>
                <w:szCs w:val="19"/>
              </w:rPr>
              <w:t>Any period</w:t>
            </w:r>
          </w:p>
        </w:tc>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80" w:type="dxa"/>
            </w:tcMar>
          </w:tcPr>
          <w:p w14:paraId="11CEFB3C" w14:textId="77777777" w:rsidR="00E606BF" w:rsidRDefault="00DE6AA0">
            <w:r>
              <w:rPr>
                <w:sz w:val="19"/>
                <w:szCs w:val="19"/>
              </w:rPr>
              <w:t>&lt; 6 months at EWC</w:t>
            </w:r>
          </w:p>
        </w:tc>
        <w:tc>
          <w:tcPr>
            <w:tcW w:w="312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80" w:type="dxa"/>
            </w:tcMar>
          </w:tcPr>
          <w:p w14:paraId="6AF82C94" w14:textId="77777777" w:rsidR="00E606BF" w:rsidRDefault="00DE6AA0">
            <w:r>
              <w:rPr>
                <w:sz w:val="19"/>
                <w:szCs w:val="19"/>
              </w:rPr>
              <w:t>SMP only if eligible, otherwise unpaid</w:t>
            </w:r>
          </w:p>
        </w:tc>
      </w:tr>
    </w:tbl>
    <w:p w14:paraId="6A05A809" w14:textId="77777777" w:rsidR="00E606BF" w:rsidRDefault="00E606BF">
      <w:pPr>
        <w:spacing w:before="120"/>
      </w:pPr>
    </w:p>
    <w:p w14:paraId="2E85B9AB" w14:textId="77777777" w:rsidR="00E606BF" w:rsidRDefault="00DE6AA0">
      <w:pPr>
        <w:spacing w:before="60" w:after="120"/>
      </w:pPr>
      <w:r>
        <w:t>Statutory Maternity Pay (SMP) is paid at 90% of average weekly earnings for the first 6 weeks, then at the statutory flat rate (or 90% of earnings if lower) for the remaining 33 weeks. Employees must meet the government's qualifying conditions to receive SMP.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06BF" w14:paraId="6B27C3BE" w14:textId="77777777" w:rsidTr="5375BA86">
        <w:tc>
          <w:tcPr>
            <w:tcW w:w="9360" w:type="dxa"/>
            <w:tcBorders>
              <w:top w:val="single" w:sz="2" w:space="0" w:color="0078D4"/>
              <w:left w:val="single" w:sz="18" w:space="0" w:color="0078D4"/>
              <w:bottom w:val="single" w:sz="2" w:space="0" w:color="0078D4"/>
              <w:right w:val="single" w:sz="2" w:space="0" w:color="0078D4"/>
            </w:tcBorders>
            <w:shd w:val="clear" w:color="auto" w:fill="EFF8FF"/>
            <w:tcMar>
              <w:top w:w="100" w:type="dxa"/>
              <w:left w:w="200" w:type="dxa"/>
              <w:bottom w:w="100" w:type="dxa"/>
              <w:right w:w="160" w:type="dxa"/>
            </w:tcMar>
          </w:tcPr>
          <w:p w14:paraId="711DD3A2" w14:textId="77777777" w:rsidR="00E606BF" w:rsidRDefault="5375BA86">
            <w:r w:rsidRPr="5375BA86">
              <w:rPr>
                <w:b/>
                <w:bCs/>
                <w:color w:val="0078D4"/>
                <w:sz w:val="19"/>
                <w:szCs w:val="19"/>
                <w:lang w:val="en-US"/>
              </w:rPr>
              <w:t xml:space="preserve">Note:  </w:t>
            </w:r>
            <w:r w:rsidRPr="5375BA86">
              <w:rPr>
                <w:i/>
                <w:iCs/>
                <w:sz w:val="19"/>
                <w:szCs w:val="19"/>
                <w:lang w:val="en-US"/>
              </w:rPr>
              <w:t>Employees receiving enhanced company maternity pay are required to return to work for a minimum of 3 months following their return date. Failure to return (other than for reasons beyond the employee's control) may result in repayment of the enhancement element only.</w:t>
            </w:r>
          </w:p>
        </w:tc>
      </w:tr>
    </w:tbl>
    <w:p w14:paraId="02277B9F" w14:textId="77777777" w:rsidR="00E606BF" w:rsidRDefault="5375BA86">
      <w:pPr>
        <w:spacing w:before="220" w:after="80"/>
      </w:pPr>
      <w:r w:rsidRPr="5375BA86">
        <w:rPr>
          <w:b/>
          <w:bCs/>
          <w:color w:val="0078D4"/>
          <w:sz w:val="22"/>
          <w:szCs w:val="22"/>
          <w:lang w:val="en-US"/>
        </w:rPr>
        <w:t xml:space="preserve">1.3  </w:t>
      </w:r>
      <w:r w:rsidRPr="5375BA86">
        <w:rPr>
          <w:b/>
          <w:bCs/>
          <w:color w:val="003F7F"/>
          <w:sz w:val="22"/>
          <w:szCs w:val="22"/>
          <w:lang w:val="en-US"/>
        </w:rPr>
        <w:t>Notification Requirements</w:t>
      </w:r>
    </w:p>
    <w:p w14:paraId="48CA1F51" w14:textId="77777777" w:rsidR="00E606BF" w:rsidRDefault="5375BA86">
      <w:pPr>
        <w:spacing w:before="60" w:after="120"/>
      </w:pPr>
      <w:r w:rsidRPr="5375BA86">
        <w:rPr>
          <w:lang w:val="en-US"/>
        </w:rPr>
        <w:t>To exercise the right to maternity leave, employees must notify HR and their line manager in writing no later than the end of the 15th week before the EWC. Notification must include:</w:t>
      </w:r>
    </w:p>
    <w:p w14:paraId="690D6B91" w14:textId="77777777" w:rsidR="00E606BF" w:rsidRDefault="00DE6AA0">
      <w:pPr>
        <w:spacing w:before="60" w:after="80"/>
        <w:ind w:left="480"/>
      </w:pPr>
      <w:r>
        <w:rPr>
          <w:b/>
          <w:bCs/>
          <w:color w:val="0078D4"/>
        </w:rPr>
        <w:t xml:space="preserve">(a)  </w:t>
      </w:r>
      <w:r>
        <w:t>Confirmation that the employee is pregnant;</w:t>
      </w:r>
    </w:p>
    <w:p w14:paraId="5790DB1E" w14:textId="77777777" w:rsidR="00E606BF" w:rsidRDefault="00DE6AA0">
      <w:pPr>
        <w:spacing w:before="60" w:after="80"/>
        <w:ind w:left="480"/>
      </w:pPr>
      <w:r>
        <w:rPr>
          <w:b/>
          <w:bCs/>
          <w:color w:val="0078D4"/>
        </w:rPr>
        <w:t xml:space="preserve">(b)  </w:t>
      </w:r>
      <w:r>
        <w:t>The expected week of childbirth; and</w:t>
      </w:r>
    </w:p>
    <w:p w14:paraId="4C6206B5" w14:textId="77777777" w:rsidR="00E606BF" w:rsidRDefault="5375BA86">
      <w:pPr>
        <w:spacing w:before="60" w:after="80"/>
        <w:ind w:left="480"/>
      </w:pPr>
      <w:r w:rsidRPr="5375BA86">
        <w:rPr>
          <w:b/>
          <w:bCs/>
          <w:color w:val="0078D4"/>
          <w:lang w:val="en-US"/>
        </w:rPr>
        <w:t xml:space="preserve">(c)  </w:t>
      </w:r>
      <w:r w:rsidRPr="5375BA86">
        <w:rPr>
          <w:lang w:val="en-US"/>
        </w:rPr>
        <w:t>The intended start date of maternity leave.</w:t>
      </w:r>
    </w:p>
    <w:p w14:paraId="3E483C52" w14:textId="77777777" w:rsidR="00E606BF" w:rsidRDefault="5375BA86">
      <w:pPr>
        <w:spacing w:before="60" w:after="120"/>
      </w:pPr>
      <w:r w:rsidRPr="5375BA86">
        <w:rPr>
          <w:lang w:val="en-US"/>
        </w:rPr>
        <w:t>A MATB1 certificate (or equivalent medical evidence) must be provided to HR no later than 28 days before the intended start date, or as soon as is reasonably practicable. Employees who fail to provide notification may lose the right to enhanced pay.</w:t>
      </w:r>
    </w:p>
    <w:p w14:paraId="4035E759" w14:textId="77777777" w:rsidR="00E606BF" w:rsidRDefault="5375BA86">
      <w:pPr>
        <w:spacing w:before="220" w:after="80"/>
      </w:pPr>
      <w:r w:rsidRPr="5375BA86">
        <w:rPr>
          <w:b/>
          <w:bCs/>
          <w:color w:val="0078D4"/>
          <w:sz w:val="22"/>
          <w:szCs w:val="22"/>
          <w:lang w:val="en-US"/>
        </w:rPr>
        <w:t xml:space="preserve">1.4  </w:t>
      </w:r>
      <w:r w:rsidRPr="5375BA86">
        <w:rPr>
          <w:b/>
          <w:bCs/>
          <w:color w:val="003F7F"/>
          <w:sz w:val="22"/>
          <w:szCs w:val="22"/>
          <w:lang w:val="en-US"/>
        </w:rPr>
        <w:t>Keeping in Touch (KIT) Days</w:t>
      </w:r>
    </w:p>
    <w:p w14:paraId="2D524EE6" w14:textId="77777777" w:rsidR="00E606BF" w:rsidRDefault="5375BA86">
      <w:pPr>
        <w:spacing w:before="60" w:after="120"/>
      </w:pPr>
      <w:r w:rsidRPr="5375BA86">
        <w:rPr>
          <w:lang w:val="en-US"/>
        </w:rPr>
        <w:t>During maternity leave, employees may work for up to 10 Keeping in Touch days without bringing their leave to an end. KIT days are voluntary for both the employee and the company and must be agreed in advance with the line manager. KIT days are paid at the employee's normal daily rate, which is offset against any SMP or company maternity pay being received during that period.</w:t>
      </w:r>
    </w:p>
    <w:p w14:paraId="04D16103" w14:textId="77777777" w:rsidR="00E606BF" w:rsidRDefault="5375BA86">
      <w:pPr>
        <w:spacing w:before="220" w:after="80"/>
      </w:pPr>
      <w:r w:rsidRPr="5375BA86">
        <w:rPr>
          <w:b/>
          <w:bCs/>
          <w:color w:val="0078D4"/>
          <w:sz w:val="22"/>
          <w:szCs w:val="22"/>
          <w:lang w:val="en-US"/>
        </w:rPr>
        <w:t xml:space="preserve">1.5  </w:t>
      </w:r>
      <w:r w:rsidRPr="5375BA86">
        <w:rPr>
          <w:b/>
          <w:bCs/>
          <w:color w:val="003F7F"/>
          <w:sz w:val="22"/>
          <w:szCs w:val="22"/>
          <w:lang w:val="en-US"/>
        </w:rPr>
        <w:t>Paternity Leave</w:t>
      </w:r>
    </w:p>
    <w:p w14:paraId="57C85CDE" w14:textId="77777777" w:rsidR="00E606BF" w:rsidRDefault="5375BA86">
      <w:pPr>
        <w:spacing w:before="60" w:after="120"/>
      </w:pPr>
      <w:r w:rsidRPr="5375BA86">
        <w:rPr>
          <w:lang w:val="en-US"/>
        </w:rPr>
        <w:t>Employees whose partner (including same-sex partner or civil partner) is expecting a baby, or who are adopting a child, are entitled to 2 weeks of statutory paternity leave. Both weeks must be taken consecutively and within 56 days of the birth (or placement for adoption).</w:t>
      </w:r>
    </w:p>
    <w:p w14:paraId="6EE5DEDF" w14:textId="77777777" w:rsidR="00E606BF" w:rsidRDefault="00DE6AA0">
      <w:pPr>
        <w:spacing w:before="60" w:after="120"/>
      </w:pPr>
      <w:r>
        <w:t>The company enhances statutory paternity pay to full basic salary for the full 2 weeks for employees with 6 or more months of continuous service at the expected week of childbirth. Employees with less than 6 months of service are entitled to Statutory Paternity Pay only, provided they meet the government's qualifying conditions.</w:t>
      </w:r>
    </w:p>
    <w:p w14:paraId="2BBC8AE5" w14:textId="77777777" w:rsidR="00E606BF" w:rsidRDefault="5375BA86">
      <w:pPr>
        <w:spacing w:before="220" w:after="80"/>
      </w:pPr>
      <w:r w:rsidRPr="5375BA86">
        <w:rPr>
          <w:b/>
          <w:bCs/>
          <w:color w:val="0078D4"/>
          <w:sz w:val="22"/>
          <w:szCs w:val="22"/>
          <w:lang w:val="en-US"/>
        </w:rPr>
        <w:t xml:space="preserve">1.6  </w:t>
      </w:r>
      <w:r w:rsidRPr="5375BA86">
        <w:rPr>
          <w:b/>
          <w:bCs/>
          <w:color w:val="003F7F"/>
          <w:sz w:val="22"/>
          <w:szCs w:val="22"/>
          <w:lang w:val="en-US"/>
        </w:rPr>
        <w:t>Shared Parental Leave</w:t>
      </w:r>
    </w:p>
    <w:p w14:paraId="7943559C" w14:textId="77777777" w:rsidR="00E606BF" w:rsidRDefault="5375BA86">
      <w:pPr>
        <w:spacing w:before="60" w:after="120"/>
      </w:pPr>
      <w:r w:rsidRPr="5375BA86">
        <w:rPr>
          <w:lang w:val="en-US"/>
        </w:rPr>
        <w:t>Eligible employees may take Shared Parental Leave (SPL) to share up to 50 weeks of leave and up to 37 weeks of pay between parents following the birth or adoption of a child. Both parents must meet government eligibility criteria and the mother/primary adopter must have curtailed, or given notice to curtail, their maternity or adoption leave.</w:t>
      </w:r>
    </w:p>
    <w:p w14:paraId="4F9450F0" w14:textId="77777777" w:rsidR="00E606BF" w:rsidRDefault="5375BA86">
      <w:pPr>
        <w:spacing w:before="60" w:after="120"/>
      </w:pPr>
      <w:r w:rsidRPr="5375BA86">
        <w:rPr>
          <w:lang w:val="en-US"/>
        </w:rPr>
        <w:t>SPL can be taken in up to three separate blocks by each parent, subject to 8 weeks' written notice. Where an employee requests SPL in continuous blocks, the company may not refuse. Where leave is requested in discontinuous blocks, the company may propose alternative arrangements and the employee retains the right to take the leave as continuous blocks.</w:t>
      </w:r>
    </w:p>
    <w:p w14:paraId="01A5AB49" w14:textId="77777777" w:rsidR="00E606BF" w:rsidRDefault="00DE6AA0">
      <w:pPr>
        <w:spacing w:before="60" w:after="120"/>
      </w:pPr>
      <w:r>
        <w:t>Enhanced pay during SPL will be applied at the same rate as enhanced maternity pay (as described in clause 1.2) where the employee taking SPL is the birth mother or primary adopter. For the non-primary parent, company SPL pay will be at full basic salary for up to 2 weeks only, with any remaining SPL pay at the statutory rate.</w:t>
      </w:r>
    </w:p>
    <w:p w14:paraId="5A39BBE3" w14:textId="77777777" w:rsidR="00E606BF" w:rsidRDefault="00E606B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E606BF" w14:paraId="42E543CE" w14:textId="77777777">
        <w:trPr>
          <w:cantSplit/>
        </w:trPr>
        <w:tc>
          <w:tcPr>
            <w:tcW w:w="900" w:type="dxa"/>
            <w:tcBorders>
              <w:top w:val="none" w:sz="0" w:space="0" w:color="FFFFFF"/>
              <w:left w:val="none" w:sz="0" w:space="0" w:color="FFFFFF"/>
              <w:bottom w:val="none" w:sz="0" w:space="0" w:color="FFFFFF"/>
              <w:right w:val="none" w:sz="0" w:space="0" w:color="FFFFFF"/>
            </w:tcBorders>
            <w:shd w:val="clear" w:color="auto" w:fill="0078D4"/>
            <w:tcMar>
              <w:top w:w="160" w:type="dxa"/>
              <w:left w:w="200" w:type="dxa"/>
              <w:bottom w:w="160" w:type="dxa"/>
              <w:right w:w="120" w:type="dxa"/>
            </w:tcMar>
            <w:vAlign w:val="center"/>
          </w:tcPr>
          <w:p w14:paraId="18F999B5" w14:textId="77777777" w:rsidR="00E606BF" w:rsidRDefault="00DE6AA0">
            <w:pPr>
              <w:jc w:val="center"/>
            </w:pPr>
            <w:r>
              <w:rPr>
                <w:b/>
                <w:bCs/>
                <w:color w:val="FFFFFF"/>
                <w:sz w:val="32"/>
                <w:szCs w:val="32"/>
              </w:rPr>
              <w:t>2</w:t>
            </w:r>
          </w:p>
        </w:tc>
        <w:tc>
          <w:tcPr>
            <w:tcW w:w="8460" w:type="dxa"/>
            <w:tcBorders>
              <w:top w:val="none" w:sz="0" w:space="0" w:color="FFFFFF"/>
              <w:left w:val="none" w:sz="0" w:space="0" w:color="FFFFFF"/>
              <w:bottom w:val="none" w:sz="0" w:space="0" w:color="FFFFFF"/>
              <w:right w:val="none" w:sz="0" w:space="0" w:color="FFFFFF"/>
            </w:tcBorders>
            <w:shd w:val="clear" w:color="auto" w:fill="003F7F"/>
            <w:tcMar>
              <w:top w:w="160" w:type="dxa"/>
              <w:left w:w="240" w:type="dxa"/>
              <w:bottom w:w="160" w:type="dxa"/>
              <w:right w:w="200" w:type="dxa"/>
            </w:tcMar>
            <w:vAlign w:val="center"/>
          </w:tcPr>
          <w:p w14:paraId="1C279FB4" w14:textId="77777777" w:rsidR="00E606BF" w:rsidRDefault="00DE6AA0">
            <w:r>
              <w:rPr>
                <w:b/>
                <w:bCs/>
                <w:color w:val="FFFFFF"/>
                <w:sz w:val="28"/>
                <w:szCs w:val="28"/>
              </w:rPr>
              <w:t>Annual Leave &amp; Public Holidays</w:t>
            </w:r>
          </w:p>
        </w:tc>
      </w:tr>
    </w:tbl>
    <w:p w14:paraId="41C8F396" w14:textId="77777777" w:rsidR="00E606BF" w:rsidRDefault="00E606BF">
      <w:pPr>
        <w:spacing w:before="140"/>
      </w:pPr>
    </w:p>
    <w:p w14:paraId="22D43ECD" w14:textId="77777777" w:rsidR="00E606BF" w:rsidRDefault="5375BA86">
      <w:pPr>
        <w:spacing w:before="220" w:after="80"/>
      </w:pPr>
      <w:r w:rsidRPr="5375BA86">
        <w:rPr>
          <w:b/>
          <w:bCs/>
          <w:color w:val="0078D4"/>
          <w:sz w:val="22"/>
          <w:szCs w:val="22"/>
          <w:lang w:val="en-US"/>
        </w:rPr>
        <w:t xml:space="preserve">2.1  </w:t>
      </w:r>
      <w:r w:rsidRPr="5375BA86">
        <w:rPr>
          <w:b/>
          <w:bCs/>
          <w:color w:val="003F7F"/>
          <w:sz w:val="22"/>
          <w:szCs w:val="22"/>
          <w:lang w:val="en-US"/>
        </w:rPr>
        <w:t>Annual Leave Entitlement</w:t>
      </w:r>
    </w:p>
    <w:p w14:paraId="35E10B4F" w14:textId="77777777" w:rsidR="00E606BF" w:rsidRDefault="5375BA86">
      <w:pPr>
        <w:spacing w:before="60" w:after="120"/>
      </w:pPr>
      <w:r w:rsidRPr="5375BA86">
        <w:rPr>
          <w:lang w:val="en-US"/>
        </w:rPr>
        <w:t>The holiday year runs from 1 January to 31 December. Annual leave entitlement for full-time employees is as follows:</w:t>
      </w:r>
    </w:p>
    <w:p w14:paraId="72A3D3EC" w14:textId="77777777" w:rsidR="00E606BF" w:rsidRDefault="00E606BF">
      <w:pPr>
        <w:spacing w:before="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606BF" w14:paraId="2A94B02F" w14:textId="77777777">
        <w:trPr>
          <w:tblHeader/>
        </w:trPr>
        <w:tc>
          <w:tcPr>
            <w:tcW w:w="4680" w:type="dxa"/>
            <w:tcBorders>
              <w:top w:val="single" w:sz="2" w:space="0" w:color="0078D4"/>
              <w:left w:val="single" w:sz="2" w:space="0" w:color="0078D4"/>
              <w:bottom w:val="single" w:sz="2" w:space="0" w:color="0078D4"/>
              <w:right w:val="single" w:sz="2" w:space="0" w:color="0078D4"/>
            </w:tcBorders>
            <w:shd w:val="clear" w:color="auto" w:fill="003F7F"/>
            <w:tcMar>
              <w:top w:w="80" w:type="dxa"/>
              <w:left w:w="120" w:type="dxa"/>
              <w:bottom w:w="80" w:type="dxa"/>
              <w:right w:w="80" w:type="dxa"/>
            </w:tcMar>
          </w:tcPr>
          <w:p w14:paraId="7450865A" w14:textId="77777777" w:rsidR="00E606BF" w:rsidRDefault="00DE6AA0">
            <w:r>
              <w:rPr>
                <w:b/>
                <w:bCs/>
                <w:color w:val="FFFFFF"/>
                <w:sz w:val="19"/>
                <w:szCs w:val="19"/>
              </w:rPr>
              <w:t>Length of Continuous Service</w:t>
            </w:r>
          </w:p>
        </w:tc>
        <w:tc>
          <w:tcPr>
            <w:tcW w:w="4680" w:type="dxa"/>
            <w:tcBorders>
              <w:top w:val="single" w:sz="2" w:space="0" w:color="0078D4"/>
              <w:left w:val="single" w:sz="2" w:space="0" w:color="0078D4"/>
              <w:bottom w:val="single" w:sz="2" w:space="0" w:color="0078D4"/>
              <w:right w:val="single" w:sz="2" w:space="0" w:color="0078D4"/>
            </w:tcBorders>
            <w:shd w:val="clear" w:color="auto" w:fill="003F7F"/>
            <w:tcMar>
              <w:top w:w="80" w:type="dxa"/>
              <w:left w:w="120" w:type="dxa"/>
              <w:bottom w:w="80" w:type="dxa"/>
              <w:right w:w="80" w:type="dxa"/>
            </w:tcMar>
          </w:tcPr>
          <w:p w14:paraId="73B51A57" w14:textId="77777777" w:rsidR="00E606BF" w:rsidRDefault="00DE6AA0">
            <w:r>
              <w:rPr>
                <w:b/>
                <w:bCs/>
                <w:color w:val="FFFFFF"/>
                <w:sz w:val="19"/>
                <w:szCs w:val="19"/>
              </w:rPr>
              <w:t>Annual Leave Entitlement</w:t>
            </w:r>
          </w:p>
        </w:tc>
      </w:tr>
      <w:tr w:rsidR="00E606BF" w14:paraId="01E6D04D" w14:textId="77777777">
        <w:tc>
          <w:tcPr>
            <w:tcW w:w="468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80" w:type="dxa"/>
            </w:tcMar>
          </w:tcPr>
          <w:p w14:paraId="5D1386F8" w14:textId="77777777" w:rsidR="00E606BF" w:rsidRDefault="00DE6AA0">
            <w:r>
              <w:rPr>
                <w:sz w:val="19"/>
                <w:szCs w:val="19"/>
              </w:rPr>
              <w:t>0–2 years</w:t>
            </w:r>
          </w:p>
        </w:tc>
        <w:tc>
          <w:tcPr>
            <w:tcW w:w="468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80" w:type="dxa"/>
            </w:tcMar>
          </w:tcPr>
          <w:p w14:paraId="4EC8E8D8" w14:textId="77777777" w:rsidR="00E606BF" w:rsidRDefault="00DE6AA0">
            <w:r>
              <w:rPr>
                <w:sz w:val="19"/>
                <w:szCs w:val="19"/>
              </w:rPr>
              <w:t>25 days per year</w:t>
            </w:r>
          </w:p>
        </w:tc>
      </w:tr>
      <w:tr w:rsidR="00E606BF" w14:paraId="0E8BCE21" w14:textId="77777777">
        <w:tc>
          <w:tcPr>
            <w:tcW w:w="468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376C35D6" w14:textId="77777777" w:rsidR="00E606BF" w:rsidRDefault="00DE6AA0">
            <w:r>
              <w:rPr>
                <w:sz w:val="19"/>
                <w:szCs w:val="19"/>
              </w:rPr>
              <w:t>2–5 years</w:t>
            </w:r>
          </w:p>
        </w:tc>
        <w:tc>
          <w:tcPr>
            <w:tcW w:w="468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485ECF13" w14:textId="77777777" w:rsidR="00E606BF" w:rsidRDefault="00DE6AA0">
            <w:r>
              <w:rPr>
                <w:sz w:val="19"/>
                <w:szCs w:val="19"/>
              </w:rPr>
              <w:t>27 days per year</w:t>
            </w:r>
          </w:p>
        </w:tc>
      </w:tr>
      <w:tr w:rsidR="00E606BF" w14:paraId="20947920" w14:textId="77777777">
        <w:tc>
          <w:tcPr>
            <w:tcW w:w="468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80" w:type="dxa"/>
            </w:tcMar>
          </w:tcPr>
          <w:p w14:paraId="6F7887FC" w14:textId="77777777" w:rsidR="00E606BF" w:rsidRDefault="00DE6AA0">
            <w:r>
              <w:rPr>
                <w:sz w:val="19"/>
                <w:szCs w:val="19"/>
              </w:rPr>
              <w:t>5+ years</w:t>
            </w:r>
          </w:p>
        </w:tc>
        <w:tc>
          <w:tcPr>
            <w:tcW w:w="468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80" w:type="dxa"/>
            </w:tcMar>
          </w:tcPr>
          <w:p w14:paraId="417F35A7" w14:textId="77777777" w:rsidR="00E606BF" w:rsidRDefault="00DE6AA0">
            <w:r>
              <w:rPr>
                <w:sz w:val="19"/>
                <w:szCs w:val="19"/>
              </w:rPr>
              <w:t>30 days per year</w:t>
            </w:r>
          </w:p>
        </w:tc>
      </w:tr>
    </w:tbl>
    <w:p w14:paraId="0D0B940D" w14:textId="77777777" w:rsidR="00E606BF" w:rsidRDefault="00E606BF">
      <w:pPr>
        <w:spacing w:before="120"/>
      </w:pPr>
    </w:p>
    <w:p w14:paraId="59B1CDCE" w14:textId="77777777" w:rsidR="00E606BF" w:rsidRDefault="00DE6AA0">
      <w:pPr>
        <w:spacing w:before="60" w:after="120"/>
      </w:pPr>
      <w:r>
        <w:t>Part-time and term-time employees accrue annual leave on a pro-rata basis, calculated on the proportion of a full-time working week that the employee works. The company calculates this in days rounded to the nearest half-day.</w:t>
      </w:r>
    </w:p>
    <w:p w14:paraId="73833271" w14:textId="77777777" w:rsidR="00E606BF" w:rsidRDefault="00DE6AA0">
      <w:pPr>
        <w:spacing w:before="60" w:after="120"/>
      </w:pPr>
      <w:r>
        <w:t>Annual leave accrues from the first day of employment at a rate of 1/12th of the annual entitlement per complete calendar month worked in the first year. Employees who join mid-month will have their entitlement calculated from the first complete month of employment.</w:t>
      </w:r>
    </w:p>
    <w:p w14:paraId="465844F1" w14:textId="77777777" w:rsidR="00E606BF" w:rsidRDefault="00DE6AA0">
      <w:pPr>
        <w:spacing w:before="220" w:after="80"/>
      </w:pPr>
      <w:r>
        <w:rPr>
          <w:b/>
          <w:bCs/>
          <w:color w:val="0078D4"/>
          <w:sz w:val="22"/>
          <w:szCs w:val="22"/>
        </w:rPr>
        <w:t xml:space="preserve">2.2  </w:t>
      </w:r>
      <w:r>
        <w:rPr>
          <w:b/>
          <w:bCs/>
          <w:color w:val="003F7F"/>
          <w:sz w:val="22"/>
          <w:szCs w:val="22"/>
        </w:rPr>
        <w:t>Public Holidays</w:t>
      </w:r>
    </w:p>
    <w:p w14:paraId="3BA2AF1F" w14:textId="77777777" w:rsidR="00E606BF" w:rsidRDefault="00DE6AA0">
      <w:pPr>
        <w:spacing w:before="60" w:after="120"/>
      </w:pPr>
      <w:r>
        <w:t>In addition to the annual leave entitlement above, employees are entitled to paid time off on all statutory public holidays applicable to their country of employment (Ireland or UK). Where an employee is required to work on a public holiday, they will receive either a day off in lieu (to be taken within 3 calendar months) or payment at 1.5 times their standard daily rate, at the company's discretion.</w:t>
      </w:r>
    </w:p>
    <w:p w14:paraId="3E2D7E80" w14:textId="77777777" w:rsidR="00E606BF" w:rsidRDefault="00DE6AA0">
      <w:pPr>
        <w:spacing w:before="60" w:after="120"/>
      </w:pPr>
      <w:r>
        <w:t>The company may, at its discretion, grant additional Christmas closure days. Where closure days are granted, they are deducted from the employee's annual leave balance unless the company specifies otherwise. Employees will be given no less than 6 weeks' notice of any Christmas closure arrangements.</w:t>
      </w:r>
    </w:p>
    <w:p w14:paraId="134C69C8" w14:textId="77777777" w:rsidR="00E606BF" w:rsidRDefault="00DE6AA0">
      <w:pPr>
        <w:spacing w:before="220" w:after="80"/>
      </w:pPr>
      <w:r>
        <w:rPr>
          <w:b/>
          <w:bCs/>
          <w:color w:val="0078D4"/>
          <w:sz w:val="22"/>
          <w:szCs w:val="22"/>
        </w:rPr>
        <w:t xml:space="preserve">2.3  </w:t>
      </w:r>
      <w:r>
        <w:rPr>
          <w:b/>
          <w:bCs/>
          <w:color w:val="003F7F"/>
          <w:sz w:val="22"/>
          <w:szCs w:val="22"/>
        </w:rPr>
        <w:t>Requesting Annual Leave</w:t>
      </w:r>
    </w:p>
    <w:p w14:paraId="5CE2ABE9" w14:textId="77777777" w:rsidR="00E606BF" w:rsidRDefault="00DE6AA0">
      <w:pPr>
        <w:spacing w:before="60" w:after="120"/>
      </w:pPr>
      <w:r>
        <w:t>Annual leave requests must be submitted through the HR self-service portal and approved by the line manager. The following notice periods apply:</w:t>
      </w:r>
    </w:p>
    <w:p w14:paraId="7B5FB0AE" w14:textId="77777777" w:rsidR="00E606BF" w:rsidRDefault="00DE6AA0">
      <w:pPr>
        <w:spacing w:before="60" w:after="80"/>
        <w:ind w:left="480"/>
      </w:pPr>
      <w:r>
        <w:rPr>
          <w:b/>
          <w:bCs/>
          <w:color w:val="0078D4"/>
        </w:rPr>
        <w:t xml:space="preserve">(a)  </w:t>
      </w:r>
      <w:r>
        <w:t>Leave of 1 to 5 days: minimum 2 weeks' advance notice.</w:t>
      </w:r>
    </w:p>
    <w:p w14:paraId="5308D528" w14:textId="77777777" w:rsidR="00E606BF" w:rsidRDefault="00DE6AA0">
      <w:pPr>
        <w:spacing w:before="60" w:after="80"/>
        <w:ind w:left="480"/>
      </w:pPr>
      <w:r>
        <w:rPr>
          <w:b/>
          <w:bCs/>
          <w:color w:val="0078D4"/>
        </w:rPr>
        <w:t xml:space="preserve">(b)  </w:t>
      </w:r>
      <w:r>
        <w:t>Leave of 6 to 10 days: minimum 4 weeks' advance notice.</w:t>
      </w:r>
    </w:p>
    <w:p w14:paraId="6133729B" w14:textId="77777777" w:rsidR="00E606BF" w:rsidRDefault="00DE6AA0">
      <w:pPr>
        <w:spacing w:before="60" w:after="80"/>
        <w:ind w:left="480"/>
      </w:pPr>
      <w:r>
        <w:rPr>
          <w:b/>
          <w:bCs/>
          <w:color w:val="0078D4"/>
        </w:rPr>
        <w:t xml:space="preserve">(c)  </w:t>
      </w:r>
      <w:r>
        <w:t>Leave of more than 10 consecutive days: minimum 8 weeks' advance notice.</w:t>
      </w:r>
    </w:p>
    <w:p w14:paraId="11D6A391" w14:textId="77777777" w:rsidR="00E606BF" w:rsidRDefault="00DE6AA0">
      <w:pPr>
        <w:spacing w:before="60" w:after="120"/>
      </w:pPr>
      <w:r>
        <w:t>Managers will endeavour to accommodate all reasonable requests, having regard to operational requirements, the needs of colleagues, and any previously approved leave. The company reserves the right to refuse or reschedule leave requests where business needs require it, provided no less than 4 weeks' notice is given to the employee.</w:t>
      </w:r>
    </w:p>
    <w:p w14:paraId="0C7D5781" w14:textId="77777777" w:rsidR="00E606BF" w:rsidRDefault="00DE6AA0">
      <w:pPr>
        <w:spacing w:before="220" w:after="80"/>
      </w:pPr>
      <w:r>
        <w:rPr>
          <w:b/>
          <w:bCs/>
          <w:color w:val="0078D4"/>
          <w:sz w:val="22"/>
          <w:szCs w:val="22"/>
        </w:rPr>
        <w:t xml:space="preserve">2.4  </w:t>
      </w:r>
      <w:r>
        <w:rPr>
          <w:b/>
          <w:bCs/>
          <w:color w:val="003F7F"/>
          <w:sz w:val="22"/>
          <w:szCs w:val="22"/>
        </w:rPr>
        <w:t>Carry-Over of Annual Leave</w:t>
      </w:r>
    </w:p>
    <w:p w14:paraId="05D72F06" w14:textId="77777777" w:rsidR="00E606BF" w:rsidRDefault="00DE6AA0">
      <w:pPr>
        <w:spacing w:before="60" w:after="120"/>
      </w:pPr>
      <w:r>
        <w:t>Employees are expected to take their full leave entitlement within the holiday year. Carry-over of unused leave is permitted only in the following limited circumstances:</w:t>
      </w:r>
    </w:p>
    <w:p w14:paraId="3FCFBA32" w14:textId="77777777" w:rsidR="00E606BF" w:rsidRDefault="00DE6AA0">
      <w:pPr>
        <w:spacing w:before="60" w:after="80"/>
        <w:ind w:left="480"/>
      </w:pPr>
      <w:r>
        <w:rPr>
          <w:b/>
          <w:bCs/>
          <w:color w:val="0078D4"/>
        </w:rPr>
        <w:t xml:space="preserve">(a)  </w:t>
      </w:r>
      <w:r>
        <w:t>Up to 5 days may be carried over by mutual written agreement between the employee and their line manager, provided the request is submitted before 30 November of the current holiday year. Carried-over leave must be taken by 31 March of the following year.</w:t>
      </w:r>
    </w:p>
    <w:p w14:paraId="5879486E" w14:textId="77777777" w:rsidR="00E606BF" w:rsidRDefault="00DE6AA0">
      <w:pPr>
        <w:spacing w:before="60" w:after="80"/>
        <w:ind w:left="480"/>
      </w:pPr>
      <w:r>
        <w:rPr>
          <w:b/>
          <w:bCs/>
          <w:color w:val="0078D4"/>
        </w:rPr>
        <w:t xml:space="preserve">(b)  </w:t>
      </w:r>
      <w:r>
        <w:t>Where an employee has been unable to take leave due to a period of long-term sickness absence (defined as 4 or more consecutive weeks), they may carry over up to their full statutory leave entitlement (20 days) into the following year. This right applies for a period of 18 months from the end of the holiday year in which the leave accrued.</w:t>
      </w:r>
    </w:p>
    <w:p w14:paraId="19D5A8BB" w14:textId="77777777" w:rsidR="00E606BF" w:rsidRDefault="00DE6AA0">
      <w:pPr>
        <w:spacing w:before="60" w:after="80"/>
        <w:ind w:left="480"/>
      </w:pPr>
      <w:r>
        <w:rPr>
          <w:b/>
          <w:bCs/>
          <w:color w:val="0078D4"/>
        </w:rPr>
        <w:t xml:space="preserve">(c)  </w:t>
      </w:r>
      <w:r>
        <w:t>Where an employee has been unable to take leave due to maternity, paternity, or parental leave, they may carry over up to their full leave entitlement into the following holiday year.</w:t>
      </w:r>
    </w:p>
    <w:p w14:paraId="483811C6" w14:textId="77777777" w:rsidR="00E606BF" w:rsidRDefault="00DE6AA0">
      <w:pPr>
        <w:spacing w:before="60" w:after="120"/>
      </w:pPr>
      <w:r>
        <w:t>Unused leave outside of the circumstances above will be forfeited at the end of the holiday year and will not be paid in lieu, except on termination of employment.</w:t>
      </w:r>
    </w:p>
    <w:p w14:paraId="0E27B00A" w14:textId="77777777" w:rsidR="00E606BF" w:rsidRDefault="00E606B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E606BF" w14:paraId="3CDBE4E6" w14:textId="77777777">
        <w:trPr>
          <w:cantSplit/>
        </w:trPr>
        <w:tc>
          <w:tcPr>
            <w:tcW w:w="900" w:type="dxa"/>
            <w:tcBorders>
              <w:top w:val="none" w:sz="0" w:space="0" w:color="FFFFFF"/>
              <w:left w:val="none" w:sz="0" w:space="0" w:color="FFFFFF"/>
              <w:bottom w:val="none" w:sz="0" w:space="0" w:color="FFFFFF"/>
              <w:right w:val="none" w:sz="0" w:space="0" w:color="FFFFFF"/>
            </w:tcBorders>
            <w:shd w:val="clear" w:color="auto" w:fill="0078D4"/>
            <w:tcMar>
              <w:top w:w="160" w:type="dxa"/>
              <w:left w:w="200" w:type="dxa"/>
              <w:bottom w:w="160" w:type="dxa"/>
              <w:right w:w="120" w:type="dxa"/>
            </w:tcMar>
            <w:vAlign w:val="center"/>
          </w:tcPr>
          <w:p w14:paraId="5FCD5EC4" w14:textId="77777777" w:rsidR="00E606BF" w:rsidRDefault="00DE6AA0">
            <w:pPr>
              <w:jc w:val="center"/>
            </w:pPr>
            <w:r>
              <w:rPr>
                <w:b/>
                <w:bCs/>
                <w:color w:val="FFFFFF"/>
                <w:sz w:val="32"/>
                <w:szCs w:val="32"/>
              </w:rPr>
              <w:t>3</w:t>
            </w:r>
          </w:p>
        </w:tc>
        <w:tc>
          <w:tcPr>
            <w:tcW w:w="8460" w:type="dxa"/>
            <w:tcBorders>
              <w:top w:val="none" w:sz="0" w:space="0" w:color="FFFFFF"/>
              <w:left w:val="none" w:sz="0" w:space="0" w:color="FFFFFF"/>
              <w:bottom w:val="none" w:sz="0" w:space="0" w:color="FFFFFF"/>
              <w:right w:val="none" w:sz="0" w:space="0" w:color="FFFFFF"/>
            </w:tcBorders>
            <w:shd w:val="clear" w:color="auto" w:fill="003F7F"/>
            <w:tcMar>
              <w:top w:w="160" w:type="dxa"/>
              <w:left w:w="240" w:type="dxa"/>
              <w:bottom w:w="160" w:type="dxa"/>
              <w:right w:w="200" w:type="dxa"/>
            </w:tcMar>
            <w:vAlign w:val="center"/>
          </w:tcPr>
          <w:p w14:paraId="404EE27C" w14:textId="77777777" w:rsidR="00E606BF" w:rsidRDefault="00DE6AA0">
            <w:r>
              <w:rPr>
                <w:b/>
                <w:bCs/>
                <w:color w:val="FFFFFF"/>
                <w:sz w:val="28"/>
                <w:szCs w:val="28"/>
              </w:rPr>
              <w:t>Absence &amp; Sick Leave</w:t>
            </w:r>
          </w:p>
        </w:tc>
      </w:tr>
    </w:tbl>
    <w:p w14:paraId="60061E4C" w14:textId="77777777" w:rsidR="00E606BF" w:rsidRDefault="00E606BF">
      <w:pPr>
        <w:spacing w:before="140"/>
      </w:pPr>
    </w:p>
    <w:p w14:paraId="4D67BE72" w14:textId="77777777" w:rsidR="00E606BF" w:rsidRDefault="00DE6AA0">
      <w:pPr>
        <w:spacing w:before="220" w:after="80"/>
      </w:pPr>
      <w:r>
        <w:rPr>
          <w:b/>
          <w:bCs/>
          <w:color w:val="0078D4"/>
          <w:sz w:val="22"/>
          <w:szCs w:val="22"/>
        </w:rPr>
        <w:t xml:space="preserve">3.1  </w:t>
      </w:r>
      <w:r>
        <w:rPr>
          <w:b/>
          <w:bCs/>
          <w:color w:val="003F7F"/>
          <w:sz w:val="22"/>
          <w:szCs w:val="22"/>
        </w:rPr>
        <w:t>Reporting Absence</w:t>
      </w:r>
    </w:p>
    <w:p w14:paraId="572D841D" w14:textId="77777777" w:rsidR="00E606BF" w:rsidRDefault="00DE6AA0">
      <w:pPr>
        <w:spacing w:before="60" w:after="120"/>
      </w:pPr>
      <w:r>
        <w:t>Employees who are unable to attend work due to illness or injury must notify their line manager by telephone before their normal start time on the first day of absence. Text messages, emails, and messages via third parties are not accepted as first notification, unless the line manager has expressly agreed otherwise or the employee is physically unable to telephone.</w:t>
      </w:r>
    </w:p>
    <w:p w14:paraId="77A93A19" w14:textId="77777777" w:rsidR="00E606BF" w:rsidRDefault="00DE6AA0">
      <w:pPr>
        <w:spacing w:before="60" w:after="120"/>
      </w:pPr>
      <w:r>
        <w:t>Employees must continue to keep their manager updated on their expected return date on each subsequent day of absence unless it is clear from medical evidence that the absence will be for a specified or extended period.</w:t>
      </w:r>
    </w:p>
    <w:p w14:paraId="51C94593" w14:textId="77777777" w:rsidR="00E606BF" w:rsidRDefault="00DE6AA0">
      <w:pPr>
        <w:spacing w:before="220" w:after="80"/>
      </w:pPr>
      <w:r>
        <w:rPr>
          <w:b/>
          <w:bCs/>
          <w:color w:val="0078D4"/>
          <w:sz w:val="22"/>
          <w:szCs w:val="22"/>
        </w:rPr>
        <w:t xml:space="preserve">3.2  </w:t>
      </w:r>
      <w:r>
        <w:rPr>
          <w:b/>
          <w:bCs/>
          <w:color w:val="003F7F"/>
          <w:sz w:val="22"/>
          <w:szCs w:val="22"/>
        </w:rPr>
        <w:t>Medical Certification</w:t>
      </w:r>
    </w:p>
    <w:p w14:paraId="61E778BE" w14:textId="77777777" w:rsidR="00E606BF" w:rsidRDefault="00DE6AA0">
      <w:pPr>
        <w:spacing w:before="60" w:after="120"/>
      </w:pPr>
      <w:r>
        <w:t>The following certification requirements apply:</w:t>
      </w:r>
    </w:p>
    <w:p w14:paraId="7451B47D" w14:textId="77777777" w:rsidR="00E606BF" w:rsidRDefault="00DE6AA0">
      <w:pPr>
        <w:spacing w:before="60" w:after="80"/>
        <w:ind w:left="480"/>
      </w:pPr>
      <w:r>
        <w:rPr>
          <w:b/>
          <w:bCs/>
          <w:color w:val="0078D4"/>
        </w:rPr>
        <w:t xml:space="preserve">3.2.1  </w:t>
      </w:r>
      <w:r>
        <w:t>For absences of 1 to 3 calendar days, the employee must complete a self-certification form (available on the HR portal) on their return to work. Self-certification may only be used twice in any rolling 12-month period. After the second occasion, a GP certificate will be required from day 1 of any subsequent absence.</w:t>
      </w:r>
    </w:p>
    <w:p w14:paraId="070A5417" w14:textId="77777777" w:rsidR="00E606BF" w:rsidRDefault="00DE6AA0">
      <w:pPr>
        <w:spacing w:before="60" w:after="80"/>
        <w:ind w:left="480"/>
      </w:pPr>
      <w:r>
        <w:rPr>
          <w:b/>
          <w:bCs/>
          <w:color w:val="0078D4"/>
        </w:rPr>
        <w:t xml:space="preserve">3.2.2  </w:t>
      </w:r>
      <w:r>
        <w:t>For absences of 4 or more calendar days (including weekends), a fit note (Statement of Fitness for Work) from a registered medical practitioner is required. The fit note must cover the full period of absence and must be submitted to HR within 5 working days of the employee's return.</w:t>
      </w:r>
    </w:p>
    <w:p w14:paraId="5E7BA13D" w14:textId="77777777" w:rsidR="00E606BF" w:rsidRDefault="00DE6AA0">
      <w:pPr>
        <w:spacing w:before="60" w:after="80"/>
        <w:ind w:left="480"/>
      </w:pPr>
      <w:r>
        <w:rPr>
          <w:b/>
          <w:bCs/>
          <w:color w:val="0078D4"/>
        </w:rPr>
        <w:t xml:space="preserve">3.2.3  </w:t>
      </w:r>
      <w:r>
        <w:t>For absences exceeding 4 consecutive weeks, a fresh fit note is required every 4 weeks and the employee will be referred to the company's occupational health provider. The occupational health assessment is paid for by the company.</w:t>
      </w:r>
    </w:p>
    <w:p w14:paraId="0915AAC2" w14:textId="77777777" w:rsidR="00E606BF" w:rsidRDefault="00DE6AA0">
      <w:pPr>
        <w:spacing w:before="220" w:after="80"/>
      </w:pPr>
      <w:r>
        <w:rPr>
          <w:b/>
          <w:bCs/>
          <w:color w:val="0078D4"/>
          <w:sz w:val="22"/>
          <w:szCs w:val="22"/>
        </w:rPr>
        <w:t xml:space="preserve">3.3  </w:t>
      </w:r>
      <w:r>
        <w:rPr>
          <w:b/>
          <w:bCs/>
          <w:color w:val="003F7F"/>
          <w:sz w:val="22"/>
          <w:szCs w:val="22"/>
        </w:rPr>
        <w:t>Company Sick Pay</w:t>
      </w:r>
    </w:p>
    <w:p w14:paraId="048D5A4D" w14:textId="77777777" w:rsidR="00E606BF" w:rsidRDefault="00DE6AA0">
      <w:pPr>
        <w:spacing w:before="60" w:after="120"/>
      </w:pPr>
      <w:r>
        <w:t>Subject to compliance with the notification and certification requirements in clauses 3.1 and 3.2, employees will receive company sick pay as follows:</w:t>
      </w:r>
    </w:p>
    <w:p w14:paraId="44EAFD9C" w14:textId="77777777" w:rsidR="00E606BF" w:rsidRDefault="00E606BF">
      <w:pPr>
        <w:spacing w:before="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606BF" w14:paraId="2185797F" w14:textId="77777777">
        <w:trPr>
          <w:tblHeader/>
        </w:trPr>
        <w:tc>
          <w:tcPr>
            <w:tcW w:w="4680" w:type="dxa"/>
            <w:tcBorders>
              <w:top w:val="single" w:sz="2" w:space="0" w:color="0078D4"/>
              <w:left w:val="single" w:sz="2" w:space="0" w:color="0078D4"/>
              <w:bottom w:val="single" w:sz="2" w:space="0" w:color="0078D4"/>
              <w:right w:val="single" w:sz="2" w:space="0" w:color="0078D4"/>
            </w:tcBorders>
            <w:shd w:val="clear" w:color="auto" w:fill="003F7F"/>
            <w:tcMar>
              <w:top w:w="80" w:type="dxa"/>
              <w:left w:w="120" w:type="dxa"/>
              <w:bottom w:w="80" w:type="dxa"/>
              <w:right w:w="80" w:type="dxa"/>
            </w:tcMar>
          </w:tcPr>
          <w:p w14:paraId="3D34A162" w14:textId="77777777" w:rsidR="00E606BF" w:rsidRDefault="00DE6AA0">
            <w:r>
              <w:rPr>
                <w:b/>
                <w:bCs/>
                <w:color w:val="FFFFFF"/>
                <w:sz w:val="19"/>
                <w:szCs w:val="19"/>
              </w:rPr>
              <w:t>Continuous Service</w:t>
            </w:r>
          </w:p>
        </w:tc>
        <w:tc>
          <w:tcPr>
            <w:tcW w:w="4680" w:type="dxa"/>
            <w:tcBorders>
              <w:top w:val="single" w:sz="2" w:space="0" w:color="0078D4"/>
              <w:left w:val="single" w:sz="2" w:space="0" w:color="0078D4"/>
              <w:bottom w:val="single" w:sz="2" w:space="0" w:color="0078D4"/>
              <w:right w:val="single" w:sz="2" w:space="0" w:color="0078D4"/>
            </w:tcBorders>
            <w:shd w:val="clear" w:color="auto" w:fill="003F7F"/>
            <w:tcMar>
              <w:top w:w="80" w:type="dxa"/>
              <w:left w:w="120" w:type="dxa"/>
              <w:bottom w:w="80" w:type="dxa"/>
              <w:right w:w="80" w:type="dxa"/>
            </w:tcMar>
          </w:tcPr>
          <w:p w14:paraId="4FE0B6DD" w14:textId="77777777" w:rsidR="00E606BF" w:rsidRDefault="00DE6AA0">
            <w:r>
              <w:rPr>
                <w:b/>
                <w:bCs/>
                <w:color w:val="FFFFFF"/>
                <w:sz w:val="19"/>
                <w:szCs w:val="19"/>
              </w:rPr>
              <w:t>Company Sick Pay Entitlement (per rolling 12 months)</w:t>
            </w:r>
          </w:p>
        </w:tc>
      </w:tr>
      <w:tr w:rsidR="00E606BF" w14:paraId="33F9305A" w14:textId="77777777">
        <w:tc>
          <w:tcPr>
            <w:tcW w:w="468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80" w:type="dxa"/>
            </w:tcMar>
          </w:tcPr>
          <w:p w14:paraId="52592619" w14:textId="77777777" w:rsidR="00E606BF" w:rsidRDefault="00DE6AA0">
            <w:r>
              <w:rPr>
                <w:sz w:val="19"/>
                <w:szCs w:val="19"/>
              </w:rPr>
              <w:t>Less than 3 months</w:t>
            </w:r>
          </w:p>
        </w:tc>
        <w:tc>
          <w:tcPr>
            <w:tcW w:w="468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80" w:type="dxa"/>
            </w:tcMar>
          </w:tcPr>
          <w:p w14:paraId="32ACC51E" w14:textId="77777777" w:rsidR="00E606BF" w:rsidRDefault="00DE6AA0">
            <w:r>
              <w:rPr>
                <w:sz w:val="19"/>
                <w:szCs w:val="19"/>
              </w:rPr>
              <w:t>No company sick pay. SSP only if eligible.</w:t>
            </w:r>
          </w:p>
        </w:tc>
      </w:tr>
      <w:tr w:rsidR="00E606BF" w14:paraId="7322195F" w14:textId="77777777">
        <w:tc>
          <w:tcPr>
            <w:tcW w:w="468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3B93FA54" w14:textId="77777777" w:rsidR="00E606BF" w:rsidRDefault="00DE6AA0">
            <w:r>
              <w:rPr>
                <w:sz w:val="19"/>
                <w:szCs w:val="19"/>
              </w:rPr>
              <w:t>3–6 months</w:t>
            </w:r>
          </w:p>
        </w:tc>
        <w:tc>
          <w:tcPr>
            <w:tcW w:w="468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30B0339F" w14:textId="77777777" w:rsidR="00E606BF" w:rsidRDefault="00DE6AA0">
            <w:r>
              <w:rPr>
                <w:sz w:val="19"/>
                <w:szCs w:val="19"/>
              </w:rPr>
              <w:t>Up to 5 days at full pay, then SSP only.</w:t>
            </w:r>
          </w:p>
        </w:tc>
      </w:tr>
      <w:tr w:rsidR="00E606BF" w14:paraId="6BB75C13" w14:textId="77777777">
        <w:tc>
          <w:tcPr>
            <w:tcW w:w="468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80" w:type="dxa"/>
            </w:tcMar>
          </w:tcPr>
          <w:p w14:paraId="2A77E45C" w14:textId="77777777" w:rsidR="00E606BF" w:rsidRDefault="00DE6AA0">
            <w:r>
              <w:rPr>
                <w:sz w:val="19"/>
                <w:szCs w:val="19"/>
              </w:rPr>
              <w:t>6 months to 2 years</w:t>
            </w:r>
          </w:p>
        </w:tc>
        <w:tc>
          <w:tcPr>
            <w:tcW w:w="468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80" w:type="dxa"/>
            </w:tcMar>
          </w:tcPr>
          <w:p w14:paraId="7142CF6D" w14:textId="77777777" w:rsidR="00E606BF" w:rsidRDefault="00DE6AA0">
            <w:r>
              <w:rPr>
                <w:sz w:val="19"/>
                <w:szCs w:val="19"/>
              </w:rPr>
              <w:t>Up to 10 days at full pay, then SSP only.</w:t>
            </w:r>
          </w:p>
        </w:tc>
      </w:tr>
      <w:tr w:rsidR="00E606BF" w14:paraId="0CAE64A7" w14:textId="77777777">
        <w:tc>
          <w:tcPr>
            <w:tcW w:w="468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2FA499F4" w14:textId="77777777" w:rsidR="00E606BF" w:rsidRDefault="00DE6AA0">
            <w:r>
              <w:rPr>
                <w:sz w:val="19"/>
                <w:szCs w:val="19"/>
              </w:rPr>
              <w:t>2–5 years</w:t>
            </w:r>
          </w:p>
        </w:tc>
        <w:tc>
          <w:tcPr>
            <w:tcW w:w="468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0761BFD6" w14:textId="77777777" w:rsidR="00E606BF" w:rsidRDefault="00DE6AA0">
            <w:r>
              <w:rPr>
                <w:sz w:val="19"/>
                <w:szCs w:val="19"/>
              </w:rPr>
              <w:t>Up to 20 days at full pay, then SSP only.</w:t>
            </w:r>
          </w:p>
        </w:tc>
      </w:tr>
      <w:tr w:rsidR="00E606BF" w14:paraId="0F614AEF" w14:textId="77777777">
        <w:tc>
          <w:tcPr>
            <w:tcW w:w="468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80" w:type="dxa"/>
            </w:tcMar>
          </w:tcPr>
          <w:p w14:paraId="0B9420E0" w14:textId="77777777" w:rsidR="00E606BF" w:rsidRDefault="00DE6AA0">
            <w:r>
              <w:rPr>
                <w:sz w:val="19"/>
                <w:szCs w:val="19"/>
              </w:rPr>
              <w:t>5+ years</w:t>
            </w:r>
          </w:p>
        </w:tc>
        <w:tc>
          <w:tcPr>
            <w:tcW w:w="4680" w:type="dxa"/>
            <w:tcBorders>
              <w:top w:val="single" w:sz="2" w:space="0" w:color="DDDDDD"/>
              <w:left w:val="single" w:sz="2" w:space="0" w:color="DDDDDD"/>
              <w:bottom w:val="single" w:sz="2" w:space="0" w:color="DDDDDD"/>
              <w:right w:val="single" w:sz="2" w:space="0" w:color="DDDDDD"/>
            </w:tcBorders>
            <w:shd w:val="clear" w:color="auto" w:fill="FFFFFF"/>
            <w:tcMar>
              <w:top w:w="70" w:type="dxa"/>
              <w:left w:w="120" w:type="dxa"/>
              <w:bottom w:w="70" w:type="dxa"/>
              <w:right w:w="80" w:type="dxa"/>
            </w:tcMar>
          </w:tcPr>
          <w:p w14:paraId="751B8DE0" w14:textId="77777777" w:rsidR="00E606BF" w:rsidRDefault="00DE6AA0">
            <w:r>
              <w:rPr>
                <w:sz w:val="19"/>
                <w:szCs w:val="19"/>
              </w:rPr>
              <w:t>Up to 30 days at full pay, then SSP only.</w:t>
            </w:r>
          </w:p>
        </w:tc>
      </w:tr>
    </w:tbl>
    <w:p w14:paraId="4B94D5A5" w14:textId="77777777" w:rsidR="00E606BF" w:rsidRDefault="00E606BF">
      <w:pPr>
        <w:spacing w:before="120"/>
      </w:pPr>
    </w:p>
    <w:p w14:paraId="2FB5223B" w14:textId="77777777" w:rsidR="00E606BF" w:rsidRDefault="00DE6AA0">
      <w:pPr>
        <w:spacing w:before="60" w:after="120"/>
      </w:pPr>
      <w:r w:rsidRPr="413681E3">
        <w:t>Company sick pay is calculated on the basis of basic salary only and does not include any variable elements such as overtime, commission, or allowances. Where an employee is receiving Statutory Sick Pay (SSP), company sick pay will be paid as a top-up to ensure the employee receives their full basic salary during any company-paid sick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06BF" w14:paraId="5CD2A65B" w14:textId="77777777" w:rsidTr="413681E3">
        <w:tc>
          <w:tcPr>
            <w:tcW w:w="9360" w:type="dxa"/>
            <w:tcBorders>
              <w:top w:val="single" w:sz="2" w:space="0" w:color="0078D4"/>
              <w:left w:val="single" w:sz="18" w:space="0" w:color="0078D4"/>
              <w:bottom w:val="single" w:sz="2" w:space="0" w:color="0078D4"/>
              <w:right w:val="single" w:sz="2" w:space="0" w:color="0078D4"/>
            </w:tcBorders>
            <w:shd w:val="clear" w:color="auto" w:fill="EFF8FF"/>
            <w:tcMar>
              <w:top w:w="100" w:type="dxa"/>
              <w:left w:w="200" w:type="dxa"/>
              <w:bottom w:w="100" w:type="dxa"/>
              <w:right w:w="160" w:type="dxa"/>
            </w:tcMar>
          </w:tcPr>
          <w:p w14:paraId="684DF61F" w14:textId="77777777" w:rsidR="00E606BF" w:rsidRDefault="00DE6AA0">
            <w:r w:rsidRPr="413681E3">
              <w:rPr>
                <w:b/>
                <w:bCs/>
                <w:color w:val="0078D4"/>
                <w:sz w:val="19"/>
                <w:szCs w:val="19"/>
              </w:rPr>
              <w:t xml:space="preserve">Note:  </w:t>
            </w:r>
            <w:r w:rsidRPr="413681E3">
              <w:rPr>
                <w:i/>
                <w:iCs/>
                <w:sz w:val="19"/>
                <w:szCs w:val="19"/>
              </w:rPr>
              <w:t>Company sick pay is a discretionary benefit. The company reserves the right to withhold or reduce company sick pay where an employee has not complied with notification and certification requirements, or where absence is considered to be unacceptably high.</w:t>
            </w:r>
          </w:p>
        </w:tc>
      </w:tr>
    </w:tbl>
    <w:p w14:paraId="18773106" w14:textId="77777777" w:rsidR="00E606BF" w:rsidRDefault="00DE6AA0">
      <w:pPr>
        <w:spacing w:before="220" w:after="80"/>
      </w:pPr>
      <w:r w:rsidRPr="413681E3">
        <w:rPr>
          <w:b/>
          <w:bCs/>
          <w:color w:val="0078D4"/>
          <w:sz w:val="22"/>
          <w:szCs w:val="22"/>
        </w:rPr>
        <w:t xml:space="preserve">3.4  </w:t>
      </w:r>
      <w:r w:rsidRPr="413681E3">
        <w:rPr>
          <w:b/>
          <w:bCs/>
          <w:color w:val="003F7F"/>
          <w:sz w:val="22"/>
          <w:szCs w:val="22"/>
        </w:rPr>
        <w:t>Managing Absence</w:t>
      </w:r>
    </w:p>
    <w:p w14:paraId="42F38BE4" w14:textId="77777777" w:rsidR="00E606BF" w:rsidRDefault="00DE6AA0">
      <w:pPr>
        <w:spacing w:before="60" w:after="120"/>
      </w:pPr>
      <w:r w:rsidRPr="413681E3">
        <w:t>The company monitors absence levels using the Bradford Factor scoring system, which places greater weight on frequent short-term absences than on fewer, longer absences. A score is calculated as: S x S x D, where S is the number of separate spells of absence in a rolling 52-week period and D is the total number of days absent in the same period.</w:t>
      </w:r>
    </w:p>
    <w:p w14:paraId="676DC92C" w14:textId="77777777" w:rsidR="00E606BF" w:rsidRDefault="00DE6AA0">
      <w:pPr>
        <w:spacing w:before="60" w:after="120"/>
      </w:pPr>
      <w:r>
        <w:t>The following Bradford Factor trigger points will result in management action:</w:t>
      </w:r>
    </w:p>
    <w:p w14:paraId="0C942060" w14:textId="77777777" w:rsidR="00E606BF" w:rsidRDefault="00DE6AA0">
      <w:pPr>
        <w:spacing w:before="60" w:after="80"/>
        <w:ind w:left="480"/>
      </w:pPr>
      <w:r>
        <w:rPr>
          <w:b/>
          <w:bCs/>
          <w:color w:val="0078D4"/>
        </w:rPr>
        <w:t xml:space="preserve">(a)  </w:t>
      </w:r>
      <w:r>
        <w:t>Score of 50–99: An informal welfare discussion with the line manager.</w:t>
      </w:r>
    </w:p>
    <w:p w14:paraId="4C6B2FBF" w14:textId="77777777" w:rsidR="00E606BF" w:rsidRDefault="00DE6AA0">
      <w:pPr>
        <w:spacing w:before="60" w:after="80"/>
        <w:ind w:left="480"/>
      </w:pPr>
      <w:r>
        <w:rPr>
          <w:b/>
          <w:bCs/>
          <w:color w:val="0078D4"/>
        </w:rPr>
        <w:t xml:space="preserve">(b)  </w:t>
      </w:r>
      <w:r>
        <w:t>Score of 100–199: A formal absence review meeting with HR in attendance.</w:t>
      </w:r>
    </w:p>
    <w:p w14:paraId="234C00F6" w14:textId="77777777" w:rsidR="00E606BF" w:rsidRDefault="00DE6AA0">
      <w:pPr>
        <w:spacing w:before="60" w:after="80"/>
        <w:ind w:left="480"/>
      </w:pPr>
      <w:r>
        <w:rPr>
          <w:b/>
          <w:bCs/>
          <w:color w:val="0078D4"/>
        </w:rPr>
        <w:t xml:space="preserve">(c)  </w:t>
      </w:r>
      <w:r>
        <w:t>Score of 200–399: A formal written warning and absence improvement plan.</w:t>
      </w:r>
    </w:p>
    <w:p w14:paraId="61AA414E" w14:textId="77777777" w:rsidR="00E606BF" w:rsidRDefault="00DE6AA0">
      <w:pPr>
        <w:spacing w:before="60" w:after="80"/>
        <w:ind w:left="480"/>
      </w:pPr>
      <w:r>
        <w:rPr>
          <w:b/>
          <w:bCs/>
          <w:color w:val="0078D4"/>
        </w:rPr>
        <w:t xml:space="preserve">(d)  </w:t>
      </w:r>
      <w:r>
        <w:t>Score of 400+: Further disciplinary action, up to and including dismissal.</w:t>
      </w:r>
    </w:p>
    <w:p w14:paraId="7CBA5778" w14:textId="77777777" w:rsidR="00E606BF" w:rsidRDefault="00DE6AA0">
      <w:pPr>
        <w:spacing w:before="60" w:after="120"/>
      </w:pPr>
      <w:r>
        <w:t>The Bradford Factor is used as a management tool and is not applied mechanically. All trigger meetings will take the employee's individual circumstances into account, including any underlying medical conditions, disability, or disability-related absences which must be treated separately.</w:t>
      </w:r>
    </w:p>
    <w:p w14:paraId="3DEEC669" w14:textId="77777777" w:rsidR="00E606BF" w:rsidRDefault="00E606B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E606BF" w14:paraId="6B3A3209" w14:textId="77777777">
        <w:trPr>
          <w:cantSplit/>
        </w:trPr>
        <w:tc>
          <w:tcPr>
            <w:tcW w:w="900" w:type="dxa"/>
            <w:tcBorders>
              <w:top w:val="none" w:sz="0" w:space="0" w:color="FFFFFF"/>
              <w:left w:val="none" w:sz="0" w:space="0" w:color="FFFFFF"/>
              <w:bottom w:val="none" w:sz="0" w:space="0" w:color="FFFFFF"/>
              <w:right w:val="none" w:sz="0" w:space="0" w:color="FFFFFF"/>
            </w:tcBorders>
            <w:shd w:val="clear" w:color="auto" w:fill="0078D4"/>
            <w:tcMar>
              <w:top w:w="160" w:type="dxa"/>
              <w:left w:w="200" w:type="dxa"/>
              <w:bottom w:w="160" w:type="dxa"/>
              <w:right w:w="120" w:type="dxa"/>
            </w:tcMar>
            <w:vAlign w:val="center"/>
          </w:tcPr>
          <w:p w14:paraId="2598DEE6" w14:textId="77777777" w:rsidR="00E606BF" w:rsidRDefault="00DE6AA0">
            <w:pPr>
              <w:jc w:val="center"/>
            </w:pPr>
            <w:r>
              <w:rPr>
                <w:b/>
                <w:bCs/>
                <w:color w:val="FFFFFF"/>
                <w:sz w:val="32"/>
                <w:szCs w:val="32"/>
              </w:rPr>
              <w:t>4</w:t>
            </w:r>
          </w:p>
        </w:tc>
        <w:tc>
          <w:tcPr>
            <w:tcW w:w="8460" w:type="dxa"/>
            <w:tcBorders>
              <w:top w:val="none" w:sz="0" w:space="0" w:color="FFFFFF"/>
              <w:left w:val="none" w:sz="0" w:space="0" w:color="FFFFFF"/>
              <w:bottom w:val="none" w:sz="0" w:space="0" w:color="FFFFFF"/>
              <w:right w:val="none" w:sz="0" w:space="0" w:color="FFFFFF"/>
            </w:tcBorders>
            <w:shd w:val="clear" w:color="auto" w:fill="003F7F"/>
            <w:tcMar>
              <w:top w:w="160" w:type="dxa"/>
              <w:left w:w="240" w:type="dxa"/>
              <w:bottom w:w="160" w:type="dxa"/>
              <w:right w:w="200" w:type="dxa"/>
            </w:tcMar>
            <w:vAlign w:val="center"/>
          </w:tcPr>
          <w:p w14:paraId="3E7C9D5D" w14:textId="77777777" w:rsidR="00E606BF" w:rsidRDefault="00DE6AA0">
            <w:r>
              <w:rPr>
                <w:b/>
                <w:bCs/>
                <w:color w:val="FFFFFF"/>
                <w:sz w:val="28"/>
                <w:szCs w:val="28"/>
              </w:rPr>
              <w:t>Flexible Working &amp; Remote Working</w:t>
            </w:r>
          </w:p>
        </w:tc>
      </w:tr>
    </w:tbl>
    <w:p w14:paraId="3656B9AB" w14:textId="77777777" w:rsidR="00E606BF" w:rsidRDefault="00E606BF">
      <w:pPr>
        <w:spacing w:before="140"/>
      </w:pPr>
    </w:p>
    <w:p w14:paraId="593A1116" w14:textId="77777777" w:rsidR="00E606BF" w:rsidRDefault="00DE6AA0">
      <w:pPr>
        <w:spacing w:before="220" w:after="80"/>
      </w:pPr>
      <w:r w:rsidRPr="413681E3">
        <w:rPr>
          <w:b/>
          <w:bCs/>
          <w:color w:val="0078D4"/>
          <w:sz w:val="22"/>
          <w:szCs w:val="22"/>
        </w:rPr>
        <w:t xml:space="preserve">4.1  </w:t>
      </w:r>
      <w:r w:rsidRPr="413681E3">
        <w:rPr>
          <w:b/>
          <w:bCs/>
          <w:color w:val="003F7F"/>
          <w:sz w:val="22"/>
          <w:szCs w:val="22"/>
        </w:rPr>
        <w:t>Right to Request Flexible Working</w:t>
      </w:r>
    </w:p>
    <w:p w14:paraId="403A11BD" w14:textId="77777777" w:rsidR="00E606BF" w:rsidRDefault="00DE6AA0">
      <w:pPr>
        <w:spacing w:before="60" w:after="120"/>
      </w:pPr>
      <w:r>
        <w:t>All employees who have completed 26 weeks of continuous employment have the statutory right to request a flexible working arrangement under the Employment Rights Act 1996 (as amended). The right applies to requests relating to hours of work, times of work, or place of work.</w:t>
      </w:r>
    </w:p>
    <w:p w14:paraId="1E6BDE58" w14:textId="77777777" w:rsidR="00E606BF" w:rsidRDefault="00DE6AA0">
      <w:pPr>
        <w:spacing w:before="60" w:after="120"/>
      </w:pPr>
      <w:r>
        <w:t>Employees may make one statutory flexible working request in any rolling 12-month period. Requests must be made in writing to HR and the line manager, setting out: the proposed change; the date from which it would take effect; what effect, if any, the employee thinks the change would have on the company; and how any such effect might be dealt with.</w:t>
      </w:r>
    </w:p>
    <w:p w14:paraId="06611ABA" w14:textId="77777777" w:rsidR="00E606BF" w:rsidRDefault="00DE6AA0">
      <w:pPr>
        <w:spacing w:before="60" w:after="120"/>
      </w:pPr>
      <w:r>
        <w:t>The company will consider all requests seriously and will respond within 3 months of receiving the request. A request may be refused only on one or more of the following business grounds: the burden of additional costs; a detrimental effect on the ability to meet customer demand; an inability to reorganise work among existing staff; an inability to recruit additional staff; a detrimental impact on quality; a detrimental impact on performance; insufficiency of work during the periods the employee proposes to work; or planned structural changes.</w:t>
      </w:r>
    </w:p>
    <w:p w14:paraId="70A810F7" w14:textId="77777777" w:rsidR="00E606BF" w:rsidRDefault="00DE6AA0">
      <w:pPr>
        <w:spacing w:before="220" w:after="80"/>
      </w:pPr>
      <w:r w:rsidRPr="413681E3">
        <w:rPr>
          <w:b/>
          <w:bCs/>
          <w:color w:val="0078D4"/>
          <w:sz w:val="22"/>
          <w:szCs w:val="22"/>
        </w:rPr>
        <w:t xml:space="preserve">4.2  </w:t>
      </w:r>
      <w:r w:rsidRPr="413681E3">
        <w:rPr>
          <w:b/>
          <w:bCs/>
          <w:color w:val="003F7F"/>
          <w:sz w:val="22"/>
          <w:szCs w:val="22"/>
        </w:rPr>
        <w:t>Hybrid Working Model</w:t>
      </w:r>
    </w:p>
    <w:p w14:paraId="07A90CCB" w14:textId="77777777" w:rsidR="00E606BF" w:rsidRDefault="00DE6AA0">
      <w:pPr>
        <w:spacing w:before="60" w:after="120"/>
      </w:pPr>
      <w:r w:rsidRPr="413681E3">
        <w:t>Northbridge Group operates a hybrid working model as standard for eligible office-based roles. Under this model, employees are expected to work from an office location or client site for a minimum of 2 days per week. The remaining days may be worked remotely, subject to role requirements and line manager approval.</w:t>
      </w:r>
    </w:p>
    <w:p w14:paraId="4DF13AED" w14:textId="77777777" w:rsidR="00E606BF" w:rsidRDefault="00DE6AA0">
      <w:pPr>
        <w:spacing w:before="60" w:after="120"/>
      </w:pPr>
      <w:r w:rsidRPr="413681E3">
        <w:t>The minimum 2-day office attendance expectation is set at the team level, and line managers are responsible for ensuring their teams have adequate in-person presence for collaboration, team meetings, and client-facing activities. Employees in client-facing roles may be required to spend more time on-site depending on client contractual requirements.</w:t>
      </w:r>
    </w:p>
    <w:p w14:paraId="1612BABB" w14:textId="77777777" w:rsidR="00E606BF" w:rsidRDefault="00DE6AA0">
      <w:pPr>
        <w:spacing w:before="60" w:after="120"/>
      </w:pPr>
      <w:r>
        <w:t>Hybrid working arrangements are agreed annually as part of the performance review cycle and may be varied by the company where business needs change. A minimum of 4 weeks' written notice will be given to employees before any change to an established hybrid arrangement, except where there is an operational emergency.</w:t>
      </w:r>
    </w:p>
    <w:p w14:paraId="7D2244B0" w14:textId="77777777" w:rsidR="00E606BF" w:rsidRDefault="00DE6AA0">
      <w:pPr>
        <w:spacing w:before="220" w:after="80"/>
      </w:pPr>
      <w:r w:rsidRPr="413681E3">
        <w:rPr>
          <w:b/>
          <w:bCs/>
          <w:color w:val="0078D4"/>
          <w:sz w:val="22"/>
          <w:szCs w:val="22"/>
        </w:rPr>
        <w:t xml:space="preserve">4.3  </w:t>
      </w:r>
      <w:r w:rsidRPr="413681E3">
        <w:rPr>
          <w:b/>
          <w:bCs/>
          <w:color w:val="003F7F"/>
          <w:sz w:val="22"/>
          <w:szCs w:val="22"/>
        </w:rPr>
        <w:t>Home Working Equipment &amp; Expenses</w:t>
      </w:r>
    </w:p>
    <w:p w14:paraId="59AD276C" w14:textId="77777777" w:rsidR="00E606BF" w:rsidRDefault="00DE6AA0">
      <w:pPr>
        <w:spacing w:before="60" w:after="120"/>
      </w:pPr>
      <w:r>
        <w:t>Employees who work from home on a regular basis (defined as at least 1 day per week on an agreed basis) are entitled to the following:</w:t>
      </w:r>
    </w:p>
    <w:p w14:paraId="7DA1AFF3" w14:textId="77777777" w:rsidR="00E606BF" w:rsidRDefault="00DE6AA0">
      <w:pPr>
        <w:spacing w:before="60" w:after="80"/>
        <w:ind w:left="480"/>
      </w:pPr>
      <w:r>
        <w:rPr>
          <w:b/>
          <w:bCs/>
          <w:color w:val="0078D4"/>
        </w:rPr>
        <w:t xml:space="preserve">(a)  </w:t>
      </w:r>
      <w:r>
        <w:t>A company laptop and headset suitable for their role.</w:t>
      </w:r>
    </w:p>
    <w:p w14:paraId="7DA4EC93" w14:textId="77777777" w:rsidR="00E606BF" w:rsidRDefault="00DE6AA0">
      <w:pPr>
        <w:spacing w:before="60" w:after="80"/>
        <w:ind w:left="480"/>
      </w:pPr>
      <w:r>
        <w:rPr>
          <w:b/>
          <w:bCs/>
          <w:color w:val="0078D4"/>
        </w:rPr>
        <w:t xml:space="preserve">(b)  </w:t>
      </w:r>
      <w:r>
        <w:t>A monitor, keyboard, and mouse where the role requires extended screen-based working, subject to a desk assessment confirming the need.</w:t>
      </w:r>
    </w:p>
    <w:p w14:paraId="3A691331" w14:textId="77777777" w:rsidR="00E606BF" w:rsidRDefault="00DE6AA0">
      <w:pPr>
        <w:spacing w:before="60" w:after="80"/>
        <w:ind w:left="480"/>
      </w:pPr>
      <w:r>
        <w:rPr>
          <w:b/>
          <w:bCs/>
          <w:color w:val="0078D4"/>
        </w:rPr>
        <w:t xml:space="preserve">(c)  </w:t>
      </w:r>
      <w:r>
        <w:t>A broadband allowance of £25 per calendar month (or equivalent in local currency), payable as a taxable addition to salary. Employees must provide evidence of a broadband subscription to claim this allowance.</w:t>
      </w:r>
    </w:p>
    <w:p w14:paraId="38DBD60F" w14:textId="77777777" w:rsidR="00E606BF" w:rsidRDefault="00DE6AA0">
      <w:pPr>
        <w:spacing w:before="60" w:after="120"/>
      </w:pPr>
      <w:r w:rsidRPr="413681E3">
        <w:t>All equipment provided by the company remains company property and must be returned in good condition upon termination of employment or upon request. Employees are responsible for keeping equipment secure and must comply with the IT Security Policy at all times when working remotely.</w:t>
      </w:r>
    </w:p>
    <w:p w14:paraId="3B4D9FE6" w14:textId="77777777" w:rsidR="00E606BF" w:rsidRDefault="00DE6AA0">
      <w:pPr>
        <w:spacing w:before="60" w:after="120"/>
      </w:pPr>
      <w:r w:rsidRPr="413681E3">
        <w:t>Employees are responsible for ensuring their home working environment meets the requirements set out in the DSE (Display Screen Equipment) self-assessment tool available on the HR portal. The company will not be responsible for any costs incurred by the employee in adapting their home workspace, unless agreed in advance as a reasonable adjustment under the Equality Act 2010.</w:t>
      </w:r>
    </w:p>
    <w:p w14:paraId="2C857F62" w14:textId="77777777" w:rsidR="00E606BF" w:rsidRDefault="00DE6AA0">
      <w:pPr>
        <w:spacing w:before="220" w:after="80"/>
      </w:pPr>
      <w:r w:rsidRPr="413681E3">
        <w:rPr>
          <w:b/>
          <w:bCs/>
          <w:color w:val="0078D4"/>
          <w:sz w:val="22"/>
          <w:szCs w:val="22"/>
        </w:rPr>
        <w:t xml:space="preserve">4.4  </w:t>
      </w:r>
      <w:r w:rsidRPr="413681E3">
        <w:rPr>
          <w:b/>
          <w:bCs/>
          <w:color w:val="003F7F"/>
          <w:sz w:val="22"/>
          <w:szCs w:val="22"/>
        </w:rPr>
        <w:t>Working from Abroad</w:t>
      </w:r>
    </w:p>
    <w:p w14:paraId="45F0CBF8" w14:textId="77777777" w:rsidR="00E606BF" w:rsidRDefault="00DE6AA0">
      <w:pPr>
        <w:spacing w:before="60" w:after="120"/>
      </w:pPr>
      <w:r w:rsidRPr="413681E3">
        <w:t>Short-term overseas working is defined as working from a location outside the employee's country of employment for a period of up to 10 consecutive working days in any rolling 12-month period. Short-term overseas working may be permitted at the line manager's discretion and requires notification to HR at least 10 working days in advance.</w:t>
      </w:r>
    </w:p>
    <w:p w14:paraId="1BC1E690" w14:textId="77777777" w:rsidR="00E606BF" w:rsidRDefault="00DE6AA0">
      <w:pPr>
        <w:spacing w:before="60" w:after="120"/>
      </w:pPr>
      <w:r>
        <w:t>Extended overseas working (more than 10 consecutive working days, or any arrangement that would result in the employee spending more than 30 days outside their home country in a tax year) requires approval from the HR Director and the employee's senior leadership sponsor. The company will carry out a tax, social security, and immigration assessment before any extended arrangement is approved. The cost of this assessment will be borne by the company.</w:t>
      </w:r>
    </w:p>
    <w:p w14:paraId="06C64FBB" w14:textId="77777777" w:rsidR="00E606BF" w:rsidRDefault="00DE6AA0">
      <w:pPr>
        <w:spacing w:before="60" w:after="120"/>
      </w:pPr>
      <w:r>
        <w:t>Employees should be aware that working abroad, even for short periods, may give rise to obligations under local tax law, immigration rules, or social security legislation in the host country. The company will provide guidance where possible but cannot guarantee that overseas working will always be possible or permissible.</w:t>
      </w:r>
    </w:p>
    <w:p w14:paraId="45FB0818" w14:textId="77777777" w:rsidR="00E606BF" w:rsidRDefault="00E606B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E606BF" w14:paraId="400E9ACB" w14:textId="77777777">
        <w:trPr>
          <w:cantSplit/>
        </w:trPr>
        <w:tc>
          <w:tcPr>
            <w:tcW w:w="900" w:type="dxa"/>
            <w:tcBorders>
              <w:top w:val="none" w:sz="0" w:space="0" w:color="FFFFFF"/>
              <w:left w:val="none" w:sz="0" w:space="0" w:color="FFFFFF"/>
              <w:bottom w:val="none" w:sz="0" w:space="0" w:color="FFFFFF"/>
              <w:right w:val="none" w:sz="0" w:space="0" w:color="FFFFFF"/>
            </w:tcBorders>
            <w:shd w:val="clear" w:color="auto" w:fill="0078D4"/>
            <w:tcMar>
              <w:top w:w="160" w:type="dxa"/>
              <w:left w:w="200" w:type="dxa"/>
              <w:bottom w:w="160" w:type="dxa"/>
              <w:right w:w="120" w:type="dxa"/>
            </w:tcMar>
            <w:vAlign w:val="center"/>
          </w:tcPr>
          <w:p w14:paraId="78941E47" w14:textId="77777777" w:rsidR="00E606BF" w:rsidRDefault="00DE6AA0">
            <w:pPr>
              <w:jc w:val="center"/>
            </w:pPr>
            <w:r>
              <w:rPr>
                <w:b/>
                <w:bCs/>
                <w:color w:val="FFFFFF"/>
                <w:sz w:val="32"/>
                <w:szCs w:val="32"/>
              </w:rPr>
              <w:t>5</w:t>
            </w:r>
          </w:p>
        </w:tc>
        <w:tc>
          <w:tcPr>
            <w:tcW w:w="8460" w:type="dxa"/>
            <w:tcBorders>
              <w:top w:val="none" w:sz="0" w:space="0" w:color="FFFFFF"/>
              <w:left w:val="none" w:sz="0" w:space="0" w:color="FFFFFF"/>
              <w:bottom w:val="none" w:sz="0" w:space="0" w:color="FFFFFF"/>
              <w:right w:val="none" w:sz="0" w:space="0" w:color="FFFFFF"/>
            </w:tcBorders>
            <w:shd w:val="clear" w:color="auto" w:fill="003F7F"/>
            <w:tcMar>
              <w:top w:w="160" w:type="dxa"/>
              <w:left w:w="240" w:type="dxa"/>
              <w:bottom w:w="160" w:type="dxa"/>
              <w:right w:w="200" w:type="dxa"/>
            </w:tcMar>
            <w:vAlign w:val="center"/>
          </w:tcPr>
          <w:p w14:paraId="172E2C77" w14:textId="77777777" w:rsidR="00E606BF" w:rsidRDefault="00DE6AA0">
            <w:r>
              <w:rPr>
                <w:b/>
                <w:bCs/>
                <w:color w:val="FFFFFF"/>
                <w:sz w:val="28"/>
                <w:szCs w:val="28"/>
              </w:rPr>
              <w:t>Learning &amp; Development</w:t>
            </w:r>
          </w:p>
        </w:tc>
      </w:tr>
    </w:tbl>
    <w:p w14:paraId="049F31CB" w14:textId="77777777" w:rsidR="00E606BF" w:rsidRDefault="00E606BF">
      <w:pPr>
        <w:spacing w:before="140"/>
      </w:pPr>
    </w:p>
    <w:p w14:paraId="3F8D93A4" w14:textId="77777777" w:rsidR="00E606BF" w:rsidRDefault="00DE6AA0">
      <w:pPr>
        <w:spacing w:before="220" w:after="80"/>
      </w:pPr>
      <w:r w:rsidRPr="413681E3">
        <w:rPr>
          <w:b/>
          <w:bCs/>
          <w:color w:val="0078D4"/>
          <w:sz w:val="22"/>
          <w:szCs w:val="22"/>
        </w:rPr>
        <w:t xml:space="preserve">5.1  </w:t>
      </w:r>
      <w:r w:rsidRPr="413681E3">
        <w:rPr>
          <w:b/>
          <w:bCs/>
          <w:color w:val="003F7F"/>
          <w:sz w:val="22"/>
          <w:szCs w:val="22"/>
        </w:rPr>
        <w:t>Learning &amp; Development Budget</w:t>
      </w:r>
    </w:p>
    <w:p w14:paraId="017CB6ED" w14:textId="77777777" w:rsidR="00E606BF" w:rsidRDefault="00DE6AA0">
      <w:pPr>
        <w:spacing w:before="60" w:after="120"/>
      </w:pPr>
      <w:r w:rsidRPr="413681E3">
        <w:t>All permanent employees who have completed their 3-month probationary period are entitled to an annual Learning &amp; Development (L&amp;D) budget. The budget is allocated per employee per holiday year and cannot be rolled over to the following year. Entitlements are as follows:</w:t>
      </w:r>
    </w:p>
    <w:p w14:paraId="53128261" w14:textId="77777777" w:rsidR="00E606BF" w:rsidRDefault="00E606BF">
      <w:pPr>
        <w:spacing w:before="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606BF" w14:paraId="6F4CDAFE" w14:textId="77777777" w:rsidTr="413681E3">
        <w:trPr>
          <w:tblHeader/>
        </w:trPr>
        <w:tc>
          <w:tcPr>
            <w:tcW w:w="4680" w:type="dxa"/>
            <w:tcBorders>
              <w:top w:val="single" w:sz="2" w:space="0" w:color="0078D4"/>
              <w:left w:val="single" w:sz="2" w:space="0" w:color="0078D4"/>
              <w:bottom w:val="single" w:sz="2" w:space="0" w:color="0078D4"/>
              <w:right w:val="single" w:sz="2" w:space="0" w:color="0078D4"/>
            </w:tcBorders>
            <w:shd w:val="clear" w:color="auto" w:fill="003F7F"/>
            <w:tcMar>
              <w:top w:w="80" w:type="dxa"/>
              <w:left w:w="120" w:type="dxa"/>
              <w:bottom w:w="80" w:type="dxa"/>
              <w:right w:w="80" w:type="dxa"/>
            </w:tcMar>
          </w:tcPr>
          <w:p w14:paraId="36BD120F" w14:textId="77777777" w:rsidR="00E606BF" w:rsidRDefault="00DE6AA0">
            <w:r w:rsidRPr="413681E3">
              <w:rPr>
                <w:b/>
                <w:bCs/>
                <w:color w:val="FFFFFF" w:themeColor="background1"/>
                <w:sz w:val="19"/>
                <w:szCs w:val="19"/>
              </w:rPr>
              <w:t>Role Band</w:t>
            </w:r>
          </w:p>
        </w:tc>
        <w:tc>
          <w:tcPr>
            <w:tcW w:w="4680" w:type="dxa"/>
            <w:tcBorders>
              <w:top w:val="single" w:sz="2" w:space="0" w:color="0078D4"/>
              <w:left w:val="single" w:sz="2" w:space="0" w:color="0078D4"/>
              <w:bottom w:val="single" w:sz="2" w:space="0" w:color="0078D4"/>
              <w:right w:val="single" w:sz="2" w:space="0" w:color="0078D4"/>
            </w:tcBorders>
            <w:shd w:val="clear" w:color="auto" w:fill="003F7F"/>
            <w:tcMar>
              <w:top w:w="80" w:type="dxa"/>
              <w:left w:w="120" w:type="dxa"/>
              <w:bottom w:w="80" w:type="dxa"/>
              <w:right w:w="80" w:type="dxa"/>
            </w:tcMar>
          </w:tcPr>
          <w:p w14:paraId="12339821" w14:textId="77777777" w:rsidR="00E606BF" w:rsidRDefault="00DE6AA0">
            <w:r>
              <w:rPr>
                <w:b/>
                <w:bCs/>
                <w:color w:val="FFFFFF"/>
                <w:sz w:val="19"/>
                <w:szCs w:val="19"/>
              </w:rPr>
              <w:t>Annual L&amp;D Budget</w:t>
            </w:r>
          </w:p>
        </w:tc>
      </w:tr>
      <w:tr w:rsidR="00E606BF" w14:paraId="5A54E6DA" w14:textId="77777777" w:rsidTr="413681E3">
        <w:tc>
          <w:tcPr>
            <w:tcW w:w="468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0FED2C34" w14:textId="77777777" w:rsidR="00E606BF" w:rsidRDefault="00DE6AA0">
            <w:r>
              <w:rPr>
                <w:sz w:val="19"/>
                <w:szCs w:val="19"/>
              </w:rPr>
              <w:t>Associate / Analyst</w:t>
            </w:r>
          </w:p>
        </w:tc>
        <w:tc>
          <w:tcPr>
            <w:tcW w:w="468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1F823EE4" w14:textId="77777777" w:rsidR="00E606BF" w:rsidRDefault="00DE6AA0">
            <w:r>
              <w:rPr>
                <w:sz w:val="19"/>
                <w:szCs w:val="19"/>
              </w:rPr>
              <w:t>£500</w:t>
            </w:r>
          </w:p>
        </w:tc>
      </w:tr>
      <w:tr w:rsidR="00E606BF" w14:paraId="58EC88AA" w14:textId="77777777" w:rsidTr="413681E3">
        <w:tc>
          <w:tcPr>
            <w:tcW w:w="468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0FF76378" w14:textId="77777777" w:rsidR="00E606BF" w:rsidRDefault="00DE6AA0">
            <w:r>
              <w:rPr>
                <w:sz w:val="19"/>
                <w:szCs w:val="19"/>
              </w:rPr>
              <w:t>Consultant / Senior Consultant</w:t>
            </w:r>
          </w:p>
        </w:tc>
        <w:tc>
          <w:tcPr>
            <w:tcW w:w="468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1CB1F9C0" w14:textId="77777777" w:rsidR="00E606BF" w:rsidRDefault="00DE6AA0">
            <w:r>
              <w:rPr>
                <w:sz w:val="19"/>
                <w:szCs w:val="19"/>
              </w:rPr>
              <w:t>£1,000</w:t>
            </w:r>
          </w:p>
        </w:tc>
      </w:tr>
      <w:tr w:rsidR="00E606BF" w14:paraId="6B38BCD9" w14:textId="77777777" w:rsidTr="413681E3">
        <w:tc>
          <w:tcPr>
            <w:tcW w:w="468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0279E5E7" w14:textId="77777777" w:rsidR="00E606BF" w:rsidRDefault="00DE6AA0">
            <w:r>
              <w:rPr>
                <w:sz w:val="19"/>
                <w:szCs w:val="19"/>
              </w:rPr>
              <w:t>Manager / Senior Manager</w:t>
            </w:r>
          </w:p>
        </w:tc>
        <w:tc>
          <w:tcPr>
            <w:tcW w:w="468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1C521FE1" w14:textId="77777777" w:rsidR="00E606BF" w:rsidRDefault="00DE6AA0">
            <w:r>
              <w:rPr>
                <w:sz w:val="19"/>
                <w:szCs w:val="19"/>
              </w:rPr>
              <w:t>£1,500</w:t>
            </w:r>
          </w:p>
        </w:tc>
      </w:tr>
      <w:tr w:rsidR="00E606BF" w14:paraId="4F323C5E" w14:textId="77777777" w:rsidTr="413681E3">
        <w:tc>
          <w:tcPr>
            <w:tcW w:w="468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6B85B0E9" w14:textId="77777777" w:rsidR="00E606BF" w:rsidRDefault="00DE6AA0">
            <w:r>
              <w:rPr>
                <w:sz w:val="19"/>
                <w:szCs w:val="19"/>
              </w:rPr>
              <w:t>Director and above</w:t>
            </w:r>
          </w:p>
        </w:tc>
        <w:tc>
          <w:tcPr>
            <w:tcW w:w="468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7244BEFF" w14:textId="77777777" w:rsidR="00E606BF" w:rsidRDefault="00DE6AA0">
            <w:r>
              <w:rPr>
                <w:sz w:val="19"/>
                <w:szCs w:val="19"/>
              </w:rPr>
              <w:t>£2,500</w:t>
            </w:r>
          </w:p>
        </w:tc>
      </w:tr>
    </w:tbl>
    <w:p w14:paraId="62486C05" w14:textId="77777777" w:rsidR="00E606BF" w:rsidRDefault="00E606BF">
      <w:pPr>
        <w:spacing w:before="120"/>
      </w:pPr>
    </w:p>
    <w:p w14:paraId="1AA04E4F" w14:textId="77777777" w:rsidR="00E606BF" w:rsidRDefault="00DE6AA0">
      <w:pPr>
        <w:spacing w:before="60" w:after="120"/>
      </w:pPr>
      <w:r>
        <w:t>The L&amp;D budget may be used for external training courses, professional certifications, relevant industry conferences (up to 50% of conference cost), or approved learning materials. It may not be used for personal development activities unrelated to the employee's role, or for equipment purchases, which are managed separately.</w:t>
      </w:r>
    </w:p>
    <w:p w14:paraId="6801161A" w14:textId="77777777" w:rsidR="00E606BF" w:rsidRDefault="00DE6AA0">
      <w:pPr>
        <w:spacing w:before="60" w:after="120"/>
      </w:pPr>
      <w:r w:rsidRPr="413681E3">
        <w:t>Requests must be submitted via the L&amp;D request form on the HR portal and approved by the line manager before any booking or purchase is made. Retrospective claims will not be honoured.</w:t>
      </w:r>
    </w:p>
    <w:p w14:paraId="7292CC6E" w14:textId="77777777" w:rsidR="00E606BF" w:rsidRDefault="00DE6AA0">
      <w:pPr>
        <w:spacing w:before="220" w:after="80"/>
      </w:pPr>
      <w:r w:rsidRPr="413681E3">
        <w:rPr>
          <w:b/>
          <w:bCs/>
          <w:color w:val="0078D4"/>
          <w:sz w:val="22"/>
          <w:szCs w:val="22"/>
        </w:rPr>
        <w:t xml:space="preserve">5.2  </w:t>
      </w:r>
      <w:r w:rsidRPr="413681E3">
        <w:rPr>
          <w:b/>
          <w:bCs/>
          <w:color w:val="003F7F"/>
          <w:sz w:val="22"/>
          <w:szCs w:val="22"/>
        </w:rPr>
        <w:t>Professional Qualifications</w:t>
      </w:r>
    </w:p>
    <w:p w14:paraId="0E1A54A3" w14:textId="77777777" w:rsidR="00E606BF" w:rsidRDefault="00DE6AA0">
      <w:pPr>
        <w:spacing w:before="60" w:after="120"/>
      </w:pPr>
      <w:r>
        <w:t>Where an employee wishes to pursue a professional qualification that is directly relevant to their current or planned future role, the company may agree to fund the full cost, subject to the following conditions:</w:t>
      </w:r>
    </w:p>
    <w:p w14:paraId="34C19316" w14:textId="77777777" w:rsidR="00E606BF" w:rsidRDefault="00DE6AA0">
      <w:pPr>
        <w:spacing w:before="60" w:after="80"/>
        <w:ind w:left="480"/>
      </w:pPr>
      <w:r w:rsidRPr="413681E3">
        <w:rPr>
          <w:b/>
          <w:bCs/>
          <w:color w:val="0078D4"/>
        </w:rPr>
        <w:t xml:space="preserve">(a)  </w:t>
      </w:r>
      <w:r w:rsidRPr="413681E3">
        <w:t>A business case must be submitted by the line manager to the HR Business Partner and approved by the department head prior to enrolment.</w:t>
      </w:r>
    </w:p>
    <w:p w14:paraId="45200401" w14:textId="77777777" w:rsidR="00E606BF" w:rsidRDefault="00DE6AA0">
      <w:pPr>
        <w:spacing w:before="60" w:after="80"/>
        <w:ind w:left="480"/>
      </w:pPr>
      <w:r>
        <w:rPr>
          <w:b/>
          <w:bCs/>
          <w:color w:val="0078D4"/>
        </w:rPr>
        <w:t xml:space="preserve">(b)  </w:t>
      </w:r>
      <w:r>
        <w:t>Where the total cost of the qualification exceeds £1,000, a training agreement will be entered into between the company and the employee. The training agreement will set out repayment obligations on a sliding scale should the employee leave within 2 years of completing the qualification (100% repayment within 6 months; 75% within 12 months; 50% within 18 months; 25% within 24 months).</w:t>
      </w:r>
    </w:p>
    <w:p w14:paraId="73984481" w14:textId="77777777" w:rsidR="00E606BF" w:rsidRDefault="00DE6AA0">
      <w:pPr>
        <w:spacing w:before="60" w:after="80"/>
        <w:ind w:left="480"/>
      </w:pPr>
      <w:r w:rsidRPr="413681E3">
        <w:rPr>
          <w:b/>
          <w:bCs/>
          <w:color w:val="0078D4"/>
        </w:rPr>
        <w:t xml:space="preserve">(c)  </w:t>
      </w:r>
      <w:r w:rsidRPr="413681E3">
        <w:t>Where an employee fails to complete a funded qualification without good reason, the company may recover a proportionate share of fees paid.</w:t>
      </w:r>
    </w:p>
    <w:p w14:paraId="2DB73840" w14:textId="77777777" w:rsidR="00E606BF" w:rsidRDefault="00DE6AA0">
      <w:pPr>
        <w:spacing w:before="60" w:after="120"/>
      </w:pPr>
      <w:r w:rsidRPr="413681E3">
        <w:t>Study leave may be granted for examinations and revision at the line manager's discretion. A maximum of 5 study leave days per examination sitting may be approved for qualifications funded under this policy.</w:t>
      </w:r>
    </w:p>
    <w:p w14:paraId="4101652C" w14:textId="77777777" w:rsidR="00E606BF" w:rsidRDefault="00E606B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E606BF" w14:paraId="3296980A" w14:textId="77777777">
        <w:trPr>
          <w:cantSplit/>
        </w:trPr>
        <w:tc>
          <w:tcPr>
            <w:tcW w:w="900" w:type="dxa"/>
            <w:tcBorders>
              <w:top w:val="none" w:sz="0" w:space="0" w:color="FFFFFF"/>
              <w:left w:val="none" w:sz="0" w:space="0" w:color="FFFFFF"/>
              <w:bottom w:val="none" w:sz="0" w:space="0" w:color="FFFFFF"/>
              <w:right w:val="none" w:sz="0" w:space="0" w:color="FFFFFF"/>
            </w:tcBorders>
            <w:shd w:val="clear" w:color="auto" w:fill="0078D4"/>
            <w:tcMar>
              <w:top w:w="160" w:type="dxa"/>
              <w:left w:w="200" w:type="dxa"/>
              <w:bottom w:w="160" w:type="dxa"/>
              <w:right w:w="120" w:type="dxa"/>
            </w:tcMar>
            <w:vAlign w:val="center"/>
          </w:tcPr>
          <w:p w14:paraId="29B4EA11" w14:textId="77777777" w:rsidR="00E606BF" w:rsidRDefault="00DE6AA0">
            <w:pPr>
              <w:jc w:val="center"/>
            </w:pPr>
            <w:r>
              <w:rPr>
                <w:b/>
                <w:bCs/>
                <w:color w:val="FFFFFF"/>
                <w:sz w:val="32"/>
                <w:szCs w:val="32"/>
              </w:rPr>
              <w:t>6</w:t>
            </w:r>
          </w:p>
        </w:tc>
        <w:tc>
          <w:tcPr>
            <w:tcW w:w="8460" w:type="dxa"/>
            <w:tcBorders>
              <w:top w:val="none" w:sz="0" w:space="0" w:color="FFFFFF"/>
              <w:left w:val="none" w:sz="0" w:space="0" w:color="FFFFFF"/>
              <w:bottom w:val="none" w:sz="0" w:space="0" w:color="FFFFFF"/>
              <w:right w:val="none" w:sz="0" w:space="0" w:color="FFFFFF"/>
            </w:tcBorders>
            <w:shd w:val="clear" w:color="auto" w:fill="003F7F"/>
            <w:tcMar>
              <w:top w:w="160" w:type="dxa"/>
              <w:left w:w="240" w:type="dxa"/>
              <w:bottom w:w="160" w:type="dxa"/>
              <w:right w:w="200" w:type="dxa"/>
            </w:tcMar>
            <w:vAlign w:val="center"/>
          </w:tcPr>
          <w:p w14:paraId="4156F86B" w14:textId="77777777" w:rsidR="00E606BF" w:rsidRDefault="00DE6AA0">
            <w:r>
              <w:rPr>
                <w:b/>
                <w:bCs/>
                <w:color w:val="FFFFFF"/>
                <w:sz w:val="28"/>
                <w:szCs w:val="28"/>
              </w:rPr>
              <w:t>Expenses &amp; Employee Benefits</w:t>
            </w:r>
          </w:p>
        </w:tc>
      </w:tr>
    </w:tbl>
    <w:p w14:paraId="4B99056E" w14:textId="77777777" w:rsidR="00E606BF" w:rsidRDefault="00E606BF">
      <w:pPr>
        <w:spacing w:before="140"/>
      </w:pPr>
    </w:p>
    <w:p w14:paraId="0EDDF1D7" w14:textId="77777777" w:rsidR="00E606BF" w:rsidRDefault="00DE6AA0">
      <w:pPr>
        <w:spacing w:before="220" w:after="80"/>
      </w:pPr>
      <w:r w:rsidRPr="413681E3">
        <w:rPr>
          <w:b/>
          <w:bCs/>
          <w:color w:val="0078D4"/>
          <w:sz w:val="22"/>
          <w:szCs w:val="22"/>
        </w:rPr>
        <w:t xml:space="preserve">6.1  </w:t>
      </w:r>
      <w:r w:rsidRPr="413681E3">
        <w:rPr>
          <w:b/>
          <w:bCs/>
          <w:color w:val="003F7F"/>
          <w:sz w:val="22"/>
          <w:szCs w:val="22"/>
        </w:rPr>
        <w:t>Expense Reimbursement</w:t>
      </w:r>
    </w:p>
    <w:p w14:paraId="0D097DD6" w14:textId="77777777" w:rsidR="00E606BF" w:rsidRDefault="00DE6AA0">
      <w:pPr>
        <w:spacing w:before="60" w:after="120"/>
      </w:pPr>
      <w:r w:rsidRPr="413681E3">
        <w:t>Employees will be reimbursed for reasonable expenses that are wholly, exclusively, and necessarily incurred in the course of their employment. All expenses must be submitted via the company's expense management system within 30 days of being incurred. Claims submitted after 60 days will not be reimbursed unless exceptional circumstances apply and are approved by the Finance Director.</w:t>
      </w:r>
    </w:p>
    <w:p w14:paraId="4773ADFC" w14:textId="77777777" w:rsidR="00E606BF" w:rsidRDefault="00DE6AA0">
      <w:pPr>
        <w:spacing w:before="60" w:after="120"/>
      </w:pPr>
      <w:r>
        <w:t>The following rates and limits apply for common expense categories:</w:t>
      </w:r>
    </w:p>
    <w:p w14:paraId="1299C43A" w14:textId="77777777" w:rsidR="00E606BF" w:rsidRDefault="00E606BF">
      <w:pPr>
        <w:spacing w:before="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606BF" w14:paraId="2D64751B" w14:textId="77777777" w:rsidTr="413681E3">
        <w:trPr>
          <w:tblHeader/>
        </w:trPr>
        <w:tc>
          <w:tcPr>
            <w:tcW w:w="3120" w:type="dxa"/>
            <w:tcBorders>
              <w:top w:val="single" w:sz="2" w:space="0" w:color="0078D4"/>
              <w:left w:val="single" w:sz="2" w:space="0" w:color="0078D4"/>
              <w:bottom w:val="single" w:sz="2" w:space="0" w:color="0078D4"/>
              <w:right w:val="single" w:sz="2" w:space="0" w:color="0078D4"/>
            </w:tcBorders>
            <w:shd w:val="clear" w:color="auto" w:fill="003F7F"/>
            <w:tcMar>
              <w:top w:w="80" w:type="dxa"/>
              <w:left w:w="120" w:type="dxa"/>
              <w:bottom w:w="80" w:type="dxa"/>
              <w:right w:w="80" w:type="dxa"/>
            </w:tcMar>
          </w:tcPr>
          <w:p w14:paraId="769DEB10" w14:textId="77777777" w:rsidR="00E606BF" w:rsidRDefault="00DE6AA0">
            <w:r>
              <w:rPr>
                <w:b/>
                <w:bCs/>
                <w:color w:val="FFFFFF"/>
                <w:sz w:val="19"/>
                <w:szCs w:val="19"/>
              </w:rPr>
              <w:t>Expense Category</w:t>
            </w:r>
          </w:p>
        </w:tc>
        <w:tc>
          <w:tcPr>
            <w:tcW w:w="3120" w:type="dxa"/>
            <w:tcBorders>
              <w:top w:val="single" w:sz="2" w:space="0" w:color="0078D4"/>
              <w:left w:val="single" w:sz="2" w:space="0" w:color="0078D4"/>
              <w:bottom w:val="single" w:sz="2" w:space="0" w:color="0078D4"/>
              <w:right w:val="single" w:sz="2" w:space="0" w:color="0078D4"/>
            </w:tcBorders>
            <w:shd w:val="clear" w:color="auto" w:fill="003F7F"/>
            <w:tcMar>
              <w:top w:w="80" w:type="dxa"/>
              <w:left w:w="120" w:type="dxa"/>
              <w:bottom w:w="80" w:type="dxa"/>
              <w:right w:w="80" w:type="dxa"/>
            </w:tcMar>
          </w:tcPr>
          <w:p w14:paraId="07E70DB9" w14:textId="77777777" w:rsidR="00E606BF" w:rsidRDefault="00DE6AA0">
            <w:r>
              <w:rPr>
                <w:b/>
                <w:bCs/>
                <w:color w:val="FFFFFF"/>
                <w:sz w:val="19"/>
                <w:szCs w:val="19"/>
              </w:rPr>
              <w:t>Limit / Rate</w:t>
            </w:r>
          </w:p>
        </w:tc>
        <w:tc>
          <w:tcPr>
            <w:tcW w:w="3120" w:type="dxa"/>
            <w:tcBorders>
              <w:top w:val="single" w:sz="2" w:space="0" w:color="0078D4"/>
              <w:left w:val="single" w:sz="2" w:space="0" w:color="0078D4"/>
              <w:bottom w:val="single" w:sz="2" w:space="0" w:color="0078D4"/>
              <w:right w:val="single" w:sz="2" w:space="0" w:color="0078D4"/>
            </w:tcBorders>
            <w:shd w:val="clear" w:color="auto" w:fill="003F7F"/>
            <w:tcMar>
              <w:top w:w="80" w:type="dxa"/>
              <w:left w:w="120" w:type="dxa"/>
              <w:bottom w:w="80" w:type="dxa"/>
              <w:right w:w="80" w:type="dxa"/>
            </w:tcMar>
          </w:tcPr>
          <w:p w14:paraId="25546E3C" w14:textId="77777777" w:rsidR="00E606BF" w:rsidRDefault="00DE6AA0">
            <w:r>
              <w:rPr>
                <w:b/>
                <w:bCs/>
                <w:color w:val="FFFFFF"/>
                <w:sz w:val="19"/>
                <w:szCs w:val="19"/>
              </w:rPr>
              <w:t>Notes</w:t>
            </w:r>
          </w:p>
        </w:tc>
      </w:tr>
      <w:tr w:rsidR="00E606BF" w14:paraId="5BD5AD25" w14:textId="77777777" w:rsidTr="413681E3">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7988B502" w14:textId="77777777" w:rsidR="00E606BF" w:rsidRDefault="00DE6AA0">
            <w:r>
              <w:rPr>
                <w:sz w:val="19"/>
                <w:szCs w:val="19"/>
              </w:rPr>
              <w:t>Business travel — rail / air</w:t>
            </w:r>
          </w:p>
        </w:tc>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4FED2455" w14:textId="77777777" w:rsidR="00E606BF" w:rsidRDefault="00DE6AA0">
            <w:r>
              <w:rPr>
                <w:sz w:val="19"/>
                <w:szCs w:val="19"/>
              </w:rPr>
              <w:t>Actual cost (economy class)</w:t>
            </w:r>
          </w:p>
        </w:tc>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2AF36C07" w14:textId="77777777" w:rsidR="00E606BF" w:rsidRDefault="00DE6AA0">
            <w:r w:rsidRPr="413681E3">
              <w:rPr>
                <w:sz w:val="19"/>
                <w:szCs w:val="19"/>
              </w:rPr>
              <w:t>Prior approval required for journeys over £200</w:t>
            </w:r>
          </w:p>
        </w:tc>
      </w:tr>
      <w:tr w:rsidR="00E606BF" w14:paraId="54E558F5" w14:textId="77777777" w:rsidTr="413681E3">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7C99F076" w14:textId="77777777" w:rsidR="00E606BF" w:rsidRDefault="00DE6AA0">
            <w:r>
              <w:rPr>
                <w:sz w:val="19"/>
                <w:szCs w:val="19"/>
              </w:rPr>
              <w:t>Business travel — own car</w:t>
            </w:r>
          </w:p>
        </w:tc>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70F75A5B" w14:textId="77777777" w:rsidR="00E606BF" w:rsidRDefault="00DE6AA0">
            <w:r>
              <w:rPr>
                <w:sz w:val="19"/>
                <w:szCs w:val="19"/>
              </w:rPr>
              <w:t>45p per mile (first 10,000 miles), 25p thereafter</w:t>
            </w:r>
          </w:p>
        </w:tc>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17211A43" w14:textId="77777777" w:rsidR="00E606BF" w:rsidRDefault="00DE6AA0">
            <w:r>
              <w:rPr>
                <w:sz w:val="19"/>
                <w:szCs w:val="19"/>
              </w:rPr>
              <w:t>HMRC approved mileage rates</w:t>
            </w:r>
          </w:p>
        </w:tc>
      </w:tr>
      <w:tr w:rsidR="00E606BF" w14:paraId="0E8E6E6A" w14:textId="77777777" w:rsidTr="413681E3">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5D959CB0" w14:textId="77777777" w:rsidR="00E606BF" w:rsidRDefault="00DE6AA0">
            <w:r>
              <w:rPr>
                <w:sz w:val="19"/>
                <w:szCs w:val="19"/>
              </w:rPr>
              <w:t>Accommodation (UK)</w:t>
            </w:r>
          </w:p>
        </w:tc>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745633AB" w14:textId="77777777" w:rsidR="00E606BF" w:rsidRDefault="00DE6AA0">
            <w:r>
              <w:rPr>
                <w:sz w:val="19"/>
                <w:szCs w:val="19"/>
              </w:rPr>
              <w:t>Up to £150 per night</w:t>
            </w:r>
          </w:p>
        </w:tc>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6EDCA0F4" w14:textId="77777777" w:rsidR="00E606BF" w:rsidRDefault="00DE6AA0">
            <w:r w:rsidRPr="413681E3">
              <w:rPr>
                <w:sz w:val="19"/>
                <w:szCs w:val="19"/>
              </w:rPr>
              <w:t>Prior approval required above limit</w:t>
            </w:r>
          </w:p>
        </w:tc>
      </w:tr>
      <w:tr w:rsidR="00E606BF" w14:paraId="0C46F190" w14:textId="77777777" w:rsidTr="413681E3">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3B971DAA" w14:textId="77777777" w:rsidR="00E606BF" w:rsidRDefault="00DE6AA0">
            <w:r>
              <w:rPr>
                <w:sz w:val="19"/>
                <w:szCs w:val="19"/>
              </w:rPr>
              <w:t>Accommodation (overseas)</w:t>
            </w:r>
          </w:p>
        </w:tc>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6413050A" w14:textId="77777777" w:rsidR="00E606BF" w:rsidRDefault="00DE6AA0">
            <w:r>
              <w:rPr>
                <w:sz w:val="19"/>
                <w:szCs w:val="19"/>
              </w:rPr>
              <w:t>Up to £200 per night</w:t>
            </w:r>
          </w:p>
        </w:tc>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643B4162" w14:textId="77777777" w:rsidR="00E606BF" w:rsidRDefault="00DE6AA0">
            <w:r w:rsidRPr="413681E3">
              <w:rPr>
                <w:sz w:val="19"/>
                <w:szCs w:val="19"/>
              </w:rPr>
              <w:t>Prior approval required above limit</w:t>
            </w:r>
          </w:p>
        </w:tc>
      </w:tr>
      <w:tr w:rsidR="00E606BF" w14:paraId="511151E8" w14:textId="77777777" w:rsidTr="413681E3">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600FA2AF" w14:textId="77777777" w:rsidR="00E606BF" w:rsidRDefault="00DE6AA0">
            <w:r>
              <w:rPr>
                <w:sz w:val="19"/>
                <w:szCs w:val="19"/>
              </w:rPr>
              <w:t>Subsistence — day trips (8+ hours)</w:t>
            </w:r>
          </w:p>
        </w:tc>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4DBA8CE3" w14:textId="77777777" w:rsidR="00E606BF" w:rsidRDefault="00DE6AA0">
            <w:r>
              <w:rPr>
                <w:sz w:val="19"/>
                <w:szCs w:val="19"/>
              </w:rPr>
              <w:t>Up to £30 per day</w:t>
            </w:r>
          </w:p>
        </w:tc>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52198F6C" w14:textId="77777777" w:rsidR="00E606BF" w:rsidRDefault="00DE6AA0">
            <w:r>
              <w:rPr>
                <w:sz w:val="19"/>
                <w:szCs w:val="19"/>
              </w:rPr>
              <w:t>Receipts required above £10</w:t>
            </w:r>
          </w:p>
        </w:tc>
      </w:tr>
      <w:tr w:rsidR="00E606BF" w14:paraId="48B16A3C" w14:textId="77777777" w:rsidTr="413681E3">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5CE23442" w14:textId="77777777" w:rsidR="00E606BF" w:rsidRDefault="00DE6AA0">
            <w:r>
              <w:rPr>
                <w:sz w:val="19"/>
                <w:szCs w:val="19"/>
              </w:rPr>
              <w:t>Subsistence — overnight stays</w:t>
            </w:r>
          </w:p>
        </w:tc>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69B04434" w14:textId="77777777" w:rsidR="00E606BF" w:rsidRDefault="00DE6AA0">
            <w:r>
              <w:rPr>
                <w:sz w:val="19"/>
                <w:szCs w:val="19"/>
              </w:rPr>
              <w:t>Up to £50 per day</w:t>
            </w:r>
          </w:p>
        </w:tc>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160A1F1F" w14:textId="77777777" w:rsidR="00E606BF" w:rsidRDefault="00DE6AA0">
            <w:r>
              <w:rPr>
                <w:sz w:val="19"/>
                <w:szCs w:val="19"/>
              </w:rPr>
              <w:t>Receipts required for all claims</w:t>
            </w:r>
          </w:p>
        </w:tc>
      </w:tr>
      <w:tr w:rsidR="00E606BF" w14:paraId="19E97648" w14:textId="77777777" w:rsidTr="413681E3">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723AB37B" w14:textId="77777777" w:rsidR="00E606BF" w:rsidRDefault="00DE6AA0">
            <w:r>
              <w:rPr>
                <w:sz w:val="19"/>
                <w:szCs w:val="19"/>
              </w:rPr>
              <w:t>Business entertainment</w:t>
            </w:r>
          </w:p>
        </w:tc>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58383D5B" w14:textId="77777777" w:rsidR="00E606BF" w:rsidRDefault="00DE6AA0">
            <w:r>
              <w:rPr>
                <w:sz w:val="19"/>
                <w:szCs w:val="19"/>
              </w:rPr>
              <w:t>Up to £75 per head</w:t>
            </w:r>
          </w:p>
        </w:tc>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5F56B28E" w14:textId="77777777" w:rsidR="00E606BF" w:rsidRDefault="00DE6AA0">
            <w:r w:rsidRPr="413681E3">
              <w:rPr>
                <w:sz w:val="19"/>
                <w:szCs w:val="19"/>
              </w:rPr>
              <w:t>Manager approval required; client name needed</w:t>
            </w:r>
          </w:p>
        </w:tc>
      </w:tr>
    </w:tbl>
    <w:p w14:paraId="4DDBEF00" w14:textId="77777777" w:rsidR="00E606BF" w:rsidRDefault="00E606B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06BF" w14:paraId="371DF42C" w14:textId="77777777" w:rsidTr="413681E3">
        <w:tc>
          <w:tcPr>
            <w:tcW w:w="9360" w:type="dxa"/>
            <w:tcBorders>
              <w:top w:val="single" w:sz="2" w:space="0" w:color="0078D4"/>
              <w:left w:val="single" w:sz="18" w:space="0" w:color="0078D4"/>
              <w:bottom w:val="single" w:sz="2" w:space="0" w:color="0078D4"/>
              <w:right w:val="single" w:sz="2" w:space="0" w:color="0078D4"/>
            </w:tcBorders>
            <w:shd w:val="clear" w:color="auto" w:fill="EFF8FF"/>
            <w:tcMar>
              <w:top w:w="100" w:type="dxa"/>
              <w:left w:w="200" w:type="dxa"/>
              <w:bottom w:w="100" w:type="dxa"/>
              <w:right w:w="160" w:type="dxa"/>
            </w:tcMar>
          </w:tcPr>
          <w:p w14:paraId="02E3EF75" w14:textId="77777777" w:rsidR="00E606BF" w:rsidRDefault="00DE6AA0">
            <w:r w:rsidRPr="413681E3">
              <w:rPr>
                <w:b/>
                <w:bCs/>
                <w:color w:val="0078D4"/>
                <w:sz w:val="19"/>
                <w:szCs w:val="19"/>
              </w:rPr>
              <w:t xml:space="preserve">Note:  </w:t>
            </w:r>
            <w:r w:rsidRPr="413681E3">
              <w:rPr>
                <w:i/>
                <w:iCs/>
                <w:sz w:val="19"/>
                <w:szCs w:val="19"/>
              </w:rPr>
              <w:t>Expenses claimed without receipts (where required) will be rejected. Personal expenses — including alcohol not forming part of approved business entertainment, fines, or personal care items — will not be reimbursed under any circumstances.</w:t>
            </w:r>
          </w:p>
        </w:tc>
      </w:tr>
    </w:tbl>
    <w:p w14:paraId="0AB41B7D" w14:textId="77777777" w:rsidR="00E606BF" w:rsidRDefault="00DE6AA0">
      <w:pPr>
        <w:spacing w:before="220" w:after="80"/>
      </w:pPr>
      <w:r w:rsidRPr="413681E3">
        <w:rPr>
          <w:b/>
          <w:bCs/>
          <w:color w:val="0078D4"/>
          <w:sz w:val="22"/>
          <w:szCs w:val="22"/>
        </w:rPr>
        <w:t xml:space="preserve">6.2  </w:t>
      </w:r>
      <w:r w:rsidRPr="413681E3">
        <w:rPr>
          <w:b/>
          <w:bCs/>
          <w:color w:val="003F7F"/>
          <w:sz w:val="22"/>
          <w:szCs w:val="22"/>
        </w:rPr>
        <w:t>Employee Benefits</w:t>
      </w:r>
    </w:p>
    <w:p w14:paraId="24799F0F" w14:textId="77777777" w:rsidR="00E606BF" w:rsidRDefault="00DE6AA0">
      <w:pPr>
        <w:spacing w:before="60" w:after="120"/>
      </w:pPr>
      <w:r w:rsidRPr="413681E3">
        <w:t>Northbridge Group provides a range of benefits to all eligible employees. A summary of core benefits is set out below. Full terms and conditions for each benefit are available on the HR portal under Benefits &amp; Wellbeing:</w:t>
      </w:r>
    </w:p>
    <w:p w14:paraId="3461D779" w14:textId="77777777" w:rsidR="00E606BF" w:rsidRDefault="00E606BF">
      <w:pPr>
        <w:spacing w:before="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606BF" w14:paraId="775D82C1" w14:textId="77777777" w:rsidTr="413681E3">
        <w:trPr>
          <w:tblHeader/>
        </w:trPr>
        <w:tc>
          <w:tcPr>
            <w:tcW w:w="3120" w:type="dxa"/>
            <w:tcBorders>
              <w:top w:val="single" w:sz="2" w:space="0" w:color="0078D4"/>
              <w:left w:val="single" w:sz="2" w:space="0" w:color="0078D4"/>
              <w:bottom w:val="single" w:sz="2" w:space="0" w:color="0078D4"/>
              <w:right w:val="single" w:sz="2" w:space="0" w:color="0078D4"/>
            </w:tcBorders>
            <w:shd w:val="clear" w:color="auto" w:fill="003F7F"/>
            <w:tcMar>
              <w:top w:w="80" w:type="dxa"/>
              <w:left w:w="120" w:type="dxa"/>
              <w:bottom w:w="80" w:type="dxa"/>
              <w:right w:w="80" w:type="dxa"/>
            </w:tcMar>
          </w:tcPr>
          <w:p w14:paraId="4ACB3FAE" w14:textId="77777777" w:rsidR="00E606BF" w:rsidRDefault="00DE6AA0">
            <w:r>
              <w:rPr>
                <w:b/>
                <w:bCs/>
                <w:color w:val="FFFFFF"/>
                <w:sz w:val="19"/>
                <w:szCs w:val="19"/>
              </w:rPr>
              <w:t>Benefit</w:t>
            </w:r>
          </w:p>
        </w:tc>
        <w:tc>
          <w:tcPr>
            <w:tcW w:w="3120" w:type="dxa"/>
            <w:tcBorders>
              <w:top w:val="single" w:sz="2" w:space="0" w:color="0078D4"/>
              <w:left w:val="single" w:sz="2" w:space="0" w:color="0078D4"/>
              <w:bottom w:val="single" w:sz="2" w:space="0" w:color="0078D4"/>
              <w:right w:val="single" w:sz="2" w:space="0" w:color="0078D4"/>
            </w:tcBorders>
            <w:shd w:val="clear" w:color="auto" w:fill="003F7F"/>
            <w:tcMar>
              <w:top w:w="80" w:type="dxa"/>
              <w:left w:w="120" w:type="dxa"/>
              <w:bottom w:w="80" w:type="dxa"/>
              <w:right w:w="80" w:type="dxa"/>
            </w:tcMar>
          </w:tcPr>
          <w:p w14:paraId="47C5F9D3" w14:textId="77777777" w:rsidR="00E606BF" w:rsidRDefault="00DE6AA0">
            <w:r>
              <w:rPr>
                <w:b/>
                <w:bCs/>
                <w:color w:val="FFFFFF"/>
                <w:sz w:val="19"/>
                <w:szCs w:val="19"/>
              </w:rPr>
              <w:t>Eligibility</w:t>
            </w:r>
          </w:p>
        </w:tc>
        <w:tc>
          <w:tcPr>
            <w:tcW w:w="3120" w:type="dxa"/>
            <w:tcBorders>
              <w:top w:val="single" w:sz="2" w:space="0" w:color="0078D4"/>
              <w:left w:val="single" w:sz="2" w:space="0" w:color="0078D4"/>
              <w:bottom w:val="single" w:sz="2" w:space="0" w:color="0078D4"/>
              <w:right w:val="single" w:sz="2" w:space="0" w:color="0078D4"/>
            </w:tcBorders>
            <w:shd w:val="clear" w:color="auto" w:fill="003F7F"/>
            <w:tcMar>
              <w:top w:w="80" w:type="dxa"/>
              <w:left w:w="120" w:type="dxa"/>
              <w:bottom w:w="80" w:type="dxa"/>
              <w:right w:w="80" w:type="dxa"/>
            </w:tcMar>
          </w:tcPr>
          <w:p w14:paraId="12AD0889" w14:textId="77777777" w:rsidR="00E606BF" w:rsidRDefault="00DE6AA0">
            <w:r>
              <w:rPr>
                <w:b/>
                <w:bCs/>
                <w:color w:val="FFFFFF"/>
                <w:sz w:val="19"/>
                <w:szCs w:val="19"/>
              </w:rPr>
              <w:t>Key Details</w:t>
            </w:r>
          </w:p>
        </w:tc>
      </w:tr>
      <w:tr w:rsidR="00E606BF" w14:paraId="7D9BE1D4" w14:textId="77777777" w:rsidTr="413681E3">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4EC55BCE" w14:textId="77777777" w:rsidR="00E606BF" w:rsidRDefault="00DE6AA0">
            <w:r>
              <w:rPr>
                <w:sz w:val="19"/>
                <w:szCs w:val="19"/>
              </w:rPr>
              <w:t>Private Medical Insurance</w:t>
            </w:r>
          </w:p>
        </w:tc>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4E52B93A" w14:textId="77777777" w:rsidR="00E606BF" w:rsidRDefault="00DE6AA0">
            <w:r>
              <w:rPr>
                <w:sz w:val="19"/>
                <w:szCs w:val="19"/>
              </w:rPr>
              <w:t>All permanent employees</w:t>
            </w:r>
          </w:p>
        </w:tc>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591AF26C" w14:textId="77777777" w:rsidR="00E606BF" w:rsidRDefault="00DE6AA0">
            <w:r>
              <w:rPr>
                <w:sz w:val="19"/>
                <w:szCs w:val="19"/>
              </w:rPr>
              <w:t>Individual cover from day 1; family cover available at subsidised rate after 1 year</w:t>
            </w:r>
          </w:p>
        </w:tc>
      </w:tr>
      <w:tr w:rsidR="00E606BF" w14:paraId="37748900" w14:textId="77777777" w:rsidTr="413681E3">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4CAD40B0" w14:textId="77777777" w:rsidR="00E606BF" w:rsidRDefault="00DE6AA0">
            <w:r>
              <w:rPr>
                <w:sz w:val="19"/>
                <w:szCs w:val="19"/>
              </w:rPr>
              <w:t>Group Life Assurance</w:t>
            </w:r>
          </w:p>
        </w:tc>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11E3BD6F" w14:textId="77777777" w:rsidR="00E606BF" w:rsidRDefault="00DE6AA0">
            <w:r>
              <w:rPr>
                <w:sz w:val="19"/>
                <w:szCs w:val="19"/>
              </w:rPr>
              <w:t>All permanent employees</w:t>
            </w:r>
          </w:p>
        </w:tc>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3D68BBCE" w14:textId="77777777" w:rsidR="00E606BF" w:rsidRDefault="00DE6AA0">
            <w:r w:rsidRPr="413681E3">
              <w:rPr>
                <w:sz w:val="19"/>
                <w:szCs w:val="19"/>
              </w:rPr>
              <w:t>4x basic annual salary; nominated beneficiary form required</w:t>
            </w:r>
          </w:p>
        </w:tc>
      </w:tr>
      <w:tr w:rsidR="00E606BF" w14:paraId="5D38677E" w14:textId="77777777" w:rsidTr="413681E3">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7151C465" w14:textId="77777777" w:rsidR="00E606BF" w:rsidRDefault="00DE6AA0">
            <w:r>
              <w:rPr>
                <w:sz w:val="19"/>
                <w:szCs w:val="19"/>
              </w:rPr>
              <w:t>Company Pension</w:t>
            </w:r>
          </w:p>
        </w:tc>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634FB57A" w14:textId="77777777" w:rsidR="00E606BF" w:rsidRDefault="00DE6AA0">
            <w:r>
              <w:rPr>
                <w:sz w:val="19"/>
                <w:szCs w:val="19"/>
              </w:rPr>
              <w:t>All employees (auto-enrolled)</w:t>
            </w:r>
          </w:p>
        </w:tc>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77F6F8CD" w14:textId="77777777" w:rsidR="00E606BF" w:rsidRDefault="00DE6AA0">
            <w:r>
              <w:rPr>
                <w:sz w:val="19"/>
                <w:szCs w:val="19"/>
              </w:rPr>
              <w:t>3% employee contribution; 5% company contribution; salary sacrifice available</w:t>
            </w:r>
          </w:p>
        </w:tc>
      </w:tr>
      <w:tr w:rsidR="00E606BF" w14:paraId="6CB28E2F" w14:textId="77777777" w:rsidTr="413681E3">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281BD5B2" w14:textId="77777777" w:rsidR="00E606BF" w:rsidRDefault="00DE6AA0">
            <w:r>
              <w:rPr>
                <w:sz w:val="19"/>
                <w:szCs w:val="19"/>
              </w:rPr>
              <w:t>Income Protection</w:t>
            </w:r>
          </w:p>
        </w:tc>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795EC5FF" w14:textId="77777777" w:rsidR="00E606BF" w:rsidRDefault="00DE6AA0">
            <w:r>
              <w:rPr>
                <w:sz w:val="19"/>
                <w:szCs w:val="19"/>
              </w:rPr>
              <w:t>Permanent employees with 1+ year service</w:t>
            </w:r>
          </w:p>
        </w:tc>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1F784873" w14:textId="77777777" w:rsidR="00E606BF" w:rsidRDefault="00DE6AA0">
            <w:r>
              <w:rPr>
                <w:sz w:val="19"/>
                <w:szCs w:val="19"/>
              </w:rPr>
              <w:t>75% of basic salary after 13 weeks of continuous absence; benefit period to age 65</w:t>
            </w:r>
          </w:p>
        </w:tc>
      </w:tr>
      <w:tr w:rsidR="00E606BF" w14:paraId="6E5048CC" w14:textId="77777777" w:rsidTr="413681E3">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653E1666" w14:textId="77777777" w:rsidR="00E606BF" w:rsidRDefault="00DE6AA0">
            <w:r>
              <w:rPr>
                <w:sz w:val="19"/>
                <w:szCs w:val="19"/>
              </w:rPr>
              <w:t>Cycle to Work Scheme</w:t>
            </w:r>
          </w:p>
        </w:tc>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7E225D07" w14:textId="77777777" w:rsidR="00E606BF" w:rsidRDefault="00DE6AA0">
            <w:r>
              <w:rPr>
                <w:sz w:val="19"/>
                <w:szCs w:val="19"/>
              </w:rPr>
              <w:t>All employees</w:t>
            </w:r>
          </w:p>
        </w:tc>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0CD6D160" w14:textId="77777777" w:rsidR="00E606BF" w:rsidRDefault="00DE6AA0">
            <w:r>
              <w:rPr>
                <w:sz w:val="19"/>
                <w:szCs w:val="19"/>
              </w:rPr>
              <w:t>Up to £3,000; repaid via salary sacrifice over 12 months</w:t>
            </w:r>
          </w:p>
        </w:tc>
      </w:tr>
      <w:tr w:rsidR="00E606BF" w14:paraId="62BFA920" w14:textId="77777777" w:rsidTr="413681E3">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6A4CEE19" w14:textId="77777777" w:rsidR="00E606BF" w:rsidRDefault="00DE6AA0">
            <w:r>
              <w:rPr>
                <w:sz w:val="19"/>
                <w:szCs w:val="19"/>
              </w:rPr>
              <w:t>Employee Assistance Programme</w:t>
            </w:r>
          </w:p>
        </w:tc>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7EDF4D93" w14:textId="77777777" w:rsidR="00E606BF" w:rsidRDefault="00DE6AA0">
            <w:r>
              <w:rPr>
                <w:sz w:val="19"/>
                <w:szCs w:val="19"/>
              </w:rPr>
              <w:t>All employees + immediate family</w:t>
            </w:r>
          </w:p>
        </w:tc>
        <w:tc>
          <w:tcPr>
            <w:tcW w:w="3120" w:type="dxa"/>
            <w:tcBorders>
              <w:top w:val="single" w:sz="2" w:space="0" w:color="DDDDDD"/>
              <w:left w:val="single" w:sz="2" w:space="0" w:color="DDDDDD"/>
              <w:bottom w:val="single" w:sz="2" w:space="0" w:color="DDDDDD"/>
              <w:right w:val="single" w:sz="2" w:space="0" w:color="DDDDDD"/>
            </w:tcBorders>
            <w:shd w:val="clear" w:color="auto" w:fill="F5F9FF"/>
            <w:tcMar>
              <w:top w:w="70" w:type="dxa"/>
              <w:left w:w="120" w:type="dxa"/>
              <w:bottom w:w="70" w:type="dxa"/>
              <w:right w:w="80" w:type="dxa"/>
            </w:tcMar>
          </w:tcPr>
          <w:p w14:paraId="72593A52" w14:textId="77777777" w:rsidR="00E606BF" w:rsidRDefault="00DE6AA0">
            <w:r>
              <w:rPr>
                <w:sz w:val="19"/>
                <w:szCs w:val="19"/>
              </w:rPr>
              <w:t>Free 24/7 counselling, legal, and financial advice; call 0800 000 1234 or visit eap.northbridgegroup.ie</w:t>
            </w:r>
          </w:p>
        </w:tc>
      </w:tr>
      <w:tr w:rsidR="00E606BF" w14:paraId="74349F2C" w14:textId="77777777" w:rsidTr="413681E3">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13814979" w14:textId="77777777" w:rsidR="00E606BF" w:rsidRDefault="00DE6AA0">
            <w:r>
              <w:rPr>
                <w:sz w:val="19"/>
                <w:szCs w:val="19"/>
              </w:rPr>
              <w:t>Annual Flu Vaccination</w:t>
            </w:r>
          </w:p>
        </w:tc>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32E4999F" w14:textId="77777777" w:rsidR="00E606BF" w:rsidRDefault="00DE6AA0">
            <w:r>
              <w:rPr>
                <w:sz w:val="19"/>
                <w:szCs w:val="19"/>
              </w:rPr>
              <w:t>All employees</w:t>
            </w:r>
          </w:p>
        </w:tc>
        <w:tc>
          <w:tcPr>
            <w:tcW w:w="3120" w:type="dxa"/>
            <w:tcBorders>
              <w:top w:val="single" w:sz="2" w:space="0" w:color="DDDDDD"/>
              <w:left w:val="single" w:sz="2" w:space="0" w:color="DDDDDD"/>
              <w:bottom w:val="single" w:sz="2" w:space="0" w:color="DDDDDD"/>
              <w:right w:val="single" w:sz="2" w:space="0" w:color="DDDDDD"/>
            </w:tcBorders>
            <w:shd w:val="clear" w:color="auto" w:fill="FFFFFF" w:themeFill="background1"/>
            <w:tcMar>
              <w:top w:w="70" w:type="dxa"/>
              <w:left w:w="120" w:type="dxa"/>
              <w:bottom w:w="70" w:type="dxa"/>
              <w:right w:w="80" w:type="dxa"/>
            </w:tcMar>
          </w:tcPr>
          <w:p w14:paraId="73AABDCD" w14:textId="77777777" w:rsidR="00E606BF" w:rsidRDefault="00DE6AA0">
            <w:r>
              <w:rPr>
                <w:sz w:val="19"/>
                <w:szCs w:val="19"/>
              </w:rPr>
              <w:t>Provided free of charge each autumn via company-arranged clinics</w:t>
            </w:r>
          </w:p>
        </w:tc>
      </w:tr>
    </w:tbl>
    <w:p w14:paraId="3CF2D8B6" w14:textId="77777777" w:rsidR="00E606BF" w:rsidRDefault="00E606BF">
      <w:pPr>
        <w:spacing w:before="120"/>
      </w:pPr>
    </w:p>
    <w:p w14:paraId="54F3D435" w14:textId="77777777" w:rsidR="00E606BF" w:rsidRDefault="00DE6AA0">
      <w:pPr>
        <w:spacing w:before="60" w:after="120"/>
      </w:pPr>
      <w:r>
        <w:t>Benefit eligibility and levels may vary for part-time, fixed-term, or seconded employees. Employees on unpaid leave (other than statutory leave) may have benefits suspended during the period of unpaid absence. Please refer to the individual benefit policy on the HR portal or speak to your HR Business Partner for clarification.</w:t>
      </w:r>
    </w:p>
    <w:p w14:paraId="0FB78278" w14:textId="77777777" w:rsidR="00E606BF" w:rsidRDefault="00E606B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E606BF" w14:paraId="75424A9F" w14:textId="77777777">
        <w:trPr>
          <w:cantSplit/>
        </w:trPr>
        <w:tc>
          <w:tcPr>
            <w:tcW w:w="900" w:type="dxa"/>
            <w:tcBorders>
              <w:top w:val="none" w:sz="0" w:space="0" w:color="FFFFFF"/>
              <w:left w:val="none" w:sz="0" w:space="0" w:color="FFFFFF"/>
              <w:bottom w:val="none" w:sz="0" w:space="0" w:color="FFFFFF"/>
              <w:right w:val="none" w:sz="0" w:space="0" w:color="FFFFFF"/>
            </w:tcBorders>
            <w:shd w:val="clear" w:color="auto" w:fill="0078D4"/>
            <w:tcMar>
              <w:top w:w="160" w:type="dxa"/>
              <w:left w:w="200" w:type="dxa"/>
              <w:bottom w:w="160" w:type="dxa"/>
              <w:right w:w="120" w:type="dxa"/>
            </w:tcMar>
            <w:vAlign w:val="center"/>
          </w:tcPr>
          <w:p w14:paraId="75697EEC" w14:textId="77777777" w:rsidR="00E606BF" w:rsidRDefault="00DE6AA0">
            <w:pPr>
              <w:jc w:val="center"/>
            </w:pPr>
            <w:r>
              <w:rPr>
                <w:b/>
                <w:bCs/>
                <w:color w:val="FFFFFF"/>
                <w:sz w:val="32"/>
                <w:szCs w:val="32"/>
              </w:rPr>
              <w:t>7</w:t>
            </w:r>
          </w:p>
        </w:tc>
        <w:tc>
          <w:tcPr>
            <w:tcW w:w="8460" w:type="dxa"/>
            <w:tcBorders>
              <w:top w:val="none" w:sz="0" w:space="0" w:color="FFFFFF"/>
              <w:left w:val="none" w:sz="0" w:space="0" w:color="FFFFFF"/>
              <w:bottom w:val="none" w:sz="0" w:space="0" w:color="FFFFFF"/>
              <w:right w:val="none" w:sz="0" w:space="0" w:color="FFFFFF"/>
            </w:tcBorders>
            <w:shd w:val="clear" w:color="auto" w:fill="003F7F"/>
            <w:tcMar>
              <w:top w:w="160" w:type="dxa"/>
              <w:left w:w="240" w:type="dxa"/>
              <w:bottom w:w="160" w:type="dxa"/>
              <w:right w:w="200" w:type="dxa"/>
            </w:tcMar>
            <w:vAlign w:val="center"/>
          </w:tcPr>
          <w:p w14:paraId="3A2DF8E0" w14:textId="77777777" w:rsidR="00E606BF" w:rsidRDefault="00DE6AA0">
            <w:r>
              <w:rPr>
                <w:b/>
                <w:bCs/>
                <w:color w:val="FFFFFF"/>
                <w:sz w:val="28"/>
                <w:szCs w:val="28"/>
              </w:rPr>
              <w:t>Health, Wellbeing &amp; Employee Support</w:t>
            </w:r>
          </w:p>
        </w:tc>
      </w:tr>
    </w:tbl>
    <w:p w14:paraId="1FC39945" w14:textId="77777777" w:rsidR="00E606BF" w:rsidRDefault="00E606BF">
      <w:pPr>
        <w:spacing w:before="140"/>
      </w:pPr>
    </w:p>
    <w:p w14:paraId="53F55245" w14:textId="77777777" w:rsidR="00E606BF" w:rsidRDefault="00DE6AA0">
      <w:pPr>
        <w:spacing w:before="220" w:after="80"/>
      </w:pPr>
      <w:r>
        <w:rPr>
          <w:b/>
          <w:bCs/>
          <w:color w:val="0078D4"/>
          <w:sz w:val="22"/>
          <w:szCs w:val="22"/>
        </w:rPr>
        <w:t xml:space="preserve">7.1  </w:t>
      </w:r>
      <w:r>
        <w:rPr>
          <w:b/>
          <w:bCs/>
          <w:color w:val="003F7F"/>
          <w:sz w:val="22"/>
          <w:szCs w:val="22"/>
        </w:rPr>
        <w:t>Mental Health &amp; Wellbeing</w:t>
      </w:r>
    </w:p>
    <w:p w14:paraId="1958734E" w14:textId="77777777" w:rsidR="00E606BF" w:rsidRDefault="00DE6AA0">
      <w:pPr>
        <w:spacing w:before="60" w:after="120"/>
      </w:pPr>
      <w:r>
        <w:t>Northbridge Group is committed to supporting the mental health and wellbeing of all employees. The company recognises that mental health conditions are as serious as physical health conditions and expects all managers and employees to treat mental health concerns with the same sensitivity and confidentiality afforded to physical illness.</w:t>
      </w:r>
    </w:p>
    <w:p w14:paraId="1841C145" w14:textId="77777777" w:rsidR="00E606BF" w:rsidRDefault="00DE6AA0">
      <w:pPr>
        <w:spacing w:before="60" w:after="120"/>
      </w:pPr>
      <w:r>
        <w:t>Employees who are experiencing mental health difficulties are encouraged to speak to their line manager, their HR Business Partner, or to access the Employee Assistance Programme directly and confidentially (details in clause 6.2). The company has a network of trained Mental Health First Aiders who can offer initial signposting and support. A full list of Mental Health First Aiders is available on the intranet.</w:t>
      </w:r>
    </w:p>
    <w:p w14:paraId="79C2FA23" w14:textId="77777777" w:rsidR="00E606BF" w:rsidRDefault="00DE6AA0">
      <w:pPr>
        <w:spacing w:before="220" w:after="80"/>
      </w:pPr>
      <w:r>
        <w:rPr>
          <w:b/>
          <w:bCs/>
          <w:color w:val="0078D4"/>
          <w:sz w:val="22"/>
          <w:szCs w:val="22"/>
        </w:rPr>
        <w:t xml:space="preserve">7.2  </w:t>
      </w:r>
      <w:r>
        <w:rPr>
          <w:b/>
          <w:bCs/>
          <w:color w:val="003F7F"/>
          <w:sz w:val="22"/>
          <w:szCs w:val="22"/>
        </w:rPr>
        <w:t>Reasonable Adjustments</w:t>
      </w:r>
    </w:p>
    <w:p w14:paraId="4ED286E3" w14:textId="77777777" w:rsidR="00E606BF" w:rsidRDefault="00DE6AA0">
      <w:pPr>
        <w:spacing w:before="60" w:after="120"/>
      </w:pPr>
      <w:r>
        <w:t>Under the Equality Act 2010 and equivalent legislation in Ireland, the company has a legal duty to make reasonable adjustments for employees with a disability or long-term health condition. A disability is defined broadly and includes physical, sensory, cognitive, and mental health conditions that have a substantial and long-term adverse effect on an employee's ability to carry out normal day-to-day activities.</w:t>
      </w:r>
    </w:p>
    <w:p w14:paraId="6DBD8149" w14:textId="77777777" w:rsidR="00E606BF" w:rsidRDefault="00DE6AA0">
      <w:pPr>
        <w:spacing w:before="60" w:after="120"/>
      </w:pPr>
      <w:r>
        <w:t>If an employee believes they may require a reasonable adjustment, they should contact their HR Business Partner in the first instance. The company will carry out an assessment, which may include a referral to occupational health, before agreeing and implementing adjustments. Adjustments will be reviewed at least annually or whenever the employee's circumstances change.</w:t>
      </w:r>
    </w:p>
    <w:p w14:paraId="3FDE1027" w14:textId="77777777" w:rsidR="00E606BF" w:rsidRDefault="00DE6AA0">
      <w:pPr>
        <w:spacing w:before="60" w:after="120"/>
      </w:pPr>
      <w:r>
        <w:t>Employees are not required to disclose a disability or health condition to their manager. Disclosure is voluntary and will be treated with strict confidentiality. HR records of disability are kept separately from general employment records.</w:t>
      </w:r>
    </w:p>
    <w:p w14:paraId="0562CB0E" w14:textId="77777777" w:rsidR="00E606BF" w:rsidRDefault="00E606BF">
      <w:pPr>
        <w:spacing w:before="20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606BF" w14:paraId="6854625F" w14:textId="77777777">
        <w:tc>
          <w:tcPr>
            <w:tcW w:w="9360" w:type="dxa"/>
            <w:tcBorders>
              <w:top w:val="single" w:sz="2" w:space="0" w:color="0078D4"/>
              <w:left w:val="single" w:sz="2" w:space="0" w:color="0078D4"/>
              <w:bottom w:val="single" w:sz="2" w:space="0" w:color="0078D4"/>
              <w:right w:val="single" w:sz="2" w:space="0" w:color="0078D4"/>
            </w:tcBorders>
            <w:shd w:val="clear" w:color="auto" w:fill="F0F7FF"/>
            <w:tcMar>
              <w:top w:w="160" w:type="dxa"/>
              <w:left w:w="240" w:type="dxa"/>
              <w:bottom w:w="160" w:type="dxa"/>
              <w:right w:w="200" w:type="dxa"/>
            </w:tcMar>
          </w:tcPr>
          <w:p w14:paraId="206C43ED" w14:textId="77777777" w:rsidR="00E606BF" w:rsidRDefault="00DE6AA0">
            <w:pPr>
              <w:spacing w:after="80"/>
            </w:pPr>
            <w:r>
              <w:rPr>
                <w:b/>
                <w:bCs/>
                <w:color w:val="003F7F"/>
              </w:rPr>
              <w:t>Document Control</w:t>
            </w:r>
          </w:p>
          <w:p w14:paraId="6EEF00BE" w14:textId="77777777" w:rsidR="00E606BF" w:rsidRDefault="00DE6AA0">
            <w:pPr>
              <w:spacing w:after="40"/>
            </w:pPr>
            <w:r>
              <w:rPr>
                <w:color w:val="555555"/>
                <w:sz w:val="18"/>
                <w:szCs w:val="18"/>
              </w:rPr>
              <w:t>Owner: People &amp; Culture Team  |  Version: 3.2  |  Last reviewed: October 2024  |  Next review: October 2025</w:t>
            </w:r>
          </w:p>
          <w:p w14:paraId="53745987" w14:textId="77777777" w:rsidR="00E606BF" w:rsidRDefault="00DE6AA0">
            <w:r>
              <w:rPr>
                <w:color w:val="555555"/>
                <w:sz w:val="18"/>
                <w:szCs w:val="18"/>
              </w:rPr>
              <w:t>Queries: hr@northbridgegroup.ie  |  Intranet: People &amp; Culture &gt; Policies</w:t>
            </w:r>
          </w:p>
        </w:tc>
      </w:tr>
    </w:tbl>
    <w:p w14:paraId="35CB2021" w14:textId="77777777" w:rsidR="00DE6AA0" w:rsidRDefault="00DE6AA0"/>
    <w:sectPr w:rsidR="00DE6AA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77E54" w14:textId="77777777" w:rsidR="00D82D4A" w:rsidRDefault="00D82D4A">
      <w:r>
        <w:separator/>
      </w:r>
    </w:p>
  </w:endnote>
  <w:endnote w:type="continuationSeparator" w:id="0">
    <w:p w14:paraId="7A254BB0" w14:textId="77777777" w:rsidR="00D82D4A" w:rsidRDefault="00D82D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2C1E" w14:textId="77777777" w:rsidR="00E606BF" w:rsidRDefault="5375BA86" w:rsidP="5375BA86">
    <w:pPr>
      <w:pBdr>
        <w:top w:val="single" w:sz="4" w:space="6" w:color="0078D4"/>
      </w:pBdr>
      <w:jc w:val="center"/>
      <w:rPr>
        <w:lang w:val="en-US"/>
      </w:rPr>
    </w:pPr>
    <w:r w:rsidRPr="5375BA86">
      <w:rPr>
        <w:color w:val="555555"/>
        <w:sz w:val="17"/>
        <w:szCs w:val="17"/>
        <w:lang w:val="en-US"/>
      </w:rPr>
      <w:t xml:space="preserve">Northbridge Group Employee Handbook  |  Version 3.2  |  Effective 1 January 2025  |  Page </w:t>
    </w:r>
    <w:r w:rsidR="00DE6AA0" w:rsidRPr="5375BA86">
      <w:rPr>
        <w:color w:val="555555"/>
        <w:sz w:val="17"/>
        <w:szCs w:val="17"/>
        <w:lang w:val="en-US"/>
      </w:rPr>
      <w:fldChar w:fldCharType="begin"/>
    </w:r>
    <w:r w:rsidR="00DE6AA0" w:rsidRPr="5375BA86">
      <w:rPr>
        <w:color w:val="555555"/>
        <w:sz w:val="17"/>
        <w:szCs w:val="17"/>
      </w:rPr>
      <w:instrText>PAGE</w:instrText>
    </w:r>
    <w:r w:rsidR="00DE6AA0" w:rsidRPr="5375BA86">
      <w:rPr>
        <w:color w:val="555555"/>
        <w:sz w:val="17"/>
        <w:szCs w:val="17"/>
      </w:rPr>
      <w:fldChar w:fldCharType="separate"/>
    </w:r>
    <w:r w:rsidR="00DE6AA0" w:rsidRPr="5375BA86">
      <w:rPr>
        <w:color w:val="555555"/>
        <w:sz w:val="17"/>
        <w:szCs w:val="17"/>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EE0AA" w14:textId="77777777" w:rsidR="00D82D4A" w:rsidRDefault="00D82D4A">
      <w:r>
        <w:separator/>
      </w:r>
    </w:p>
  </w:footnote>
  <w:footnote w:type="continuationSeparator" w:id="0">
    <w:p w14:paraId="6FF21F57" w14:textId="77777777" w:rsidR="00D82D4A" w:rsidRDefault="00D82D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7E3D" w14:textId="77777777" w:rsidR="00E606BF" w:rsidRDefault="5375BA86" w:rsidP="5375BA86">
    <w:pPr>
      <w:pBdr>
        <w:bottom w:val="single" w:sz="4" w:space="6" w:color="0078D4"/>
      </w:pBdr>
    </w:pPr>
    <w:r w:rsidRPr="5375BA86">
      <w:rPr>
        <w:color w:val="555555"/>
        <w:sz w:val="18"/>
        <w:szCs w:val="18"/>
        <w:lang w:val="en-US"/>
      </w:rPr>
      <w:t>Northbridge Group  |  Employee Handbook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E773A"/>
    <w:multiLevelType w:val="hybridMultilevel"/>
    <w:tmpl w:val="FFFFFFFF"/>
    <w:lvl w:ilvl="0" w:tplc="74FC42E4">
      <w:start w:val="1"/>
      <w:numFmt w:val="bullet"/>
      <w:lvlText w:val="•"/>
      <w:lvlJc w:val="left"/>
      <w:pPr>
        <w:ind w:left="600" w:hanging="360"/>
      </w:pPr>
    </w:lvl>
    <w:lvl w:ilvl="1" w:tplc="74B84A00">
      <w:numFmt w:val="decimal"/>
      <w:lvlText w:val=""/>
      <w:lvlJc w:val="left"/>
    </w:lvl>
    <w:lvl w:ilvl="2" w:tplc="48BCD266">
      <w:numFmt w:val="decimal"/>
      <w:lvlText w:val=""/>
      <w:lvlJc w:val="left"/>
    </w:lvl>
    <w:lvl w:ilvl="3" w:tplc="1980A276">
      <w:numFmt w:val="decimal"/>
      <w:lvlText w:val=""/>
      <w:lvlJc w:val="left"/>
    </w:lvl>
    <w:lvl w:ilvl="4" w:tplc="F35831B8">
      <w:numFmt w:val="decimal"/>
      <w:lvlText w:val=""/>
      <w:lvlJc w:val="left"/>
    </w:lvl>
    <w:lvl w:ilvl="5" w:tplc="B706F2EA">
      <w:numFmt w:val="decimal"/>
      <w:lvlText w:val=""/>
      <w:lvlJc w:val="left"/>
    </w:lvl>
    <w:lvl w:ilvl="6" w:tplc="8C30B5D4">
      <w:numFmt w:val="decimal"/>
      <w:lvlText w:val=""/>
      <w:lvlJc w:val="left"/>
    </w:lvl>
    <w:lvl w:ilvl="7" w:tplc="39D4F8F2">
      <w:numFmt w:val="decimal"/>
      <w:lvlText w:val=""/>
      <w:lvlJc w:val="left"/>
    </w:lvl>
    <w:lvl w:ilvl="8" w:tplc="FA423BD2">
      <w:numFmt w:val="decimal"/>
      <w:lvlText w:val=""/>
      <w:lvlJc w:val="left"/>
    </w:lvl>
  </w:abstractNum>
  <w:abstractNum w:abstractNumId="1" w15:restartNumberingAfterBreak="0">
    <w:nsid w:val="55FB2D56"/>
    <w:multiLevelType w:val="hybridMultilevel"/>
    <w:tmpl w:val="FFFFFFFF"/>
    <w:lvl w:ilvl="0" w:tplc="4A1EF0BA">
      <w:start w:val="1"/>
      <w:numFmt w:val="bullet"/>
      <w:lvlText w:val="●"/>
      <w:lvlJc w:val="left"/>
      <w:pPr>
        <w:ind w:left="720" w:hanging="360"/>
      </w:pPr>
    </w:lvl>
    <w:lvl w:ilvl="1" w:tplc="914A61FA">
      <w:start w:val="1"/>
      <w:numFmt w:val="bullet"/>
      <w:lvlText w:val="○"/>
      <w:lvlJc w:val="left"/>
      <w:pPr>
        <w:ind w:left="1440" w:hanging="360"/>
      </w:pPr>
    </w:lvl>
    <w:lvl w:ilvl="2" w:tplc="0F8AA73E">
      <w:start w:val="1"/>
      <w:numFmt w:val="bullet"/>
      <w:lvlText w:val="■"/>
      <w:lvlJc w:val="left"/>
      <w:pPr>
        <w:ind w:left="2160" w:hanging="360"/>
      </w:pPr>
    </w:lvl>
    <w:lvl w:ilvl="3" w:tplc="66BCC5F0">
      <w:start w:val="1"/>
      <w:numFmt w:val="bullet"/>
      <w:lvlText w:val="●"/>
      <w:lvlJc w:val="left"/>
      <w:pPr>
        <w:ind w:left="2880" w:hanging="360"/>
      </w:pPr>
    </w:lvl>
    <w:lvl w:ilvl="4" w:tplc="190C22DA">
      <w:start w:val="1"/>
      <w:numFmt w:val="bullet"/>
      <w:lvlText w:val="○"/>
      <w:lvlJc w:val="left"/>
      <w:pPr>
        <w:ind w:left="3600" w:hanging="360"/>
      </w:pPr>
    </w:lvl>
    <w:lvl w:ilvl="5" w:tplc="68DC5C90">
      <w:start w:val="1"/>
      <w:numFmt w:val="bullet"/>
      <w:lvlText w:val="■"/>
      <w:lvlJc w:val="left"/>
      <w:pPr>
        <w:ind w:left="4320" w:hanging="360"/>
      </w:pPr>
    </w:lvl>
    <w:lvl w:ilvl="6" w:tplc="90AA4472">
      <w:start w:val="1"/>
      <w:numFmt w:val="bullet"/>
      <w:lvlText w:val="●"/>
      <w:lvlJc w:val="left"/>
      <w:pPr>
        <w:ind w:left="5040" w:hanging="360"/>
      </w:pPr>
    </w:lvl>
    <w:lvl w:ilvl="7" w:tplc="4C0028BE">
      <w:start w:val="1"/>
      <w:numFmt w:val="bullet"/>
      <w:lvlText w:val="●"/>
      <w:lvlJc w:val="left"/>
      <w:pPr>
        <w:ind w:left="5760" w:hanging="360"/>
      </w:pPr>
    </w:lvl>
    <w:lvl w:ilvl="8" w:tplc="60E81E44">
      <w:start w:val="1"/>
      <w:numFmt w:val="bullet"/>
      <w:lvlText w:val="●"/>
      <w:lvlJc w:val="left"/>
      <w:pPr>
        <w:ind w:left="6480" w:hanging="360"/>
      </w:pPr>
    </w:lvl>
  </w:abstractNum>
  <w:num w:numId="1" w16cid:durableId="15257055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75BA86"/>
    <w:rsid w:val="003A04E7"/>
    <w:rsid w:val="008E4443"/>
    <w:rsid w:val="00D82D4A"/>
    <w:rsid w:val="00DE6AA0"/>
    <w:rsid w:val="00E606BF"/>
    <w:rsid w:val="413681E3"/>
    <w:rsid w:val="5375BA8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B959AF5"/>
  <w15:docId w15:val="{CE1A27A8-6652-419A-AD04-28AC9E68B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3624</Words>
  <Characters>20661</Characters>
  <Application>Microsoft Office Word</Application>
  <DocSecurity>0</DocSecurity>
  <Lines>172</Lines>
  <Paragraphs>48</Paragraphs>
  <ScaleCrop>false</ScaleCrop>
  <Company/>
  <LinksUpToDate>false</LinksUpToDate>
  <CharactersWithSpaces>24237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O'Shea</cp:lastModifiedBy>
  <cp:revision>3</cp:revision>
  <dcterms:created xsi:type="dcterms:W3CDTF">2026-06-09T17:11:00Z</dcterms:created>
  <dcterms:modified xsi:type="dcterms:W3CDTF">2026-06-09T17:11:00Z</dcterms:modified>
</cp:coreProperties>
</file>