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9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951"/>
        <w:gridCol w:w="6804"/>
        <w:gridCol w:w="973"/>
      </w:tblGrid>
      <w:tr w:rsidR="0003166E" w:rsidRPr="002D275B" w:rsidTr="00935CDA">
        <w:tc>
          <w:tcPr>
            <w:tcW w:w="8755" w:type="dxa"/>
            <w:gridSpan w:val="2"/>
          </w:tcPr>
          <w:p w:rsidR="0003166E" w:rsidRPr="002D275B" w:rsidRDefault="0003166E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LISTE DES TABLEAUX</w:t>
            </w:r>
          </w:p>
        </w:tc>
        <w:tc>
          <w:tcPr>
            <w:tcW w:w="973" w:type="dxa"/>
          </w:tcPr>
          <w:p w:rsidR="0003166E" w:rsidRPr="002D275B" w:rsidRDefault="0003166E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BA20E7" w:rsidRPr="002D275B" w:rsidTr="00935CDA">
        <w:tc>
          <w:tcPr>
            <w:tcW w:w="8755" w:type="dxa"/>
            <w:gridSpan w:val="2"/>
          </w:tcPr>
          <w:p w:rsidR="00BA20E7" w:rsidRPr="002D275B" w:rsidRDefault="00BA20E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:rsidR="00BA20E7" w:rsidRPr="002D275B" w:rsidRDefault="00BA20E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327" w:rsidRPr="002D275B" w:rsidTr="00935CDA">
        <w:tc>
          <w:tcPr>
            <w:tcW w:w="1951" w:type="dxa"/>
          </w:tcPr>
          <w:p w:rsidR="00716327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I :</w:t>
            </w:r>
          </w:p>
        </w:tc>
        <w:tc>
          <w:tcPr>
            <w:tcW w:w="6804" w:type="dxa"/>
          </w:tcPr>
          <w:p w:rsidR="00716327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Composition chimique (p.100 par rapport à la matière fraîche) indicative des feuilles d’olivier</w:t>
            </w:r>
          </w:p>
        </w:tc>
        <w:tc>
          <w:tcPr>
            <w:tcW w:w="973" w:type="dxa"/>
          </w:tcPr>
          <w:p w:rsidR="00716327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II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E">
              <w:rPr>
                <w:rFonts w:ascii="Times New Roman" w:hAnsi="Times New Roman" w:cs="Times New Roman"/>
                <w:sz w:val="24"/>
                <w:szCs w:val="24"/>
              </w:rPr>
              <w:t>Structures chimiques des composés phénoliques les plus abondants des feuilles d’olivier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III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Apports recommandés en énergie, protéines, acides aminés et minéraux pour le poussin en démarrage (0-2 semaines) (en p.100 du régime)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IV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Apports recommandés en énergie, protéines, acides aminés et minéraux pour le poulet en croissance (3</w:t>
            </w:r>
            <w:r w:rsidRPr="00BE1EC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ème</w:t>
            </w: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 xml:space="preserve"> semaine) (en p.100 du régime)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V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Apports recommandés en énergie, protéines, acides aminés et minéraux pour le poulet en finition (au-delà de 3</w:t>
            </w:r>
            <w:r w:rsidRPr="00BE1EC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ème</w:t>
            </w: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 xml:space="preserve"> semaine) (en p.100 du régime)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VI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Additions recommandées d'</w:t>
            </w:r>
            <w:proofErr w:type="spellStart"/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oligominéraux</w:t>
            </w:r>
            <w:proofErr w:type="spellEnd"/>
            <w:r w:rsidRPr="00BE1EC7">
              <w:rPr>
                <w:rFonts w:ascii="Times New Roman" w:hAnsi="Times New Roman" w:cs="Times New Roman"/>
                <w:sz w:val="24"/>
                <w:szCs w:val="24"/>
              </w:rPr>
              <w:t xml:space="preserve"> et vitamines pour la poule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VII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E">
              <w:rPr>
                <w:rFonts w:ascii="Times New Roman" w:hAnsi="Times New Roman" w:cs="Times New Roman"/>
                <w:sz w:val="24"/>
                <w:szCs w:val="24"/>
              </w:rPr>
              <w:t>Rapport typique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lysine/</w:t>
            </w:r>
            <w:r w:rsidRPr="00C0403E">
              <w:rPr>
                <w:rFonts w:ascii="Times New Roman" w:hAnsi="Times New Roman" w:cs="Times New Roman"/>
                <w:sz w:val="24"/>
                <w:szCs w:val="24"/>
              </w:rPr>
              <w:t>énergie utilisé dans la ration du poulet de chair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VIII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Recommandations nutritives en acides aminés et protéines pour la formulation de rations pour poulet de chair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IX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403E">
              <w:rPr>
                <w:rFonts w:ascii="Times New Roman" w:hAnsi="Times New Roman" w:cs="Times New Roman"/>
                <w:sz w:val="24"/>
                <w:szCs w:val="24"/>
              </w:rPr>
              <w:t>Effet de la finesse de broyage sur la croissance et la consommation du poulet entre 21 et 39 jours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Répartition des lots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Composition chimique des aliments composés concentrés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XII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Programme de vaccination effectué pour les différents lots de poulets de chair au cours de l’expérimentation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XIII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Sensibilité des bactéries en fonction des diamètres d'inhibition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XIV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5EF0">
              <w:rPr>
                <w:rFonts w:ascii="Times New Roman" w:hAnsi="Times New Roman" w:cs="Times New Roman"/>
                <w:sz w:val="24"/>
                <w:szCs w:val="24"/>
              </w:rPr>
              <w:t>Effet de l'extrait aqueux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55EF0">
              <w:rPr>
                <w:rFonts w:ascii="Times New Roman" w:hAnsi="Times New Roman" w:cs="Times New Roman"/>
                <w:sz w:val="24"/>
                <w:szCs w:val="24"/>
              </w:rPr>
              <w:t>à l'eau) et 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5EF0">
              <w:rPr>
                <w:rFonts w:ascii="Times New Roman" w:hAnsi="Times New Roman" w:cs="Times New Roman"/>
                <w:sz w:val="24"/>
                <w:szCs w:val="24"/>
              </w:rPr>
              <w:t>l'extrait à l'éthanol sur la microflore caecale (Moyenne ± écart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5EF0">
              <w:rPr>
                <w:rFonts w:ascii="Times New Roman" w:hAnsi="Times New Roman" w:cs="Times New Roman"/>
                <w:sz w:val="24"/>
                <w:szCs w:val="24"/>
              </w:rPr>
              <w:t>type)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57206D" w:rsidRPr="002D275B" w:rsidTr="00935CDA">
        <w:tc>
          <w:tcPr>
            <w:tcW w:w="1951" w:type="dxa"/>
          </w:tcPr>
          <w:p w:rsidR="0057206D" w:rsidRPr="002D275B" w:rsidRDefault="0057206D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XV :</w:t>
            </w:r>
          </w:p>
        </w:tc>
        <w:tc>
          <w:tcPr>
            <w:tcW w:w="6804" w:type="dxa"/>
          </w:tcPr>
          <w:p w:rsidR="0057206D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Quantités moyennes d’aliments consommées par sujet par semaine et par lot (en g)</w:t>
            </w:r>
          </w:p>
        </w:tc>
        <w:tc>
          <w:tcPr>
            <w:tcW w:w="973" w:type="dxa"/>
          </w:tcPr>
          <w:p w:rsidR="0057206D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543884" w:rsidRPr="002D275B" w:rsidTr="00935CDA">
        <w:tc>
          <w:tcPr>
            <w:tcW w:w="1951" w:type="dxa"/>
          </w:tcPr>
          <w:p w:rsidR="00543884" w:rsidRPr="002D275B" w:rsidRDefault="00543884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XVI :</w:t>
            </w:r>
          </w:p>
        </w:tc>
        <w:tc>
          <w:tcPr>
            <w:tcW w:w="6804" w:type="dxa"/>
          </w:tcPr>
          <w:p w:rsidR="00543884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Quantités d’eau consommées par sujet par semaine et par lot (en l)</w:t>
            </w:r>
          </w:p>
        </w:tc>
        <w:tc>
          <w:tcPr>
            <w:tcW w:w="973" w:type="dxa"/>
          </w:tcPr>
          <w:p w:rsidR="00543884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543884" w:rsidRPr="002D275B" w:rsidTr="00935CDA">
        <w:tc>
          <w:tcPr>
            <w:tcW w:w="1951" w:type="dxa"/>
          </w:tcPr>
          <w:p w:rsidR="00543884" w:rsidRPr="002D275B" w:rsidRDefault="00543884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XVII :</w:t>
            </w:r>
          </w:p>
        </w:tc>
        <w:tc>
          <w:tcPr>
            <w:tcW w:w="6804" w:type="dxa"/>
          </w:tcPr>
          <w:p w:rsidR="00543884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Poids individuel moyen par sujet à chaque semaine en (g)</w:t>
            </w:r>
          </w:p>
        </w:tc>
        <w:tc>
          <w:tcPr>
            <w:tcW w:w="973" w:type="dxa"/>
          </w:tcPr>
          <w:p w:rsidR="00543884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543884" w:rsidRPr="002D275B" w:rsidTr="00935CDA">
        <w:tc>
          <w:tcPr>
            <w:tcW w:w="1951" w:type="dxa"/>
          </w:tcPr>
          <w:p w:rsidR="00543884" w:rsidRPr="002D275B" w:rsidRDefault="00543884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 XVIII :</w:t>
            </w:r>
          </w:p>
        </w:tc>
        <w:tc>
          <w:tcPr>
            <w:tcW w:w="6804" w:type="dxa"/>
          </w:tcPr>
          <w:p w:rsidR="00543884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GMQ (g) des différents lots par semaine</w:t>
            </w:r>
          </w:p>
        </w:tc>
        <w:tc>
          <w:tcPr>
            <w:tcW w:w="973" w:type="dxa"/>
          </w:tcPr>
          <w:p w:rsidR="00543884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CF3E29" w:rsidRPr="002D275B" w:rsidTr="00935CDA">
        <w:tc>
          <w:tcPr>
            <w:tcW w:w="1951" w:type="dxa"/>
          </w:tcPr>
          <w:p w:rsidR="00CF3E29" w:rsidRPr="002D275B" w:rsidRDefault="00CF3E29" w:rsidP="00BE1EC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Tableau XIX :</w:t>
            </w:r>
          </w:p>
        </w:tc>
        <w:tc>
          <w:tcPr>
            <w:tcW w:w="6804" w:type="dxa"/>
          </w:tcPr>
          <w:p w:rsidR="00CF3E29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Indice de consommation par lot et par semaine</w:t>
            </w:r>
          </w:p>
        </w:tc>
        <w:tc>
          <w:tcPr>
            <w:tcW w:w="973" w:type="dxa"/>
          </w:tcPr>
          <w:p w:rsidR="00CF3E29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323FD3" w:rsidRPr="002D275B" w:rsidTr="00935CDA">
        <w:tc>
          <w:tcPr>
            <w:tcW w:w="1951" w:type="dxa"/>
          </w:tcPr>
          <w:p w:rsidR="00323FD3" w:rsidRPr="002D275B" w:rsidRDefault="00323FD3" w:rsidP="00BE1EC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Tableau XX :</w:t>
            </w:r>
          </w:p>
        </w:tc>
        <w:tc>
          <w:tcPr>
            <w:tcW w:w="6804" w:type="dxa"/>
          </w:tcPr>
          <w:p w:rsidR="00323FD3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Taux de mortalité par lot</w:t>
            </w:r>
          </w:p>
        </w:tc>
        <w:tc>
          <w:tcPr>
            <w:tcW w:w="973" w:type="dxa"/>
          </w:tcPr>
          <w:p w:rsidR="00323FD3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BE1EC7" w:rsidRPr="002D275B" w:rsidTr="00935CDA">
        <w:tc>
          <w:tcPr>
            <w:tcW w:w="1951" w:type="dxa"/>
          </w:tcPr>
          <w:p w:rsidR="00BE1EC7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Tableau XX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 :</w:t>
            </w:r>
          </w:p>
        </w:tc>
        <w:tc>
          <w:tcPr>
            <w:tcW w:w="6804" w:type="dxa"/>
          </w:tcPr>
          <w:p w:rsidR="00BE1EC7" w:rsidRPr="00BE1EC7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Nombre de sujets morts par lot et par semaine</w:t>
            </w:r>
          </w:p>
        </w:tc>
        <w:tc>
          <w:tcPr>
            <w:tcW w:w="973" w:type="dxa"/>
          </w:tcPr>
          <w:p w:rsidR="00BE1EC7" w:rsidRPr="002D275B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BE1EC7" w:rsidRPr="002D275B" w:rsidTr="00935CDA">
        <w:tc>
          <w:tcPr>
            <w:tcW w:w="1951" w:type="dxa"/>
          </w:tcPr>
          <w:p w:rsidR="00BE1EC7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Tableau XX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 :</w:t>
            </w:r>
          </w:p>
        </w:tc>
        <w:tc>
          <w:tcPr>
            <w:tcW w:w="6804" w:type="dxa"/>
          </w:tcPr>
          <w:p w:rsidR="00BE1EC7" w:rsidRPr="00BE1EC7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Poids des viscères et des abats en (g) et le rendement à l’abattage en (p.100)</w:t>
            </w:r>
          </w:p>
        </w:tc>
        <w:tc>
          <w:tcPr>
            <w:tcW w:w="973" w:type="dxa"/>
          </w:tcPr>
          <w:p w:rsidR="00BE1EC7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BE1EC7" w:rsidRPr="002D275B" w:rsidTr="00935CDA">
        <w:tc>
          <w:tcPr>
            <w:tcW w:w="1951" w:type="dxa"/>
          </w:tcPr>
          <w:p w:rsidR="00BE1EC7" w:rsidRPr="002D275B" w:rsidRDefault="00BE1EC7" w:rsidP="00BE1EC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Tableau XX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  <w:r w:rsidRPr="002D275B">
              <w:rPr>
                <w:rFonts w:ascii="Times New Roman" w:hAnsi="Times New Roman" w:cs="Times New Roman"/>
                <w:b/>
                <w:sz w:val="24"/>
                <w:szCs w:val="24"/>
              </w:rPr>
              <w:t> :</w:t>
            </w:r>
          </w:p>
        </w:tc>
        <w:tc>
          <w:tcPr>
            <w:tcW w:w="6804" w:type="dxa"/>
          </w:tcPr>
          <w:p w:rsidR="00BE1EC7" w:rsidRPr="00BE1EC7" w:rsidRDefault="00BE1EC7" w:rsidP="00BE1E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1EC7">
              <w:rPr>
                <w:rFonts w:ascii="Times New Roman" w:hAnsi="Times New Roman" w:cs="Times New Roman"/>
                <w:sz w:val="24"/>
                <w:szCs w:val="24"/>
              </w:rPr>
              <w:t>Effet de "l'extrait" aqueux (à l'eau) sur la flore caecale</w:t>
            </w:r>
          </w:p>
        </w:tc>
        <w:tc>
          <w:tcPr>
            <w:tcW w:w="973" w:type="dxa"/>
          </w:tcPr>
          <w:p w:rsidR="00BE1EC7" w:rsidRDefault="00BE1EC7" w:rsidP="00BE1E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</w:tbl>
    <w:p w:rsidR="003C719F" w:rsidRPr="00DD3820" w:rsidRDefault="00BE1EC7" w:rsidP="00BE1EC7">
      <w:pPr>
        <w:spacing w:after="0" w:line="240" w:lineRule="auto"/>
        <w:rPr>
          <w:sz w:val="16"/>
          <w:szCs w:val="16"/>
        </w:rPr>
      </w:pPr>
    </w:p>
    <w:sectPr w:rsidR="003C719F" w:rsidRPr="00DD3820" w:rsidSect="00A451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649F2"/>
    <w:multiLevelType w:val="hybridMultilevel"/>
    <w:tmpl w:val="2D4E95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16327"/>
    <w:rsid w:val="0003166E"/>
    <w:rsid w:val="00077FFA"/>
    <w:rsid w:val="000B3E58"/>
    <w:rsid w:val="001A6EF7"/>
    <w:rsid w:val="001C336F"/>
    <w:rsid w:val="002A3E54"/>
    <w:rsid w:val="002D275B"/>
    <w:rsid w:val="002D44A6"/>
    <w:rsid w:val="00323FD3"/>
    <w:rsid w:val="003C31A4"/>
    <w:rsid w:val="003E2ADA"/>
    <w:rsid w:val="00543884"/>
    <w:rsid w:val="00571ACD"/>
    <w:rsid w:val="0057206D"/>
    <w:rsid w:val="0057768D"/>
    <w:rsid w:val="00586D93"/>
    <w:rsid w:val="006F3535"/>
    <w:rsid w:val="00716327"/>
    <w:rsid w:val="0076206B"/>
    <w:rsid w:val="007639BB"/>
    <w:rsid w:val="007B5756"/>
    <w:rsid w:val="00807830"/>
    <w:rsid w:val="00911DAB"/>
    <w:rsid w:val="00935CDA"/>
    <w:rsid w:val="00A451D7"/>
    <w:rsid w:val="00AC4792"/>
    <w:rsid w:val="00B408FB"/>
    <w:rsid w:val="00BA20E7"/>
    <w:rsid w:val="00BB4773"/>
    <w:rsid w:val="00BE1EC7"/>
    <w:rsid w:val="00C36A45"/>
    <w:rsid w:val="00CE1575"/>
    <w:rsid w:val="00CE4248"/>
    <w:rsid w:val="00CF3E29"/>
    <w:rsid w:val="00DA63D5"/>
    <w:rsid w:val="00DD3820"/>
    <w:rsid w:val="00E24AA9"/>
    <w:rsid w:val="00E369BA"/>
    <w:rsid w:val="00FD0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327"/>
    <w:rPr>
      <w:rFonts w:eastAsiaTheme="minorEastAsia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716327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7163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ELONEX</dc:creator>
  <cp:lastModifiedBy>sassi</cp:lastModifiedBy>
  <cp:revision>9</cp:revision>
  <dcterms:created xsi:type="dcterms:W3CDTF">2013-02-16T21:26:00Z</dcterms:created>
  <dcterms:modified xsi:type="dcterms:W3CDTF">2013-05-03T20:36:00Z</dcterms:modified>
</cp:coreProperties>
</file>