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162" w:line="225" w:lineRule="auto"/>
        <w:ind w:left="989"/>
        <w:outlineLvl w:val="0"/>
        <w:rPr>
          <w:sz w:val="31"/>
          <w:szCs w:val="31"/>
        </w:rPr>
      </w:pPr>
      <w:r>
        <w:rPr>
          <w:spacing w:val="1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客户案例分析：地产行业中的大模型落地</w:t>
      </w:r>
    </w:p>
    <w:p>
      <w:pPr>
        <w:spacing w:line="363" w:lineRule="auto"/>
        <w:rPr>
          <w:rFonts w:ascii="Arial"/>
          <w:sz w:val="21"/>
        </w:rPr>
      </w:pPr>
    </w:p>
    <w:p>
      <w:pPr>
        <w:pStyle w:val="3"/>
        <w:spacing w:before="78" w:line="237" w:lineRule="auto"/>
        <w:ind w:left="22" w:right="80" w:firstLine="28"/>
        <w:jc w:val="both"/>
      </w:pPr>
      <w:r>
        <w:rPr>
          <w:spacing w:val="-4"/>
        </w:rPr>
        <w:t>以某具有国资背景的地产公司的实践为例，大模型在传统行业里的落地，正从概</w:t>
      </w:r>
      <w:r>
        <w:rPr>
          <w:spacing w:val="8"/>
        </w:rPr>
        <w:t xml:space="preserve"> </w:t>
      </w:r>
      <w:r>
        <w:rPr>
          <w:spacing w:val="-3"/>
        </w:rPr>
        <w:t>念层面的验证逐渐过渡到切实为业务提供助力的阶段。在商业地产的租售运营领</w:t>
      </w:r>
      <w:r>
        <w:rPr>
          <w:spacing w:val="1"/>
        </w:rPr>
        <w:t xml:space="preserve"> </w:t>
      </w:r>
      <w:r>
        <w:rPr>
          <w:spacing w:val="-3"/>
        </w:rPr>
        <w:t>域内，该企业长期过度依赖人工来处理房产产权，租客合约以及市场数据等众多</w:t>
      </w:r>
      <w:r>
        <w:rPr>
          <w:spacing w:val="1"/>
        </w:rPr>
        <w:t xml:space="preserve"> </w:t>
      </w:r>
      <w:r>
        <w:rPr>
          <w:spacing w:val="-5"/>
        </w:rPr>
        <w:t>非结构化的大量信息。依据案例所述，出现“单份文件处理时长超过</w:t>
      </w:r>
      <w:r>
        <w:rPr>
          <w:spacing w:val="-36"/>
        </w:rPr>
        <w:t xml:space="preserve"> </w:t>
      </w:r>
      <w:r>
        <w:rPr>
          <w:rFonts w:ascii="Calibri" w:hAnsi="Calibri" w:eastAsia="Calibri" w:cs="Calibri"/>
          <w:spacing w:val="-5"/>
        </w:rPr>
        <w:t>2</w:t>
      </w:r>
      <w:r>
        <w:rPr>
          <w:rFonts w:ascii="Calibri" w:hAnsi="Calibri" w:eastAsia="Calibri" w:cs="Calibri"/>
          <w:spacing w:val="20"/>
        </w:rPr>
        <w:t xml:space="preserve"> </w:t>
      </w:r>
      <w:r>
        <w:rPr>
          <w:spacing w:val="-5"/>
        </w:rPr>
        <w:t>小时</w:t>
      </w:r>
      <w:r>
        <w:rPr>
          <w:spacing w:val="-88"/>
        </w:rPr>
        <w:t xml:space="preserve"> </w:t>
      </w:r>
      <w:r>
        <w:rPr>
          <w:spacing w:val="-5"/>
        </w:rPr>
        <w:t>”的</w:t>
      </w:r>
      <w:r>
        <w:t xml:space="preserve"> </w:t>
      </w:r>
      <w:r>
        <w:rPr>
          <w:spacing w:val="-4"/>
        </w:rPr>
        <w:t>情况，并且“策略的拟定依托于经验方面的判断</w:t>
      </w:r>
      <w:r>
        <w:rPr>
          <w:spacing w:val="-84"/>
        </w:rPr>
        <w:t xml:space="preserve"> </w:t>
      </w:r>
      <w:r>
        <w:rPr>
          <w:spacing w:val="-4"/>
        </w:rPr>
        <w:t>”，从而致使整体决策效率处于</w:t>
      </w:r>
      <w:r>
        <w:t xml:space="preserve"> </w:t>
      </w:r>
      <w:r>
        <w:rPr>
          <w:spacing w:val="-3"/>
        </w:rPr>
        <w:t>较低水平，同时决策周期较为漫长，这种情形在传统的资管行业中具有一定的典</w:t>
      </w:r>
      <w:r>
        <w:rPr>
          <w:spacing w:val="1"/>
        </w:rPr>
        <w:t xml:space="preserve"> </w:t>
      </w:r>
      <w:r>
        <w:rPr>
          <w:spacing w:val="-3"/>
        </w:rPr>
        <w:t>型性。</w:t>
      </w:r>
    </w:p>
    <w:p>
      <w:pPr>
        <w:spacing w:line="256" w:lineRule="auto"/>
        <w:rPr>
          <w:rFonts w:ascii="Arial"/>
          <w:sz w:val="21"/>
        </w:rPr>
      </w:pPr>
    </w:p>
    <w:p>
      <w:pPr>
        <w:pStyle w:val="3"/>
        <w:spacing w:before="78" w:line="233" w:lineRule="auto"/>
        <w:ind w:left="42" w:right="80" w:hanging="20"/>
        <w:jc w:val="both"/>
      </w:pPr>
      <w:r>
        <w:rPr>
          <w:spacing w:val="-6"/>
        </w:rPr>
        <w:t>在引入</w:t>
      </w:r>
      <w:r>
        <w:rPr>
          <w:spacing w:val="-56"/>
        </w:rPr>
        <w:t xml:space="preserve"> </w:t>
      </w:r>
      <w:r>
        <w:rPr>
          <w:rFonts w:ascii="Calibri" w:hAnsi="Calibri" w:eastAsia="Calibri" w:cs="Calibri"/>
          <w:spacing w:val="-6"/>
        </w:rPr>
        <w:t>AI</w:t>
      </w:r>
      <w:r>
        <w:rPr>
          <w:rFonts w:ascii="Calibri" w:hAnsi="Calibri" w:eastAsia="Calibri" w:cs="Calibri"/>
          <w:spacing w:val="16"/>
        </w:rPr>
        <w:t xml:space="preserve"> </w:t>
      </w:r>
      <w:r>
        <w:rPr>
          <w:spacing w:val="-6"/>
        </w:rPr>
        <w:t>方案后，其核心变化并不只是“用了大模</w:t>
      </w:r>
      <w:r>
        <w:rPr>
          <w:spacing w:val="-7"/>
        </w:rPr>
        <w:t>型</w:t>
      </w:r>
      <w:r>
        <w:rPr>
          <w:spacing w:val="-88"/>
        </w:rPr>
        <w:t xml:space="preserve"> </w:t>
      </w:r>
      <w:r>
        <w:rPr>
          <w:spacing w:val="-7"/>
        </w:rPr>
        <w:t>”，而是通过一套相对完整</w:t>
      </w:r>
      <w:r>
        <w:t xml:space="preserve"> </w:t>
      </w:r>
      <w:r>
        <w:rPr>
          <w:spacing w:val="1"/>
        </w:rPr>
        <w:t>的技术路径，将数据处理与决策流程进行重构。例如，通过</w:t>
      </w:r>
      <w:r>
        <w:rPr>
          <w:spacing w:val="-46"/>
        </w:rPr>
        <w:t xml:space="preserve"> </w:t>
      </w:r>
      <w:r>
        <w:rPr>
          <w:rFonts w:ascii="Calibri" w:hAnsi="Calibri" w:eastAsia="Calibri" w:cs="Calibri"/>
        </w:rPr>
        <w:t>OCR</w:t>
      </w:r>
      <w:r>
        <w:rPr>
          <w:rFonts w:ascii="Calibri" w:hAnsi="Calibri" w:eastAsia="Calibri" w:cs="Calibri"/>
          <w:spacing w:val="18"/>
          <w:w w:val="101"/>
        </w:rPr>
        <w:t xml:space="preserve"> </w:t>
      </w:r>
      <w:r>
        <w:rPr>
          <w:spacing w:val="1"/>
        </w:rPr>
        <w:t>模型实现文档</w:t>
      </w:r>
      <w:r>
        <w:t xml:space="preserve"> </w:t>
      </w:r>
      <w:r>
        <w:rPr>
          <w:spacing w:val="-3"/>
        </w:rPr>
        <w:t>自动解析，将单份文件处理时间从</w:t>
      </w:r>
      <w:r>
        <w:rPr>
          <w:spacing w:val="-44"/>
        </w:rPr>
        <w:t xml:space="preserve"> </w:t>
      </w:r>
      <w:r>
        <w:rPr>
          <w:rFonts w:ascii="Calibri" w:hAnsi="Calibri" w:eastAsia="Calibri" w:cs="Calibri"/>
          <w:spacing w:val="-3"/>
        </w:rPr>
        <w:t>2</w:t>
      </w:r>
      <w:r>
        <w:rPr>
          <w:rFonts w:ascii="Calibri" w:hAnsi="Calibri" w:eastAsia="Calibri" w:cs="Calibri"/>
          <w:spacing w:val="21"/>
        </w:rPr>
        <w:t xml:space="preserve"> </w:t>
      </w:r>
      <w:r>
        <w:rPr>
          <w:spacing w:val="-3"/>
        </w:rPr>
        <w:t>小时压缩至</w:t>
      </w:r>
    </w:p>
    <w:p>
      <w:pPr>
        <w:pStyle w:val="3"/>
        <w:spacing w:before="27" w:line="238" w:lineRule="auto"/>
        <w:ind w:left="22"/>
        <w:jc w:val="both"/>
      </w:pPr>
      <w:r>
        <w:rPr>
          <w:spacing w:val="-4"/>
        </w:rPr>
        <w:t>在</w:t>
      </w:r>
      <w:r>
        <w:rPr>
          <w:spacing w:val="-48"/>
        </w:rPr>
        <w:t xml:space="preserve"> </w:t>
      </w:r>
      <w:r>
        <w:rPr>
          <w:rFonts w:ascii="Calibri" w:hAnsi="Calibri" w:eastAsia="Calibri" w:cs="Calibri"/>
          <w:spacing w:val="-4"/>
        </w:rPr>
        <w:t>3</w:t>
      </w:r>
      <w:r>
        <w:rPr>
          <w:rFonts w:ascii="Calibri" w:hAnsi="Calibri" w:eastAsia="Calibri" w:cs="Calibri"/>
          <w:spacing w:val="17"/>
        </w:rPr>
        <w:t xml:space="preserve"> </w:t>
      </w:r>
      <w:r>
        <w:rPr>
          <w:spacing w:val="-4"/>
        </w:rPr>
        <w:t>分钟内借助大模型的功能对产权信息，租客履约记录以及市场数据开</w:t>
      </w:r>
      <w:r>
        <w:rPr>
          <w:spacing w:val="-5"/>
        </w:rPr>
        <w:t xml:space="preserve">展结构 </w:t>
      </w:r>
      <w:r>
        <w:rPr>
          <w:spacing w:val="-4"/>
        </w:rPr>
        <w:t>化提取操作进而生成用于辅助决策的报告。这种从“人工</w:t>
      </w:r>
      <w:r>
        <w:rPr>
          <w:spacing w:val="-5"/>
        </w:rPr>
        <w:t>处理信息</w:t>
      </w:r>
      <w:r>
        <w:rPr>
          <w:spacing w:val="-88"/>
        </w:rPr>
        <w:t xml:space="preserve"> </w:t>
      </w:r>
      <w:r>
        <w:rPr>
          <w:spacing w:val="-5"/>
        </w:rPr>
        <w:t xml:space="preserve">”到“系统生 </w:t>
      </w:r>
      <w:r>
        <w:rPr>
          <w:spacing w:val="-8"/>
        </w:rPr>
        <w:t>成决策依据</w:t>
      </w:r>
      <w:r>
        <w:rPr>
          <w:spacing w:val="-88"/>
        </w:rPr>
        <w:t xml:space="preserve"> </w:t>
      </w:r>
      <w:r>
        <w:rPr>
          <w:spacing w:val="-8"/>
        </w:rPr>
        <w:t>”的转变，其根本在于提高信息处理效率以及提升决策</w:t>
      </w:r>
      <w:r>
        <w:rPr>
          <w:spacing w:val="-9"/>
        </w:rPr>
        <w:t>的标准化程度。</w:t>
      </w:r>
      <w:r>
        <w:t xml:space="preserve"> </w:t>
      </w:r>
      <w:r>
        <w:rPr>
          <w:spacing w:val="-3"/>
        </w:rPr>
        <w:t>值得留意的是，此案例重凸显一种颇具典型性的</w:t>
      </w:r>
      <w:r>
        <w:rPr>
          <w:spacing w:val="-4"/>
        </w:rPr>
        <w:t xml:space="preserve">落地途径，借助软硬一体的私有 </w:t>
      </w:r>
      <w:r>
        <w:t>化部署来达成“小投入，快落地</w:t>
      </w:r>
      <w:r>
        <w:rPr>
          <w:spacing w:val="-83"/>
        </w:rPr>
        <w:t xml:space="preserve"> </w:t>
      </w:r>
      <w:r>
        <w:t>”的</w:t>
      </w:r>
      <w:r>
        <w:rPr>
          <w:spacing w:val="-35"/>
        </w:rPr>
        <w:t xml:space="preserve"> </w:t>
      </w:r>
      <w:r>
        <w:rPr>
          <w:rFonts w:ascii="Calibri" w:hAnsi="Calibri" w:eastAsia="Calibri" w:cs="Calibri"/>
        </w:rPr>
        <w:t>POC</w:t>
      </w:r>
      <w:r>
        <w:rPr>
          <w:rFonts w:ascii="Calibri" w:hAnsi="Calibri" w:eastAsia="Calibri" w:cs="Calibri"/>
          <w:spacing w:val="16"/>
        </w:rPr>
        <w:t xml:space="preserve"> </w:t>
      </w:r>
      <w:r>
        <w:t>验证路径，这种方式在实</w:t>
      </w:r>
      <w:r>
        <w:rPr>
          <w:spacing w:val="-1"/>
        </w:rPr>
        <w:t xml:space="preserve">际操作层面 </w:t>
      </w:r>
      <w:r>
        <w:rPr>
          <w:spacing w:val="-3"/>
        </w:rPr>
        <w:t>具有较为明显的示范意义。比如文中提及的情况</w:t>
      </w:r>
      <w:r>
        <w:rPr>
          <w:spacing w:val="-4"/>
        </w:rPr>
        <w:t xml:space="preserve">，是借助一台一体机实现从数据 </w:t>
      </w:r>
      <w:r>
        <w:rPr>
          <w:spacing w:val="-3"/>
        </w:rPr>
        <w:t>解析直至策略输出整个流程的闭环，并且达到硬</w:t>
      </w:r>
      <w:r>
        <w:rPr>
          <w:spacing w:val="-4"/>
        </w:rPr>
        <w:t xml:space="preserve">件投入减少七成，部署周期缩短 </w:t>
      </w:r>
      <w:r>
        <w:rPr>
          <w:spacing w:val="-3"/>
        </w:rPr>
        <w:t>八成的效果。当下企业引入大模型时的这一状况</w:t>
      </w:r>
      <w:r>
        <w:rPr>
          <w:spacing w:val="-4"/>
        </w:rPr>
        <w:t xml:space="preserve">体现出其真实的需求所在，并非 </w:t>
      </w:r>
      <w:r>
        <w:rPr>
          <w:spacing w:val="-3"/>
        </w:rPr>
        <w:t>力获取最为顶尖的性能表现，而是将更多目光聚</w:t>
      </w:r>
      <w:r>
        <w:rPr>
          <w:spacing w:val="-4"/>
        </w:rPr>
        <w:t xml:space="preserve">焦于成本可有效把控，部署可轻 </w:t>
      </w:r>
      <w:r>
        <w:rPr>
          <w:spacing w:val="-1"/>
        </w:rPr>
        <w:t>松便捷以及系统可维持稳定这些方面。</w:t>
      </w:r>
    </w:p>
    <w:p>
      <w:pPr>
        <w:spacing w:line="258" w:lineRule="auto"/>
        <w:rPr>
          <w:rFonts w:ascii="Arial"/>
          <w:sz w:val="21"/>
        </w:rPr>
      </w:pPr>
    </w:p>
    <w:p>
      <w:pPr>
        <w:pStyle w:val="3"/>
        <w:spacing w:before="78" w:line="236" w:lineRule="auto"/>
        <w:ind w:left="22" w:right="80" w:firstLine="3"/>
        <w:jc w:val="both"/>
      </w:pPr>
      <w:r>
        <w:rPr>
          <w:spacing w:val="-3"/>
        </w:rPr>
        <w:t>从市场这一维度进行考量，此案例具有一定程度的代表性质。一方面传统的</w:t>
      </w:r>
      <w:r>
        <w:rPr>
          <w:spacing w:val="-4"/>
        </w:rPr>
        <w:t>地产</w:t>
      </w:r>
      <w:r>
        <w:t xml:space="preserve"> </w:t>
      </w:r>
      <w:r>
        <w:rPr>
          <w:spacing w:val="-3"/>
        </w:rPr>
        <w:t>等行业对数据安全有较高要求，此致使私有化部署成为主要选择；另一方面这类</w:t>
      </w:r>
      <w:r>
        <w:rPr>
          <w:spacing w:val="1"/>
        </w:rPr>
        <w:t xml:space="preserve"> </w:t>
      </w:r>
      <w:r>
        <w:rPr>
          <w:spacing w:val="-3"/>
        </w:rPr>
        <w:t>企业通常缺少大规模算力资源，因而更倾向采用轻量化解决方案。故而大模型得</w:t>
      </w:r>
      <w:r>
        <w:rPr>
          <w:spacing w:val="1"/>
        </w:rPr>
        <w:t xml:space="preserve"> </w:t>
      </w:r>
      <w:r>
        <w:rPr>
          <w:spacing w:val="-3"/>
        </w:rPr>
        <w:t>以落地，不仅依赖模型能力自身，还极大程度依赖推理框架以及底层算力方案的</w:t>
      </w:r>
      <w:r>
        <w:rPr>
          <w:spacing w:val="1"/>
        </w:rPr>
        <w:t xml:space="preserve"> </w:t>
      </w:r>
      <w:r>
        <w:rPr>
          <w:spacing w:val="-2"/>
        </w:rPr>
        <w:t>优化水平。</w:t>
      </w:r>
    </w:p>
    <w:p>
      <w:pPr>
        <w:pStyle w:val="3"/>
        <w:spacing w:before="26" w:line="236" w:lineRule="auto"/>
        <w:ind w:left="21" w:right="20" w:firstLine="4"/>
        <w:jc w:val="both"/>
      </w:pPr>
      <w:r>
        <w:rPr>
          <w:spacing w:val="-3"/>
        </w:rPr>
        <w:t>从当下推理框架市场的发展态势来考量，未来行业级应用的关键竞争之点，</w:t>
      </w:r>
      <w:r>
        <w:rPr>
          <w:spacing w:val="-4"/>
        </w:rPr>
        <w:t>或许</w:t>
      </w:r>
      <w:r>
        <w:t xml:space="preserve"> </w:t>
      </w:r>
      <w:r>
        <w:rPr>
          <w:spacing w:val="-3"/>
        </w:rPr>
        <w:t>并不只是单纯在于模型性能，而是能否在受限资源状况下稳定地运行，并且能够</w:t>
      </w:r>
      <w:r>
        <w:rPr>
          <w:spacing w:val="2"/>
        </w:rPr>
        <w:t xml:space="preserve"> </w:t>
      </w:r>
      <w:r>
        <w:rPr>
          <w:spacing w:val="-8"/>
        </w:rPr>
        <w:t>迅速地融入业务流程。类似案例所彰显的，是一条更为贴近实际情况的落地路径：</w:t>
      </w:r>
      <w:r>
        <w:rPr>
          <w:spacing w:val="5"/>
        </w:rPr>
        <w:t xml:space="preserve"> </w:t>
      </w:r>
      <w:r>
        <w:rPr>
          <w:spacing w:val="-3"/>
        </w:rPr>
        <w:t>通过对推理效率的优化以及部署方式的调整，让大模型切实融入业务系统，而非</w:t>
      </w:r>
      <w:r>
        <w:rPr>
          <w:spacing w:val="2"/>
        </w:rPr>
        <w:t xml:space="preserve"> </w:t>
      </w:r>
      <w:r>
        <w:rPr>
          <w:spacing w:val="-1"/>
        </w:rPr>
        <w:t>仅仅停留在实验的层面。</w:t>
      </w:r>
    </w:p>
    <w:p>
      <w:pPr>
        <w:pStyle w:val="3"/>
        <w:spacing w:before="25" w:line="235" w:lineRule="auto"/>
        <w:ind w:left="23" w:right="80" w:firstLine="2"/>
        <w:jc w:val="both"/>
      </w:pPr>
      <w:r>
        <w:rPr>
          <w:spacing w:val="-3"/>
        </w:rPr>
        <w:t>从整体层面进行审视，此案例不仅对大模型在地产资管场景中的可行性进行</w:t>
      </w:r>
      <w:r>
        <w:rPr>
          <w:spacing w:val="-4"/>
        </w:rPr>
        <w:t>了验</w:t>
      </w:r>
      <w:r>
        <w:t xml:space="preserve"> </w:t>
      </w:r>
      <w:r>
        <w:rPr>
          <w:spacing w:val="-5"/>
        </w:rPr>
        <w:t>证，还显示出市场正处于从“技术能力得以呈现</w:t>
      </w:r>
      <w:r>
        <w:rPr>
          <w:spacing w:val="-81"/>
        </w:rPr>
        <w:t xml:space="preserve"> </w:t>
      </w:r>
      <w:r>
        <w:rPr>
          <w:spacing w:val="-5"/>
        </w:rPr>
        <w:t>”向“实际应用具有价值</w:t>
      </w:r>
      <w:r>
        <w:rPr>
          <w:spacing w:val="-88"/>
        </w:rPr>
        <w:t xml:space="preserve"> </w:t>
      </w:r>
      <w:r>
        <w:rPr>
          <w:spacing w:val="-5"/>
        </w:rPr>
        <w:t>”转变</w:t>
      </w:r>
      <w:r>
        <w:t xml:space="preserve"> </w:t>
      </w:r>
      <w:r>
        <w:rPr>
          <w:spacing w:val="-3"/>
        </w:rPr>
        <w:t>的阶段。伴随更多行业逐步开展类似途径的探索，关于成本的配置以及工程化能</w:t>
      </w:r>
      <w:r>
        <w:rPr>
          <w:spacing w:val="1"/>
        </w:rPr>
        <w:t xml:space="preserve"> </w:t>
      </w:r>
      <w:r>
        <w:rPr>
          <w:spacing w:val="-1"/>
        </w:rPr>
        <w:t>力方面的竞争，预计会越发激烈地进行。</w:t>
      </w:r>
    </w:p>
    <w:p>
      <w:pPr>
        <w:pStyle w:val="3"/>
        <w:spacing w:before="300" w:line="321" w:lineRule="exact"/>
        <w:ind w:left="25"/>
        <w:rPr>
          <w:rFonts w:ascii="Calibri" w:hAnsi="Calibri" w:eastAsia="Calibri" w:cs="Calibri"/>
          <w:spacing w:val="-1"/>
          <w:position w:val="2"/>
        </w:rPr>
      </w:pPr>
      <w:r>
        <w:rPr>
          <w:spacing w:val="-1"/>
          <w:position w:val="2"/>
        </w:rPr>
        <w:t xml:space="preserve">案例原文： </w:t>
      </w:r>
      <w:r>
        <w:rPr>
          <w:rFonts w:ascii="Calibri" w:hAnsi="Calibri" w:eastAsia="Calibri" w:cs="Calibri"/>
          <w:spacing w:val="-1"/>
          <w:position w:val="2"/>
        </w:rPr>
        <w:fldChar w:fldCharType="begin"/>
      </w:r>
      <w:r>
        <w:rPr>
          <w:rFonts w:ascii="Calibri" w:hAnsi="Calibri" w:eastAsia="Calibri" w:cs="Calibri"/>
          <w:spacing w:val="-1"/>
          <w:position w:val="2"/>
        </w:rPr>
        <w:instrText xml:space="preserve"> HYPERLINK "https://mp.weixin.qq.com/s/3PiQTQcus7RwIIIQwgrC5g" </w:instrText>
      </w:r>
      <w:r>
        <w:rPr>
          <w:rFonts w:ascii="Calibri" w:hAnsi="Calibri" w:eastAsia="Calibri" w:cs="Calibri"/>
          <w:spacing w:val="-1"/>
          <w:position w:val="2"/>
        </w:rPr>
        <w:fldChar w:fldCharType="separate"/>
      </w:r>
      <w:r>
        <w:rPr>
          <w:rStyle w:val="7"/>
          <w:rFonts w:ascii="Calibri" w:hAnsi="Calibri" w:eastAsia="Calibri" w:cs="Calibri"/>
          <w:spacing w:val="-1"/>
          <w:position w:val="2"/>
        </w:rPr>
        <w:t>https://mp.weixin.qq.com/s/3PiQTQcus7RwIIIQwgrC5g</w:t>
      </w:r>
      <w:r>
        <w:rPr>
          <w:rFonts w:ascii="Calibri" w:hAnsi="Calibri" w:eastAsia="Calibri" w:cs="Calibri"/>
          <w:spacing w:val="-1"/>
          <w:position w:val="2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Theme="majorAscii" w:hAnsiTheme="majorAscii"/>
          <w:b/>
          <w:bCs/>
          <w:color w:val="000000"/>
          <w:sz w:val="21"/>
          <w:szCs w:val="21"/>
        </w:rPr>
      </w:pPr>
      <w:r>
        <w:rPr>
          <w:rFonts w:hint="default" w:asciiTheme="majorAscii" w:hAnsiTheme="majorAscii"/>
          <w:b/>
          <w:bCs/>
          <w:color w:val="000000"/>
          <w:sz w:val="21"/>
          <w:szCs w:val="21"/>
          <w:bdr w:val="none" w:color="auto" w:sz="0" w:space="0"/>
        </w:rPr>
        <w:t>本周进展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完成国资地产公司案例拆解，突出 KTransformers</w:t>
      </w:r>
      <w:r>
        <w:rPr>
          <w:rStyle w:val="6"/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软硬一体私有化部署、硬件投入降低、部署周期缩短</w:t>
      </w: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的落地效果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eastAsia="宋体" w:asciiTheme="majorAscii" w:hAnsiTheme="majorAscii"/>
          <w:b/>
          <w:bCs/>
          <w:color w:val="000000"/>
          <w:sz w:val="21"/>
          <w:szCs w:val="21"/>
          <w:lang w:eastAsia="zh-CN"/>
        </w:rPr>
      </w:pPr>
      <w:r>
        <w:rPr>
          <w:rFonts w:hint="default" w:asciiTheme="majorAscii" w:hAnsiTheme="majorAscii"/>
          <w:b/>
          <w:bCs/>
          <w:color w:val="000000"/>
          <w:sz w:val="21"/>
          <w:szCs w:val="21"/>
          <w:bdr w:val="none" w:color="auto" w:sz="0" w:space="0"/>
        </w:rPr>
        <w:t>问题记录</w:t>
      </w:r>
      <w:r>
        <w:rPr>
          <w:rFonts w:hint="eastAsia" w:asciiTheme="majorAscii" w:hAnsiTheme="majorAscii"/>
          <w:b/>
          <w:bCs/>
          <w:color w:val="000000"/>
          <w:sz w:val="21"/>
          <w:szCs w:val="21"/>
          <w:bdr w:val="none" w:color="auto" w:sz="0" w:space="0"/>
          <w:lang w:eastAsia="zh-CN"/>
        </w:rPr>
        <w:t>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对外推广内容偏技术化，传统行业用户理解成本较高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Fonts w:hint="default" w:eastAsia="宋体" w:cs="宋体" w:asciiTheme="majorAscii" w:hAnsiTheme="majorAscii"/>
          <w:b w:val="0"/>
          <w:bCs w:val="0"/>
          <w:sz w:val="21"/>
          <w:szCs w:val="21"/>
        </w:rPr>
      </w:pPr>
      <w:r>
        <w:rPr>
          <w:rFonts w:hint="default" w:eastAsia="宋体" w:cs="宋体" w:asciiTheme="majorAscii" w:hAnsiTheme="majorAscii"/>
          <w:b w:val="0"/>
          <w:bCs w:val="0"/>
          <w:sz w:val="21"/>
          <w:szCs w:val="21"/>
        </w:rPr>
        <w:t>社群活跃度偏低，缺少定期分享与互动活动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default" w:eastAsia="宋体" w:cs="宋体" w:asciiTheme="majorAscii" w:hAnsiTheme="majorAscii"/>
          <w:b w:val="0"/>
          <w:bCs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eastAsia="宋体" w:asciiTheme="majorAscii" w:hAnsiTheme="majorAscii"/>
          <w:b/>
          <w:bCs/>
          <w:color w:val="000000"/>
          <w:sz w:val="21"/>
          <w:szCs w:val="21"/>
          <w:lang w:eastAsia="zh-CN"/>
        </w:rPr>
      </w:pPr>
      <w:r>
        <w:rPr>
          <w:rFonts w:hint="default" w:asciiTheme="majorAscii" w:hAnsiTheme="majorAscii"/>
          <w:b/>
          <w:bCs/>
          <w:color w:val="000000"/>
          <w:sz w:val="21"/>
          <w:szCs w:val="21"/>
          <w:bdr w:val="none" w:color="auto" w:sz="0" w:space="0"/>
        </w:rPr>
        <w:t>下周计划</w:t>
      </w:r>
      <w:r>
        <w:rPr>
          <w:rFonts w:hint="eastAsia" w:asciiTheme="majorAscii" w:hAnsiTheme="majorAscii"/>
          <w:b/>
          <w:bCs/>
          <w:color w:val="000000"/>
          <w:sz w:val="21"/>
          <w:szCs w:val="21"/>
          <w:bdr w:val="none" w:color="auto" w:sz="0" w:space="0"/>
          <w:lang w:eastAsia="zh-CN"/>
        </w:rPr>
        <w:t>：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完成 KTransformers 市场定位与工程化能力总结，形成项目周报整合材料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20" w:leftChars="0" w:right="0" w:rightChars="0" w:hanging="420" w:firstLineChars="0"/>
        <w:rPr>
          <w:rFonts w:hint="default" w:asciiTheme="majorAscii" w:hAnsiTheme="majorAscii"/>
          <w:b w:val="0"/>
          <w:bCs w:val="0"/>
          <w:color w:val="000000"/>
          <w:sz w:val="21"/>
          <w:szCs w:val="21"/>
        </w:rPr>
      </w:pPr>
      <w:r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  <w:t>开展社群案例分享活动，推广航空、地产落地实践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Chars="0" w:right="0" w:rightChars="0"/>
        <w:rPr>
          <w:rFonts w:hint="default" w:asciiTheme="majorAscii" w:hAnsiTheme="majorAscii"/>
          <w:b w:val="0"/>
          <w:bCs w:val="0"/>
          <w:color w:val="000000"/>
          <w:sz w:val="21"/>
          <w:szCs w:val="21"/>
          <w:bdr w:val="none" w:color="auto" w:sz="0" w:space="0"/>
        </w:rPr>
      </w:pPr>
      <w:bookmarkStart w:id="0" w:name="_GoBack"/>
      <w:bookmarkEnd w:id="0"/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rPr>
          <w:rFonts w:hint="default" w:eastAsia="宋体" w:cs="宋体" w:asciiTheme="majorAscii" w:hAnsiTheme="majorAscii"/>
          <w:b w:val="0"/>
          <w:bCs w:val="0"/>
          <w:sz w:val="21"/>
          <w:szCs w:val="21"/>
        </w:rPr>
      </w:pPr>
    </w:p>
    <w:p>
      <w:pPr>
        <w:pStyle w:val="3"/>
        <w:spacing w:before="300" w:line="321" w:lineRule="exact"/>
        <w:ind w:left="25"/>
        <w:rPr>
          <w:rFonts w:ascii="Calibri" w:hAnsi="Calibri" w:eastAsia="Calibri" w:cs="Calibri"/>
          <w:spacing w:val="-1"/>
          <w:position w:val="2"/>
        </w:rPr>
      </w:pPr>
    </w:p>
    <w:sectPr>
      <w:pgSz w:w="11906" w:h="16839"/>
      <w:pgMar w:top="1431" w:right="1719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C2808"/>
    <w:multiLevelType w:val="singleLevel"/>
    <w:tmpl w:val="27BC280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ZjFmZWIzNDg2MmIzZjExOTIzMmViNTBmYTMwYTk0ZWYifQ=="/>
  </w:docVars>
  <w:rsids>
    <w:rsidRoot w:val="00000000"/>
    <w:rsid w:val="22B44F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1077</Words>
  <Characters>1130</Characters>
  <TotalTime>5</TotalTime>
  <ScaleCrop>false</ScaleCrop>
  <LinksUpToDate>false</LinksUpToDate>
  <CharactersWithSpaces>1179</CharactersWithSpaces>
  <Application>WPS Office_12.1.0.16388_F1E327BC-269C-435d-A152-05C5408002CA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2026-03-22T21:19:00Z</dcterms:created>
  <dc:creator>boshe</dc:creator>
  <cp:lastModifiedBy>BOSUN  GUAN</cp:lastModifiedBy>
  <dcterms:modified xsi:type="dcterms:W3CDTF">2026-04-03T09:07:03Z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2026-04-03T16:35:56Z</vt:filetime>
  </property>
  <property fmtid="{D5CDD505-2E9C-101B-9397-08002B2CF9AE}" pid="4" name="KSOProductBuildVer">
    <vt:lpwstr>2052-12.1.0.16388</vt:lpwstr>
  </property>
  <property fmtid="{D5CDD505-2E9C-101B-9397-08002B2CF9AE}" pid="5" name="ICV">
    <vt:lpwstr>9041FA982F9A485084CD0DF1AE8A528D_12</vt:lpwstr>
  </property>
</Properties>
</file>