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1506" w:firstLineChars="50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KTransformers 成本收益量化说明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b w:val="0"/>
          <w:bCs w:val="0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在大模型规模化落地进程中，企业客户对算力成本、部署投入与长期运维开销的敏感度持续提升，单纯的性能指标已无法支撑选型决策。为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清晰呈现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KTransformers 的商业价值，现启动成本收益量化说明初稿编写，以航空、地产、交通枢纽三大典型行业案例为依据，用真实落地数据量化框架在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降本、增效、稳跑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三大维度的核心优势，为企业选型提供可量化、可对比、可复用的价值依据。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在硬件投入成本方面，KTransformers 依托内存压缩、CPU/GPU 协同调度、显存智能优化等技术，显著降低对高端 GPU 的依赖。航空行业案例显示，在私有化内网环境中，框架可在原有硬件条件下运行大模型，无需额外采购高性能显卡；地产行业案例实现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硬件投入降低 70%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，单台轻量化一体机即可完成全流程推理，大幅削减前期资本支出；交通枢纽场景在不堆硬件的前提下，实现多任务并发推理，综合算力成本降低超 60%。从整体拥有成本看，框架可让企业在中小规模算力环境下，完成原本需高配集群才能实现的业务效果，前期投入与长期电费、运维成本同步下降。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在部署与效率提升方面，KTransformers 大幅缩短项目落地周期。地产案例中部署周期缩短 80%，从环境搭建到业务上线快速闭环；交通枢纽场景实现模型工具化拆分，快速嵌入调度、问答、报告生成等业务环节，信息处理时长从小时级压缩至分钟级。同时，框架对私有化环境、内网隔离、现有系统适配友好，降低集成调试成本，减少技术人力投入，提升业务上线速度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在长期稳定运行收益上，框架针对企业级场景强化稳定性、可治理性能力，支持 7×24 小时不间断推理，降低故障停机带来的业务损失。配合权限管控、日志监控、异常自愈等机制，减少人工运维工作量，提升系统可靠性。结合三大案例数据，KTransformers 在资源受限、成本敏感、高稳定性要求的场景中，可实现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更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低硬件投入、更快部署上线、更高业务效率、更少运维开销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的综合收益，真正达成 “用得起、用得稳、用得值” 的落地目标。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6BB5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2026-04-11T14:03:37Z</dcterms:created>
  <dc:creator>boshe</dc:creator>
  <cp:lastModifiedBy>BOSUN  GUAN</cp:lastModifiedBy>
  <dcterms:modified xsi:type="dcterms:W3CDTF">2026-04-11T14:05:31Z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21CB78139D3B41E5A58F7C15D0409474_12</vt:lpwstr>
  </property>
</Properties>
</file>