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162" w:line="225" w:lineRule="auto"/>
        <w:ind w:left="349"/>
        <w:outlineLvl w:val="0"/>
        <w:rPr>
          <w:sz w:val="31"/>
          <w:szCs w:val="31"/>
        </w:rPr>
      </w:pPr>
      <w:r>
        <w:rPr>
          <w:spacing w:val="1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大模型推理框架市场进入工程化与产品化竞争新阶段</w:t>
      </w:r>
    </w:p>
    <w:p>
      <w:pPr>
        <w:spacing w:line="388" w:lineRule="auto"/>
        <w:rPr>
          <w:rFonts w:ascii="Arial"/>
          <w:sz w:val="21"/>
        </w:rPr>
      </w:pPr>
    </w:p>
    <w:p>
      <w:pPr>
        <w:pStyle w:val="3"/>
        <w:spacing w:before="65" w:line="278" w:lineRule="auto"/>
        <w:ind w:left="21" w:right="193"/>
        <w:jc w:val="both"/>
      </w:pPr>
      <w:r>
        <w:rPr>
          <w:spacing w:val="7"/>
        </w:rPr>
        <w:t>通过前期对大模型推理框架市场进行系统梳理之后，可发现当下行业已从最初的技术探索时</w:t>
      </w:r>
      <w:r>
        <w:rPr>
          <w:spacing w:val="14"/>
        </w:rPr>
        <w:t xml:space="preserve"> </w:t>
      </w:r>
      <w:r>
        <w:rPr>
          <w:spacing w:val="7"/>
        </w:rPr>
        <w:t>期，逐渐过渡到能力对比与场景落地同时推进发展的阶段。主流产品之间竞争的关键要点主</w:t>
      </w:r>
      <w:r>
        <w:rPr>
          <w:spacing w:val="15"/>
        </w:rPr>
        <w:t xml:space="preserve"> </w:t>
      </w:r>
      <w:r>
        <w:rPr>
          <w:spacing w:val="7"/>
        </w:rPr>
        <w:t>要聚焦于性能层面的优化，显存运用效能的提升，模型适配能力的保障以及部署过程的简便</w:t>
      </w:r>
      <w:r>
        <w:rPr>
          <w:spacing w:val="15"/>
        </w:rPr>
        <w:t xml:space="preserve"> </w:t>
      </w:r>
      <w:r>
        <w:rPr>
          <w:spacing w:val="7"/>
        </w:rPr>
        <w:t>程度等范畴之中。从总体态势来讲，技术方面的基础能力正呈现出趋向一致的态势，性能参</w:t>
      </w:r>
      <w:r>
        <w:rPr>
          <w:spacing w:val="15"/>
        </w:rPr>
        <w:t xml:space="preserve"> </w:t>
      </w:r>
      <w:r>
        <w:rPr>
          <w:spacing w:val="7"/>
        </w:rPr>
        <w:t>数之间的差距逐渐在缩小，并且市场竞争也开始从对“单</w:t>
      </w:r>
      <w:r>
        <w:rPr>
          <w:spacing w:val="6"/>
        </w:rPr>
        <w:t>点性能指标</w:t>
      </w:r>
      <w:r>
        <w:rPr>
          <w:spacing w:val="-70"/>
        </w:rPr>
        <w:t xml:space="preserve"> </w:t>
      </w:r>
      <w:r>
        <w:rPr>
          <w:spacing w:val="6"/>
        </w:rPr>
        <w:t>”的关注转变为对“综</w:t>
      </w:r>
      <w:r>
        <w:t xml:space="preserve"> </w:t>
      </w:r>
      <w:r>
        <w:rPr>
          <w:spacing w:val="5"/>
        </w:rPr>
        <w:t>合工程能力</w:t>
      </w:r>
      <w:r>
        <w:rPr>
          <w:spacing w:val="-70"/>
        </w:rPr>
        <w:t xml:space="preserve"> </w:t>
      </w:r>
      <w:r>
        <w:rPr>
          <w:spacing w:val="5"/>
        </w:rPr>
        <w:t>”的较量。</w:t>
      </w:r>
    </w:p>
    <w:p>
      <w:pPr>
        <w:spacing w:line="310" w:lineRule="auto"/>
        <w:rPr>
          <w:rFonts w:ascii="Arial"/>
          <w:sz w:val="21"/>
        </w:rPr>
      </w:pPr>
    </w:p>
    <w:p>
      <w:pPr>
        <w:pStyle w:val="3"/>
        <w:spacing w:before="65" w:line="276" w:lineRule="auto"/>
        <w:ind w:left="21" w:right="193" w:firstLine="5"/>
        <w:jc w:val="both"/>
      </w:pPr>
      <w:r>
        <w:rPr>
          <w:spacing w:val="7"/>
        </w:rPr>
        <w:t>与此同时，当对各类产品以及目标客户群体进行深入观察时，可发现市场当中还存在一定程</w:t>
      </w:r>
      <w:r>
        <w:rPr>
          <w:spacing w:val="10"/>
        </w:rPr>
        <w:t xml:space="preserve"> </w:t>
      </w:r>
      <w:r>
        <w:rPr>
          <w:spacing w:val="7"/>
        </w:rPr>
        <w:t>度的结构性空间。举个例子关于企业级长期运行能力，当下大部分框架较多将重点置于推理</w:t>
      </w:r>
      <w:r>
        <w:rPr>
          <w:spacing w:val="15"/>
        </w:rPr>
        <w:t xml:space="preserve"> </w:t>
      </w:r>
      <w:r>
        <w:rPr>
          <w:spacing w:val="7"/>
        </w:rPr>
        <w:t>性能自身方面，但是在模型版本管理，权限控制，监控运维，故障处理这类体系化能力上尚</w:t>
      </w:r>
      <w:r>
        <w:rPr>
          <w:spacing w:val="15"/>
        </w:rPr>
        <w:t xml:space="preserve"> </w:t>
      </w:r>
      <w:r>
        <w:rPr>
          <w:spacing w:val="7"/>
        </w:rPr>
        <w:t>未构建起统一标准。当企业应用规模不断拓展时，稳定性以及可治理性的关键程度会逐步提</w:t>
      </w:r>
      <w:r>
        <w:rPr>
          <w:spacing w:val="15"/>
        </w:rPr>
        <w:t xml:space="preserve"> </w:t>
      </w:r>
      <w:r>
        <w:rPr>
          <w:spacing w:val="8"/>
        </w:rPr>
        <w:t>高，对此方面的趋势有必要持续关注。</w:t>
      </w:r>
    </w:p>
    <w:p>
      <w:pPr>
        <w:spacing w:line="308" w:lineRule="auto"/>
        <w:rPr>
          <w:rFonts w:ascii="Arial"/>
          <w:sz w:val="21"/>
        </w:rPr>
      </w:pPr>
    </w:p>
    <w:p>
      <w:pPr>
        <w:pStyle w:val="3"/>
        <w:spacing w:before="65" w:line="273" w:lineRule="auto"/>
        <w:ind w:left="22" w:right="193" w:firstLine="5"/>
        <w:jc w:val="both"/>
      </w:pPr>
      <w:r>
        <w:rPr>
          <w:spacing w:val="13"/>
        </w:rPr>
        <w:t>另外鉴于成本敏感度持续攀升的情境企业于选型</w:t>
      </w:r>
      <w:r>
        <w:rPr>
          <w:spacing w:val="12"/>
        </w:rPr>
        <w:t>的时候不仅关注性能方面的表现还更注重</w:t>
      </w:r>
      <w:r>
        <w:t xml:space="preserve"> </w:t>
      </w:r>
      <w:r>
        <w:rPr>
          <w:spacing w:val="7"/>
        </w:rPr>
        <w:t>长期的算力投入和整体的拥有成本。但是当下市场里，用于成本收益量化分析的工具颇为欠</w:t>
      </w:r>
      <w:r>
        <w:rPr>
          <w:spacing w:val="14"/>
        </w:rPr>
        <w:t xml:space="preserve"> </w:t>
      </w:r>
      <w:r>
        <w:rPr>
          <w:spacing w:val="7"/>
        </w:rPr>
        <w:t>缺，大多数产品尚只处于技术指标相互比较的阶段。若未来存在这样一种方案，其能够更明</w:t>
      </w:r>
      <w:r>
        <w:rPr>
          <w:spacing w:val="14"/>
        </w:rPr>
        <w:t xml:space="preserve"> </w:t>
      </w:r>
      <w:r>
        <w:rPr>
          <w:spacing w:val="9"/>
        </w:rPr>
        <w:t>晰地展现资源优化所带来的实际经济价值，或许便可以增强市场方面的说服力。</w:t>
      </w:r>
    </w:p>
    <w:p>
      <w:pPr>
        <w:spacing w:line="311" w:lineRule="auto"/>
        <w:rPr>
          <w:rFonts w:ascii="Arial"/>
          <w:sz w:val="21"/>
        </w:rPr>
      </w:pPr>
    </w:p>
    <w:p>
      <w:pPr>
        <w:pStyle w:val="3"/>
        <w:spacing w:before="65" w:line="273" w:lineRule="auto"/>
        <w:ind w:left="27"/>
        <w:jc w:val="both"/>
        <w:rPr>
          <w:spacing w:val="4"/>
        </w:rPr>
      </w:pPr>
      <w:r>
        <w:rPr>
          <w:spacing w:val="10"/>
        </w:rPr>
        <w:t>总的来说推理框架市场正处于从“</w:t>
      </w:r>
      <w:r>
        <w:rPr>
          <w:spacing w:val="-69"/>
        </w:rPr>
        <w:t xml:space="preserve"> </w:t>
      </w:r>
      <w:r>
        <w:rPr>
          <w:spacing w:val="10"/>
        </w:rPr>
        <w:t>比拼技术能力</w:t>
      </w:r>
      <w:r>
        <w:rPr>
          <w:spacing w:val="-70"/>
        </w:rPr>
        <w:t xml:space="preserve"> </w:t>
      </w:r>
      <w:r>
        <w:rPr>
          <w:spacing w:val="10"/>
        </w:rPr>
        <w:t>”向“较量工程成熟程度以及</w:t>
      </w:r>
      <w:r>
        <w:rPr>
          <w:spacing w:val="9"/>
        </w:rPr>
        <w:t>产品化水准</w:t>
      </w:r>
      <w:r>
        <w:rPr>
          <w:spacing w:val="-72"/>
        </w:rPr>
        <w:t xml:space="preserve"> </w:t>
      </w:r>
      <w:r>
        <w:rPr>
          <w:spacing w:val="9"/>
        </w:rPr>
        <w:t>”</w:t>
      </w:r>
      <w:r>
        <w:t xml:space="preserve"> </w:t>
      </w:r>
      <w:r>
        <w:rPr>
          <w:spacing w:val="7"/>
        </w:rPr>
        <w:t>的阶段转变的过程当中。接下来的调研可进一步围绕企业真实落地的案例，选型的决策逻辑</w:t>
      </w:r>
      <w:r>
        <w:rPr>
          <w:spacing w:val="3"/>
        </w:rPr>
        <w:t xml:space="preserve">   </w:t>
      </w:r>
      <w:r>
        <w:rPr>
          <w:spacing w:val="7"/>
        </w:rPr>
        <w:t>以及成本的评估机制来推进，如此便能更契合实际应用场景，进而形成具有较高参考价值的</w:t>
      </w:r>
      <w:r>
        <w:rPr>
          <w:spacing w:val="3"/>
        </w:rPr>
        <w:t xml:space="preserve">   </w:t>
      </w:r>
      <w:r>
        <w:rPr>
          <w:spacing w:val="4"/>
        </w:rPr>
        <w:t>市场判断。</w:t>
      </w:r>
    </w:p>
    <w:p>
      <w:pPr>
        <w:pStyle w:val="3"/>
        <w:spacing w:before="65" w:line="273" w:lineRule="auto"/>
        <w:ind w:left="27"/>
        <w:jc w:val="both"/>
        <w:rPr>
          <w:spacing w:val="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Theme="majorAscii" w:hAnsiTheme="majorAscii"/>
          <w:b/>
          <w:bCs/>
          <w:color w:val="000000"/>
          <w:sz w:val="21"/>
          <w:szCs w:val="21"/>
        </w:rPr>
      </w:pPr>
      <w:r>
        <w:rPr>
          <w:rFonts w:hint="default" w:asciiTheme="majorAscii" w:hAnsiTheme="majorAscii"/>
          <w:b/>
          <w:bCs/>
          <w:color w:val="000000"/>
          <w:sz w:val="21"/>
          <w:szCs w:val="21"/>
        </w:rPr>
        <w:t>本周实际进展（KTransformers 项目）</w:t>
      </w:r>
    </w:p>
    <w:p>
      <w:pPr>
        <w:rPr>
          <w:rFonts w:hint="default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eastAsia="宋体" w:asciiTheme="majorAscii" w:hAnsiTheme="majorAscii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  <w:t>完成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</w:rPr>
        <w:t>KTransformers 推理框架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  <w:t>核心功能文档梳理，整理框架内存压缩、CPU/GPU 协同调度等核心技术点，形成对内技术说明与对外推广素材</w:t>
      </w:r>
      <w:r>
        <w:rPr>
          <w:rFonts w:hint="eastAsia" w:eastAsia="宋体" w:asciiTheme="majorAscii" w:hAnsiTheme="majorAscii"/>
          <w:b w:val="0"/>
          <w:bCs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eastAsia="宋体" w:asciiTheme="majorAscii" w:hAnsiTheme="majorAscii"/>
          <w:b w:val="0"/>
          <w:bCs w:val="0"/>
          <w:color w:val="000000"/>
          <w:sz w:val="21"/>
          <w:szCs w:val="21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Theme="majorAscii" w:hAnsiTheme="majorAscii"/>
          <w:b/>
          <w:bCs/>
          <w:color w:val="000000"/>
          <w:sz w:val="21"/>
          <w:szCs w:val="21"/>
        </w:rPr>
      </w:pPr>
      <w:r>
        <w:rPr>
          <w:rFonts w:hint="default" w:asciiTheme="majorAscii" w:hAnsiTheme="majorAscii"/>
          <w:b/>
          <w:bCs/>
          <w:color w:val="000000"/>
          <w:sz w:val="21"/>
          <w:szCs w:val="21"/>
        </w:rPr>
        <w:t>问题记录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  <w:t>部分行业用户对 KTransformers 与 VLLM/Ollama 的选型差异理解模糊，需补充清晰对比说明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  <w:t>社群新用户部署教程不够细化，低算力硬件环境下的配置步骤缺失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  <w:t>项目案例推广缺少标准化话术，对外传播一致性不足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default" w:eastAsia="宋体" w:asciiTheme="majorAscii" w:hAnsiTheme="majorAscii"/>
          <w:b w:val="0"/>
          <w:bCs w:val="0"/>
          <w:color w:val="000000"/>
          <w:sz w:val="21"/>
          <w:szCs w:val="21"/>
          <w:lang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default" w:eastAsia="宋体" w:asciiTheme="majorAscii" w:hAnsiTheme="majorAscii"/>
          <w:b w:val="0"/>
          <w:bCs w:val="0"/>
          <w:color w:val="000000"/>
          <w:sz w:val="21"/>
          <w:szCs w:val="21"/>
          <w:lang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eastAsia="宋体" w:asciiTheme="majorAscii" w:hAnsiTheme="majorAscii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eastAsia="宋体" w:asciiTheme="majorAscii" w:hAnsiTheme="majorAscii"/>
          <w:b/>
          <w:bCs/>
          <w:color w:val="000000"/>
          <w:sz w:val="21"/>
          <w:szCs w:val="21"/>
          <w:lang w:val="en-US" w:eastAsia="zh-CN"/>
        </w:rPr>
        <w:t>下周计划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  <w:t>完善 KTransformers 部署教程与选型对比文档，发布至社群与 GitHub 讨论区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  <w:t>推进金航数码航空行业案例拆解，形成可对外分享的实践总结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default" w:eastAsia="宋体" w:asciiTheme="majorAscii" w:hAnsiTheme="majorAscii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pStyle w:val="3"/>
        <w:spacing w:before="65" w:line="273" w:lineRule="auto"/>
        <w:ind w:left="27"/>
        <w:jc w:val="both"/>
        <w:rPr>
          <w:spacing w:val="4"/>
        </w:rPr>
      </w:pPr>
      <w:bookmarkStart w:id="0" w:name="_GoBack"/>
      <w:bookmarkEnd w:id="0"/>
    </w:p>
    <w:sectPr>
      <w:pgSz w:w="11906" w:h="16839"/>
      <w:pgMar w:top="1431" w:right="1608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25456"/>
    <w:multiLevelType w:val="singleLevel"/>
    <w:tmpl w:val="043254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jFmZWIzNDg2MmIzZjExOTIzMmViNTBmYTMwYTk0ZWYifQ=="/>
  </w:docVars>
  <w:rsids>
    <w:rsidRoot w:val="00000000"/>
    <w:rsid w:val="01943A10"/>
    <w:rsid w:val="1EA74E8B"/>
    <w:rsid w:val="1FE3647B"/>
    <w:rsid w:val="450E1A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character" w:styleId="6">
    <w:name w:val="Strong"/>
    <w:basedOn w:val="5"/>
    <w:autoRedefine/>
    <w:qFormat/>
    <w:uiPriority w:val="0"/>
    <w:rPr>
      <w:b/>
    </w:rPr>
  </w:style>
  <w:style w:type="table" w:customStyle="1" w:styleId="7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ScaleCrop>false</ScaleCrop>
  <LinksUpToDate>false</LinksUpToDate>
  <Application>WPS Office_12.1.0.16388_F1E327BC-269C-435d-A152-05C5408002CA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2026-03-04T17:08:00Z</dcterms:created>
  <dc:creator>boshe</dc:creator>
  <cp:lastModifiedBy>BOSUN  GUAN</cp:lastModifiedBy>
  <dcterms:modified xsi:type="dcterms:W3CDTF">2026-04-03T08:54:40Z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2026-04-03T16:09:41Z</vt:filetime>
  </property>
  <property fmtid="{D5CDD505-2E9C-101B-9397-08002B2CF9AE}" pid="4" name="KSOProductBuildVer">
    <vt:lpwstr>2052-12.1.0.16388</vt:lpwstr>
  </property>
  <property fmtid="{D5CDD505-2E9C-101B-9397-08002B2CF9AE}" pid="5" name="ICV">
    <vt:lpwstr>A7B652B2FDAF44E785DE97613C0DC880_12</vt:lpwstr>
  </property>
</Properties>
</file>