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spacing w:before="162" w:line="225" w:lineRule="auto"/>
        <w:ind w:left="1308"/>
        <w:outlineLvl w:val="0"/>
        <w:rPr>
          <w:b/>
          <w:bCs/>
          <w:sz w:val="31"/>
          <w:szCs w:val="31"/>
        </w:rPr>
      </w:pPr>
      <w:r>
        <w:rPr>
          <w:b/>
          <w:bCs/>
          <w:spacing w:val="9"/>
          <w:sz w:val="31"/>
          <w:szCs w:val="31"/>
        </w:rPr>
        <w:t>客户案例分析：交通枢纽场景下的大模型</w:t>
      </w:r>
    </w:p>
    <w:p>
      <w:pPr>
        <w:spacing w:line="361" w:lineRule="auto"/>
        <w:rPr>
          <w:rFonts w:ascii="Arial"/>
          <w:sz w:val="21"/>
        </w:rPr>
      </w:pPr>
    </w:p>
    <w:p>
      <w:pPr>
        <w:pStyle w:val="3"/>
        <w:spacing w:before="78" w:line="237" w:lineRule="auto"/>
        <w:ind w:left="22" w:right="61"/>
        <w:jc w:val="both"/>
      </w:pPr>
      <w:r>
        <w:rPr>
          <w:spacing w:val="-3"/>
        </w:rPr>
        <w:t>在城市管理中，交通枢纽一直是最复杂、也是最关键的场景之一。像北京西站这</w:t>
      </w:r>
      <w:r>
        <w:rPr>
          <w:spacing w:val="1"/>
        </w:rPr>
        <w:t xml:space="preserve"> </w:t>
      </w:r>
      <w:r>
        <w:rPr>
          <w:spacing w:val="-3"/>
        </w:rPr>
        <w:t>样的地方，每天涉及大量人流、车流以及突发情况处理，背后其实是一个高度依</w:t>
      </w:r>
      <w:r>
        <w:rPr>
          <w:spacing w:val="1"/>
        </w:rPr>
        <w:t xml:space="preserve"> </w:t>
      </w:r>
      <w:r>
        <w:rPr>
          <w:spacing w:val="-3"/>
        </w:rPr>
        <w:t>赖信息处理和协同决策的系统。但在传统模式下，这些工作很大程度上还是依靠</w:t>
      </w:r>
      <w:r>
        <w:rPr>
          <w:spacing w:val="1"/>
        </w:rPr>
        <w:t xml:space="preserve"> </w:t>
      </w:r>
      <w:r>
        <w:rPr>
          <w:spacing w:val="-3"/>
        </w:rPr>
        <w:t>人工经验，不仅效率有限，而且很难做到实时响应。从这次案例来看，核心问题</w:t>
      </w:r>
      <w:r>
        <w:rPr>
          <w:spacing w:val="1"/>
        </w:rPr>
        <w:t xml:space="preserve"> </w:t>
      </w:r>
      <w:r>
        <w:rPr>
          <w:spacing w:val="-11"/>
        </w:rPr>
        <w:t>并不是“有没有数据</w:t>
      </w:r>
      <w:r>
        <w:rPr>
          <w:spacing w:val="-88"/>
        </w:rPr>
        <w:t xml:space="preserve"> </w:t>
      </w:r>
      <w:r>
        <w:rPr>
          <w:spacing w:val="-11"/>
        </w:rPr>
        <w:t>”，而是“数据太多但用不好</w:t>
      </w:r>
      <w:r>
        <w:rPr>
          <w:spacing w:val="-89"/>
        </w:rPr>
        <w:t xml:space="preserve"> </w:t>
      </w:r>
      <w:r>
        <w:rPr>
          <w:spacing w:val="-11"/>
        </w:rPr>
        <w:t>”。不</w:t>
      </w:r>
      <w:r>
        <w:rPr>
          <w:spacing w:val="-12"/>
        </w:rPr>
        <w:t>同部门的数据分散在各个</w:t>
      </w:r>
      <w:r>
        <w:t xml:space="preserve"> </w:t>
      </w:r>
      <w:r>
        <w:rPr>
          <w:spacing w:val="-3"/>
        </w:rPr>
        <w:t>系统里，格式也不统一，真正需要做决策的时候，反而很难快速整合和理解。这</w:t>
      </w:r>
      <w:r>
        <w:rPr>
          <w:spacing w:val="1"/>
        </w:rPr>
        <w:t xml:space="preserve"> </w:t>
      </w:r>
      <w:r>
        <w:rPr>
          <w:spacing w:val="-2"/>
        </w:rPr>
        <w:t>也是为什么他们会尝试用大模型来做一个“统一的大脑</w:t>
      </w:r>
      <w:r>
        <w:rPr>
          <w:spacing w:val="-78"/>
        </w:rPr>
        <w:t xml:space="preserve"> </w:t>
      </w:r>
      <w:r>
        <w:rPr>
          <w:spacing w:val="-2"/>
        </w:rPr>
        <w:t>”。</w:t>
      </w:r>
    </w:p>
    <w:p>
      <w:pPr>
        <w:spacing w:line="258" w:lineRule="auto"/>
        <w:rPr>
          <w:rFonts w:ascii="Arial"/>
          <w:sz w:val="21"/>
        </w:rPr>
      </w:pPr>
    </w:p>
    <w:p>
      <w:pPr>
        <w:pStyle w:val="3"/>
        <w:spacing w:before="78" w:line="238" w:lineRule="auto"/>
        <w:ind w:left="21"/>
        <w:jc w:val="both"/>
      </w:pPr>
      <w:r>
        <w:rPr>
          <w:spacing w:val="-3"/>
        </w:rPr>
        <w:t>但问题很现实：大模型好用是好用，成本也是真的高。像这种级别的模型，如果</w:t>
      </w:r>
      <w:r>
        <w:rPr>
          <w:spacing w:val="2"/>
        </w:rPr>
        <w:t xml:space="preserve"> </w:t>
      </w:r>
      <w:r>
        <w:rPr>
          <w:spacing w:val="-3"/>
        </w:rPr>
        <w:t>用传统方式部署，很容易就要投入一大笔硬件成本，而且对性能要求也很高，一</w:t>
      </w:r>
      <w:r>
        <w:rPr>
          <w:spacing w:val="1"/>
        </w:rPr>
        <w:t xml:space="preserve"> </w:t>
      </w:r>
      <w:r>
        <w:rPr>
          <w:spacing w:val="-3"/>
        </w:rPr>
        <w:t>旦做不到实时响应，很多场景其实是没法用的。所以这个项目真正有意思的地方</w:t>
      </w:r>
      <w:r>
        <w:rPr>
          <w:spacing w:val="1"/>
        </w:rPr>
        <w:t xml:space="preserve"> </w:t>
      </w:r>
      <w:r>
        <w:rPr>
          <w:spacing w:val="-9"/>
        </w:rPr>
        <w:t>在于，它没有走“堆硬件</w:t>
      </w:r>
      <w:r>
        <w:rPr>
          <w:spacing w:val="-78"/>
        </w:rPr>
        <w:t xml:space="preserve"> </w:t>
      </w:r>
      <w:r>
        <w:rPr>
          <w:spacing w:val="-9"/>
        </w:rPr>
        <w:t>”的路线，而是换了一种思路：尽量在现有资源条件下，</w:t>
      </w:r>
      <w:r>
        <w:t xml:space="preserve"> </w:t>
      </w:r>
      <w:r>
        <w:rPr>
          <w:spacing w:val="-3"/>
        </w:rPr>
        <w:t>把算力用到极致。比如通过不同计算资源的组合使用，让模型既能跑得动，又不</w:t>
      </w:r>
      <w:r>
        <w:rPr>
          <w:spacing w:val="1"/>
        </w:rPr>
        <w:t xml:space="preserve"> </w:t>
      </w:r>
      <w:r>
        <w:rPr>
          <w:spacing w:val="-3"/>
        </w:rPr>
        <w:t>至于成本失控；再加上一些优化手段，让模型在不明显牺牲效果的情况下，保持</w:t>
      </w:r>
      <w:r>
        <w:rPr>
          <w:spacing w:val="1"/>
        </w:rPr>
        <w:t xml:space="preserve"> </w:t>
      </w:r>
      <w:r>
        <w:rPr>
          <w:spacing w:val="-3"/>
        </w:rPr>
        <w:t>比较高的运行效率。在这个基础上，他们不是单纯做一个大模型，而是把它拆成</w:t>
      </w:r>
      <w:r>
        <w:rPr>
          <w:spacing w:val="1"/>
        </w:rPr>
        <w:t xml:space="preserve"> </w:t>
      </w:r>
      <w:r>
        <w:rPr>
          <w:spacing w:val="-4"/>
        </w:rPr>
        <w:t>多个“能干具体活的工具</w:t>
      </w:r>
      <w:r>
        <w:rPr>
          <w:spacing w:val="-84"/>
        </w:rPr>
        <w:t xml:space="preserve"> </w:t>
      </w:r>
      <w:r>
        <w:rPr>
          <w:spacing w:val="-4"/>
        </w:rPr>
        <w:t>”。比如写报告的、回答问题的、辅助调度的，每一个</w:t>
      </w:r>
      <w:r>
        <w:t xml:space="preserve"> </w:t>
      </w:r>
      <w:r>
        <w:rPr>
          <w:spacing w:val="-4"/>
        </w:rPr>
        <w:t>都对应实际业务中的一个环节。这样做的好处是，模型不再是一个“黑盒</w:t>
      </w:r>
      <w:r>
        <w:rPr>
          <w:spacing w:val="-86"/>
        </w:rPr>
        <w:t xml:space="preserve"> </w:t>
      </w:r>
      <w:r>
        <w:rPr>
          <w:spacing w:val="-4"/>
        </w:rPr>
        <w:t>”，而</w:t>
      </w:r>
      <w:r>
        <w:t xml:space="preserve"> </w:t>
      </w:r>
      <w:r>
        <w:rPr>
          <w:spacing w:val="-1"/>
        </w:rPr>
        <w:t>是可以嵌入到具体流程里，直接帮人干活。</w:t>
      </w:r>
    </w:p>
    <w:p>
      <w:pPr>
        <w:spacing w:line="256" w:lineRule="auto"/>
        <w:rPr>
          <w:rFonts w:ascii="Arial"/>
          <w:sz w:val="21"/>
        </w:rPr>
      </w:pPr>
    </w:p>
    <w:p>
      <w:pPr>
        <w:pStyle w:val="3"/>
        <w:spacing w:before="78" w:line="237" w:lineRule="auto"/>
        <w:ind w:left="22" w:firstLine="3"/>
        <w:jc w:val="both"/>
      </w:pPr>
      <w:r>
        <w:rPr>
          <w:spacing w:val="-3"/>
        </w:rPr>
        <w:t>从结果来看，这种方式确实解决了一些原本很难解决的问题。比如一些需要</w:t>
      </w:r>
      <w:r>
        <w:rPr>
          <w:spacing w:val="-4"/>
        </w:rPr>
        <w:t>人工</w:t>
      </w:r>
      <w:r>
        <w:t xml:space="preserve"> </w:t>
      </w:r>
      <w:r>
        <w:rPr>
          <w:spacing w:val="-8"/>
        </w:rPr>
        <w:t>反复判断的情况，现在可以更快得到参考意见：一些原本处理周期比较长的工作，</w:t>
      </w:r>
      <w:r>
        <w:rPr>
          <w:spacing w:val="6"/>
        </w:rPr>
        <w:t xml:space="preserve"> </w:t>
      </w:r>
      <w:r>
        <w:rPr>
          <w:spacing w:val="-4"/>
        </w:rPr>
        <w:t>也被明显压缩。这种变化不是“完全替代人</w:t>
      </w:r>
      <w:r>
        <w:rPr>
          <w:spacing w:val="-84"/>
        </w:rPr>
        <w:t xml:space="preserve"> </w:t>
      </w:r>
      <w:r>
        <w:rPr>
          <w:spacing w:val="-4"/>
        </w:rPr>
        <w:t>”，而是让很多决策过程变得更有依</w:t>
      </w:r>
      <w:r>
        <w:t xml:space="preserve"> </w:t>
      </w:r>
      <w:r>
        <w:rPr>
          <w:spacing w:val="-3"/>
        </w:rPr>
        <w:t>据。如果从更大的角度来看，这个案例其实反映了一个趋势：大模型在行业里的</w:t>
      </w:r>
      <w:r>
        <w:rPr>
          <w:spacing w:val="1"/>
        </w:rPr>
        <w:t xml:space="preserve"> </w:t>
      </w:r>
      <w:r>
        <w:rPr>
          <w:spacing w:val="-5"/>
        </w:rPr>
        <w:t>应用，正在从“展示能力</w:t>
      </w:r>
      <w:r>
        <w:rPr>
          <w:spacing w:val="-80"/>
        </w:rPr>
        <w:t xml:space="preserve"> </w:t>
      </w:r>
      <w:r>
        <w:rPr>
          <w:spacing w:val="-5"/>
        </w:rPr>
        <w:t>”转向“解决具体问题</w:t>
      </w:r>
      <w:r>
        <w:rPr>
          <w:spacing w:val="-89"/>
        </w:rPr>
        <w:t xml:space="preserve"> </w:t>
      </w:r>
      <w:r>
        <w:rPr>
          <w:spacing w:val="-5"/>
        </w:rPr>
        <w:t>”。大家开始关心的，不再是模</w:t>
      </w:r>
      <w:r>
        <w:t xml:space="preserve"> </w:t>
      </w:r>
      <w:r>
        <w:rPr>
          <w:spacing w:val="-1"/>
        </w:rPr>
        <w:t>型有多大，而是能不能在现实条件下跑起来、用起来。</w:t>
      </w:r>
    </w:p>
    <w:p>
      <w:pPr>
        <w:spacing w:line="258" w:lineRule="auto"/>
        <w:rPr>
          <w:rFonts w:ascii="Arial"/>
          <w:sz w:val="21"/>
        </w:rPr>
      </w:pPr>
    </w:p>
    <w:p>
      <w:pPr>
        <w:pStyle w:val="3"/>
        <w:spacing w:before="78" w:line="236" w:lineRule="auto"/>
        <w:ind w:left="22" w:right="61" w:firstLine="2"/>
        <w:jc w:val="both"/>
        <w:rPr>
          <w:spacing w:val="-1"/>
        </w:rPr>
      </w:pPr>
      <w:r>
        <w:rPr>
          <w:spacing w:val="-3"/>
        </w:rPr>
        <w:t>尤其是在像交通、政务这类对稳定性和成本都很敏感的场景里，“用得起、用得</w:t>
      </w:r>
      <w:r>
        <w:t xml:space="preserve"> </w:t>
      </w:r>
      <w:r>
        <w:rPr>
          <w:spacing w:val="-5"/>
        </w:rPr>
        <w:t>稳</w:t>
      </w:r>
      <w:r>
        <w:rPr>
          <w:spacing w:val="-80"/>
        </w:rPr>
        <w:t xml:space="preserve"> </w:t>
      </w:r>
      <w:r>
        <w:rPr>
          <w:spacing w:val="-5"/>
        </w:rPr>
        <w:t>”往往比“最先进</w:t>
      </w:r>
      <w:r>
        <w:rPr>
          <w:spacing w:val="-89"/>
        </w:rPr>
        <w:t xml:space="preserve"> </w:t>
      </w:r>
      <w:r>
        <w:rPr>
          <w:spacing w:val="-5"/>
        </w:rPr>
        <w:t>”更重要。这也意味着，未来的竞争不只是模型本身，而是</w:t>
      </w:r>
      <w:r>
        <w:t xml:space="preserve"> </w:t>
      </w:r>
      <w:r>
        <w:rPr>
          <w:spacing w:val="-3"/>
        </w:rPr>
        <w:t>谁能把模型真正落到业务里，并且让它长期可用。整体来说，这个案例更像是一</w:t>
      </w:r>
      <w:r>
        <w:t xml:space="preserve"> </w:t>
      </w:r>
      <w:r>
        <w:rPr>
          <w:spacing w:val="-4"/>
        </w:rPr>
        <w:t>个“试验成功的样本</w:t>
      </w:r>
      <w:r>
        <w:rPr>
          <w:spacing w:val="-86"/>
        </w:rPr>
        <w:t xml:space="preserve"> </w:t>
      </w:r>
      <w:r>
        <w:rPr>
          <w:spacing w:val="-4"/>
        </w:rPr>
        <w:t>”，它不一定是最极致的技术方案，但提供了一种比较现实</w:t>
      </w:r>
      <w:r>
        <w:t xml:space="preserve"> </w:t>
      </w:r>
      <w:r>
        <w:rPr>
          <w:spacing w:val="-1"/>
        </w:rPr>
        <w:t>的路径，让大模型能够在复杂场景中逐步发挥作用。</w:t>
      </w:r>
    </w:p>
    <w:p>
      <w:pPr>
        <w:pStyle w:val="3"/>
        <w:spacing w:before="78" w:line="236" w:lineRule="auto"/>
        <w:ind w:left="22" w:right="61" w:firstLine="2"/>
        <w:jc w:val="both"/>
        <w:rPr>
          <w:spacing w:val="-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default" w:asciiTheme="majorAscii" w:hAnsiTheme="majorAscii"/>
          <w:b/>
          <w:bCs/>
          <w:color w:val="000000"/>
          <w:sz w:val="21"/>
          <w:szCs w:val="21"/>
        </w:rPr>
      </w:pPr>
      <w:r>
        <w:rPr>
          <w:rFonts w:hint="default" w:asciiTheme="majorAscii" w:hAnsiTheme="majorAscii"/>
          <w:b/>
          <w:bCs/>
          <w:color w:val="000000"/>
          <w:sz w:val="21"/>
          <w:szCs w:val="21"/>
          <w:bdr w:val="none" w:color="auto" w:sz="0" w:space="0"/>
        </w:rPr>
        <w:t>本周进展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right="0" w:rightChars="0"/>
        <w:rPr>
          <w:rFonts w:hint="default" w:asciiTheme="majorAscii" w:hAnsiTheme="majorAscii"/>
          <w:b w:val="0"/>
          <w:bCs w:val="0"/>
          <w:color w:val="000000"/>
          <w:sz w:val="21"/>
          <w:szCs w:val="21"/>
          <w:bdr w:val="none" w:color="auto" w:sz="0" w:space="0"/>
        </w:rPr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20" w:leftChars="0" w:right="0" w:rightChars="0" w:hanging="420" w:firstLineChars="0"/>
        <w:rPr>
          <w:rFonts w:hint="default" w:asciiTheme="majorAscii" w:hAnsiTheme="majorAscii"/>
          <w:b w:val="0"/>
          <w:bCs w:val="0"/>
          <w:color w:val="000000"/>
          <w:sz w:val="21"/>
          <w:szCs w:val="21"/>
          <w:bdr w:val="none" w:color="auto" w:sz="0" w:space="0"/>
        </w:rPr>
      </w:pPr>
      <w:r>
        <w:rPr>
          <w:rFonts w:hint="default" w:asciiTheme="majorAscii" w:hAnsiTheme="majorAscii"/>
          <w:b w:val="0"/>
          <w:bCs w:val="0"/>
          <w:color w:val="000000"/>
          <w:sz w:val="21"/>
          <w:szCs w:val="21"/>
          <w:bdr w:val="none" w:color="auto" w:sz="0" w:space="0"/>
        </w:rPr>
        <w:t>完成</w:t>
      </w:r>
      <w:r>
        <w:rPr>
          <w:rStyle w:val="6"/>
          <w:rFonts w:hint="default" w:asciiTheme="majorAscii" w:hAnsiTheme="majorAscii"/>
          <w:b w:val="0"/>
          <w:bCs w:val="0"/>
          <w:color w:val="000000"/>
          <w:sz w:val="21"/>
          <w:szCs w:val="21"/>
          <w:bdr w:val="none" w:color="auto" w:sz="0" w:space="0"/>
        </w:rPr>
        <w:t>交通枢纽场景大模型落地案例</w:t>
      </w:r>
      <w:r>
        <w:rPr>
          <w:rFonts w:hint="default" w:asciiTheme="majorAscii" w:hAnsiTheme="majorAscii"/>
          <w:b w:val="0"/>
          <w:bCs w:val="0"/>
          <w:color w:val="000000"/>
          <w:sz w:val="21"/>
          <w:szCs w:val="21"/>
          <w:bdr w:val="none" w:color="auto" w:sz="0" w:space="0"/>
        </w:rPr>
        <w:t>全流程拆解，提炼 KTransformers 在</w:t>
      </w:r>
      <w:r>
        <w:rPr>
          <w:rStyle w:val="6"/>
          <w:rFonts w:hint="default" w:asciiTheme="majorAscii" w:hAnsiTheme="majorAscii"/>
          <w:b w:val="0"/>
          <w:bCs w:val="0"/>
          <w:color w:val="000000"/>
          <w:sz w:val="21"/>
          <w:szCs w:val="21"/>
          <w:bdr w:val="none" w:color="auto" w:sz="0" w:space="0"/>
        </w:rPr>
        <w:t>资源受限、成本可控、私有化稳定运行、多业务工具化拆分</w:t>
      </w:r>
      <w:r>
        <w:rPr>
          <w:rFonts w:hint="default" w:asciiTheme="majorAscii" w:hAnsiTheme="majorAscii"/>
          <w:b w:val="0"/>
          <w:bCs w:val="0"/>
          <w:color w:val="000000"/>
          <w:sz w:val="21"/>
          <w:szCs w:val="21"/>
          <w:bdr w:val="none" w:color="auto" w:sz="0" w:space="0"/>
        </w:rPr>
        <w:t>的核心适配价值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right="0" w:rightChars="0"/>
        <w:rPr>
          <w:rFonts w:hint="default" w:asciiTheme="majorAscii" w:hAnsiTheme="majorAscii"/>
          <w:b w:val="0"/>
          <w:bCs w:val="0"/>
          <w:color w:val="000000"/>
          <w:sz w:val="21"/>
          <w:szCs w:val="21"/>
          <w:bdr w:val="none" w:color="auto" w:sz="0" w:space="0"/>
        </w:rPr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20" w:leftChars="0" w:right="0" w:rightChars="0" w:hanging="420" w:firstLineChars="0"/>
        <w:rPr>
          <w:rFonts w:hint="default" w:asciiTheme="majorAscii" w:hAnsiTheme="majorAscii"/>
          <w:b w:val="0"/>
          <w:bCs w:val="0"/>
          <w:color w:val="000000"/>
          <w:sz w:val="21"/>
          <w:szCs w:val="21"/>
        </w:rPr>
      </w:pPr>
      <w:r>
        <w:rPr>
          <w:rFonts w:hint="default" w:asciiTheme="majorAscii" w:hAnsiTheme="majorAscii"/>
          <w:b w:val="0"/>
          <w:bCs w:val="0"/>
          <w:color w:val="000000"/>
          <w:sz w:val="21"/>
          <w:szCs w:val="21"/>
          <w:bdr w:val="none" w:color="auto" w:sz="0" w:space="0"/>
        </w:rPr>
        <w:t>基于交通 / 政务类项目需求，更新社群推广素材，新增</w:t>
      </w:r>
      <w:r>
        <w:rPr>
          <w:rStyle w:val="6"/>
          <w:rFonts w:hint="default" w:asciiTheme="majorAscii" w:hAnsiTheme="majorAscii"/>
          <w:b w:val="0"/>
          <w:bCs w:val="0"/>
          <w:color w:val="000000"/>
          <w:sz w:val="21"/>
          <w:szCs w:val="21"/>
          <w:bdr w:val="none" w:color="auto" w:sz="0" w:space="0"/>
        </w:rPr>
        <w:t>高并发实时推理、多部门数据协同、低硬件成本部署</w:t>
      </w:r>
      <w:r>
        <w:rPr>
          <w:rFonts w:hint="default" w:asciiTheme="majorAscii" w:hAnsiTheme="majorAscii"/>
          <w:b w:val="0"/>
          <w:bCs w:val="0"/>
          <w:color w:val="000000"/>
          <w:sz w:val="21"/>
          <w:szCs w:val="21"/>
          <w:bdr w:val="none" w:color="auto" w:sz="0" w:space="0"/>
        </w:rPr>
        <w:t>等场景化卖点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Chars="0" w:right="0" w:rightChars="0"/>
        <w:rPr>
          <w:rFonts w:hint="default" w:asciiTheme="majorAscii" w:hAnsiTheme="majorAscii"/>
          <w:b w:val="0"/>
          <w:bCs w:val="0"/>
          <w:color w:val="000000"/>
          <w:sz w:val="21"/>
          <w:szCs w:val="21"/>
          <w:bdr w:val="none" w:color="auto" w:sz="0" w:space="0"/>
        </w:rPr>
      </w:pP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Chars="0" w:right="0" w:rightChars="0"/>
        <w:rPr>
          <w:rFonts w:hint="eastAsia" w:eastAsia="宋体" w:asciiTheme="majorAscii" w:hAnsiTheme="majorAscii"/>
          <w:b/>
          <w:bCs/>
          <w:color w:val="000000"/>
          <w:sz w:val="21"/>
          <w:szCs w:val="21"/>
          <w:bdr w:val="none" w:color="auto" w:sz="0" w:space="0"/>
          <w:lang w:val="en-US" w:eastAsia="zh-CN"/>
        </w:rPr>
      </w:pPr>
      <w:r>
        <w:rPr>
          <w:rFonts w:hint="eastAsia" w:eastAsia="宋体" w:asciiTheme="majorAscii" w:hAnsiTheme="majorAscii"/>
          <w:b/>
          <w:bCs/>
          <w:color w:val="000000"/>
          <w:sz w:val="21"/>
          <w:szCs w:val="21"/>
          <w:bdr w:val="none" w:color="auto" w:sz="0" w:space="0"/>
          <w:lang w:val="en-US" w:eastAsia="zh-CN"/>
        </w:rPr>
        <w:t>问题记录：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20" w:leftChars="0" w:right="0" w:hanging="420" w:firstLineChars="0"/>
        <w:rPr>
          <w:rFonts w:hint="default" w:asciiTheme="majorAscii" w:hAnsiTheme="majorAscii"/>
          <w:b w:val="0"/>
          <w:bCs w:val="0"/>
          <w:color w:val="000000"/>
          <w:sz w:val="21"/>
          <w:szCs w:val="21"/>
        </w:rPr>
      </w:pPr>
      <w:r>
        <w:rPr>
          <w:rFonts w:hint="default" w:asciiTheme="majorAscii" w:hAnsiTheme="majorAscii"/>
          <w:b w:val="0"/>
          <w:bCs w:val="0"/>
          <w:color w:val="000000"/>
          <w:sz w:val="21"/>
          <w:szCs w:val="21"/>
          <w:bdr w:val="none" w:color="auto" w:sz="0" w:space="0"/>
        </w:rPr>
        <w:t>交通 / 政务类客户对</w:t>
      </w:r>
      <w:r>
        <w:rPr>
          <w:rStyle w:val="6"/>
          <w:rFonts w:hint="default" w:asciiTheme="majorAscii" w:hAnsiTheme="majorAscii"/>
          <w:b w:val="0"/>
          <w:bCs w:val="0"/>
          <w:color w:val="000000"/>
          <w:sz w:val="21"/>
          <w:szCs w:val="21"/>
          <w:bdr w:val="none" w:color="auto" w:sz="0" w:space="0"/>
        </w:rPr>
        <w:t>安全隔离、权限管控、日志审计</w:t>
      </w:r>
      <w:r>
        <w:rPr>
          <w:rFonts w:hint="default" w:asciiTheme="majorAscii" w:hAnsiTheme="majorAscii"/>
          <w:b w:val="0"/>
          <w:bCs w:val="0"/>
          <w:color w:val="000000"/>
          <w:sz w:val="21"/>
          <w:szCs w:val="21"/>
          <w:bdr w:val="none" w:color="auto" w:sz="0" w:space="0"/>
        </w:rPr>
        <w:t>等治理能力要求更高，现有宣传材料覆盖不足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20" w:leftChars="0" w:right="0" w:hanging="420" w:firstLineChars="0"/>
        <w:rPr>
          <w:rFonts w:hint="default" w:asciiTheme="majorAscii" w:hAnsiTheme="majorAscii"/>
          <w:b w:val="0"/>
          <w:bCs w:val="0"/>
          <w:color w:val="000000"/>
          <w:sz w:val="21"/>
          <w:szCs w:val="21"/>
        </w:rPr>
      </w:pPr>
      <w:r>
        <w:rPr>
          <w:rFonts w:hint="default" w:asciiTheme="majorAscii" w:hAnsiTheme="majorAscii"/>
          <w:b w:val="0"/>
          <w:bCs w:val="0"/>
          <w:color w:val="000000"/>
          <w:sz w:val="21"/>
          <w:szCs w:val="21"/>
          <w:bdr w:val="none" w:color="auto" w:sz="0" w:space="0"/>
        </w:rPr>
        <w:t>复杂场景下多任务拆分推理的</w:t>
      </w:r>
      <w:r>
        <w:rPr>
          <w:rStyle w:val="6"/>
          <w:rFonts w:hint="default" w:asciiTheme="majorAscii" w:hAnsiTheme="majorAscii"/>
          <w:b w:val="0"/>
          <w:bCs w:val="0"/>
          <w:color w:val="000000"/>
          <w:sz w:val="21"/>
          <w:szCs w:val="21"/>
          <w:bdr w:val="none" w:color="auto" w:sz="0" w:space="0"/>
        </w:rPr>
        <w:t>最佳实践文档缺失</w:t>
      </w:r>
      <w:r>
        <w:rPr>
          <w:rFonts w:hint="default" w:asciiTheme="majorAscii" w:hAnsiTheme="majorAscii"/>
          <w:b w:val="0"/>
          <w:bCs w:val="0"/>
          <w:color w:val="000000"/>
          <w:sz w:val="21"/>
          <w:szCs w:val="21"/>
          <w:bdr w:val="none" w:color="auto" w:sz="0" w:space="0"/>
        </w:rPr>
        <w:t>，用户自行落地难度较大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20" w:leftChars="0" w:right="0" w:hanging="420" w:firstLineChars="0"/>
        <w:rPr>
          <w:rFonts w:hint="default" w:asciiTheme="majorAscii" w:hAnsiTheme="majorAscii"/>
          <w:b w:val="0"/>
          <w:bCs w:val="0"/>
          <w:color w:val="000000"/>
          <w:sz w:val="21"/>
          <w:szCs w:val="21"/>
        </w:rPr>
      </w:pPr>
      <w:r>
        <w:rPr>
          <w:rFonts w:hint="default" w:asciiTheme="majorAscii" w:hAnsiTheme="majorAscii"/>
          <w:b w:val="0"/>
          <w:bCs w:val="0"/>
          <w:color w:val="000000"/>
          <w:sz w:val="21"/>
          <w:szCs w:val="21"/>
          <w:bdr w:val="none" w:color="auto" w:sz="0" w:space="0"/>
        </w:rPr>
        <w:t>政企项目决策更看重</w:t>
      </w:r>
      <w:r>
        <w:rPr>
          <w:rStyle w:val="6"/>
          <w:rFonts w:hint="default" w:asciiTheme="majorAscii" w:hAnsiTheme="majorAscii"/>
          <w:b w:val="0"/>
          <w:bCs w:val="0"/>
          <w:color w:val="000000"/>
          <w:sz w:val="21"/>
          <w:szCs w:val="21"/>
          <w:bdr w:val="none" w:color="auto" w:sz="0" w:space="0"/>
        </w:rPr>
        <w:t>成本收益量化数据</w:t>
      </w:r>
      <w:r>
        <w:rPr>
          <w:rFonts w:hint="default" w:asciiTheme="majorAscii" w:hAnsiTheme="majorAscii"/>
          <w:b w:val="0"/>
          <w:bCs w:val="0"/>
          <w:color w:val="000000"/>
          <w:sz w:val="21"/>
          <w:szCs w:val="21"/>
          <w:bdr w:val="none" w:color="auto" w:sz="0" w:space="0"/>
        </w:rPr>
        <w:t>，目前缺少可直接展示的投入产出对比材料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Chars="0" w:right="0" w:rightChars="0"/>
        <w:rPr>
          <w:rFonts w:hint="default" w:asciiTheme="majorAscii" w:hAnsiTheme="majorAscii"/>
          <w:b w:val="0"/>
          <w:bCs w:val="0"/>
          <w:color w:val="000000"/>
          <w:sz w:val="21"/>
          <w:szCs w:val="21"/>
          <w:bdr w:val="none" w:color="auto" w:sz="0" w:space="0"/>
        </w:rPr>
      </w:pP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Chars="0" w:right="0" w:rightChars="0"/>
        <w:rPr>
          <w:rFonts w:hint="eastAsia" w:eastAsia="宋体" w:asciiTheme="majorAscii" w:hAnsiTheme="majorAscii"/>
          <w:b/>
          <w:bCs/>
          <w:color w:val="000000"/>
          <w:sz w:val="21"/>
          <w:szCs w:val="21"/>
          <w:bdr w:val="none" w:color="auto" w:sz="0" w:space="0"/>
          <w:lang w:val="en-US" w:eastAsia="zh-CN"/>
        </w:rPr>
      </w:pPr>
      <w:r>
        <w:rPr>
          <w:rFonts w:hint="eastAsia" w:eastAsia="宋体" w:asciiTheme="majorAscii" w:hAnsiTheme="majorAscii"/>
          <w:b/>
          <w:bCs/>
          <w:color w:val="000000"/>
          <w:sz w:val="21"/>
          <w:szCs w:val="21"/>
          <w:bdr w:val="none" w:color="auto" w:sz="0" w:space="0"/>
          <w:lang w:val="en-US" w:eastAsia="zh-CN"/>
        </w:rPr>
        <w:t>下周计划：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Chars="0" w:right="0" w:rightChars="0"/>
        <w:rPr>
          <w:rFonts w:hint="eastAsia" w:eastAsia="宋体" w:asciiTheme="majorAscii" w:hAnsiTheme="majorAscii"/>
          <w:b w:val="0"/>
          <w:bCs w:val="0"/>
          <w:color w:val="000000"/>
          <w:sz w:val="21"/>
          <w:szCs w:val="21"/>
          <w:bdr w:val="none" w:color="auto" w:sz="0" w:space="0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20" w:leftChars="0" w:right="0" w:hanging="420" w:firstLineChars="0"/>
        <w:rPr>
          <w:rFonts w:hint="default" w:asciiTheme="majorAscii" w:hAnsiTheme="majorAscii"/>
          <w:b w:val="0"/>
          <w:bCs w:val="0"/>
          <w:color w:val="000000"/>
          <w:sz w:val="21"/>
          <w:szCs w:val="21"/>
        </w:rPr>
      </w:pPr>
      <w:r>
        <w:rPr>
          <w:rFonts w:hint="default" w:asciiTheme="majorAscii" w:hAnsiTheme="majorAscii"/>
          <w:b w:val="0"/>
          <w:bCs w:val="0"/>
          <w:color w:val="000000"/>
          <w:sz w:val="21"/>
          <w:szCs w:val="21"/>
          <w:bdr w:val="none" w:color="auto" w:sz="0" w:space="0"/>
        </w:rPr>
        <w:t>启动</w:t>
      </w:r>
      <w:r>
        <w:rPr>
          <w:rStyle w:val="6"/>
          <w:rFonts w:hint="default" w:asciiTheme="majorAscii" w:hAnsiTheme="majorAscii"/>
          <w:b w:val="0"/>
          <w:bCs w:val="0"/>
          <w:color w:val="000000"/>
          <w:sz w:val="21"/>
          <w:szCs w:val="21"/>
          <w:bdr w:val="none" w:color="auto" w:sz="0" w:space="0"/>
        </w:rPr>
        <w:t>成本收益量化说明</w:t>
      </w:r>
      <w:r>
        <w:rPr>
          <w:rFonts w:hint="default" w:asciiTheme="majorAscii" w:hAnsiTheme="majorAscii"/>
          <w:b w:val="0"/>
          <w:bCs w:val="0"/>
          <w:color w:val="000000"/>
          <w:sz w:val="21"/>
          <w:szCs w:val="21"/>
          <w:bdr w:val="none" w:color="auto" w:sz="0" w:space="0"/>
        </w:rPr>
        <w:t>初稿编写，用案例数据支撑 “降本增效” 核心优势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20" w:leftChars="0" w:right="0" w:hanging="420" w:firstLineChars="0"/>
        <w:rPr>
          <w:rFonts w:hint="default" w:asciiTheme="majorAscii" w:hAnsiTheme="majorAscii"/>
          <w:b w:val="0"/>
          <w:bCs w:val="0"/>
          <w:color w:val="000000"/>
          <w:sz w:val="21"/>
          <w:szCs w:val="21"/>
        </w:rPr>
      </w:pPr>
      <w:r>
        <w:rPr>
          <w:rFonts w:hint="default" w:asciiTheme="majorAscii" w:hAnsiTheme="majorAscii"/>
          <w:b w:val="0"/>
          <w:bCs w:val="0"/>
          <w:color w:val="000000"/>
          <w:sz w:val="21"/>
          <w:szCs w:val="21"/>
          <w:bdr w:val="none" w:color="auto" w:sz="0" w:space="0"/>
        </w:rPr>
        <w:t>持续整理社区</w:t>
      </w:r>
      <w:r>
        <w:rPr>
          <w:rFonts w:hint="eastAsia" w:eastAsia="宋体" w:asciiTheme="majorAscii" w:hAnsiTheme="majorAscii"/>
          <w:b w:val="0"/>
          <w:bCs w:val="0"/>
          <w:color w:val="000000"/>
          <w:sz w:val="21"/>
          <w:szCs w:val="21"/>
          <w:bdr w:val="none" w:color="auto" w:sz="0" w:space="0"/>
          <w:lang w:val="en-US" w:eastAsia="zh-CN"/>
        </w:rPr>
        <w:t>问题</w:t>
      </w:r>
      <w:r>
        <w:rPr>
          <w:rFonts w:hint="default" w:asciiTheme="majorAscii" w:hAnsiTheme="majorAscii"/>
          <w:b w:val="0"/>
          <w:bCs w:val="0"/>
          <w:color w:val="000000"/>
          <w:sz w:val="21"/>
          <w:szCs w:val="21"/>
          <w:bdr w:val="none" w:color="auto" w:sz="0" w:space="0"/>
        </w:rPr>
        <w:t>与用户需求，重点跟进高并发、私有化、长期稳定运行相关优化建议</w:t>
      </w:r>
      <w:bookmarkStart w:id="0" w:name="_GoBack"/>
      <w:bookmarkEnd w:id="0"/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Chars="0" w:right="0" w:rightChars="0"/>
        <w:rPr>
          <w:rFonts w:hint="eastAsia" w:eastAsia="宋体" w:asciiTheme="majorAscii" w:hAnsiTheme="majorAscii"/>
          <w:b w:val="0"/>
          <w:bCs w:val="0"/>
          <w:color w:val="000000"/>
          <w:sz w:val="21"/>
          <w:szCs w:val="21"/>
          <w:bdr w:val="none" w:color="auto" w:sz="0" w:space="0"/>
          <w:lang w:val="en-US" w:eastAsia="zh-CN"/>
        </w:rPr>
      </w:pP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Chars="0" w:right="0" w:rightChars="0"/>
        <w:rPr>
          <w:rFonts w:hint="default" w:eastAsia="宋体" w:asciiTheme="majorAscii" w:hAnsiTheme="majorAscii"/>
          <w:b w:val="0"/>
          <w:bCs w:val="0"/>
          <w:color w:val="000000"/>
          <w:sz w:val="21"/>
          <w:szCs w:val="21"/>
          <w:bdr w:val="none" w:color="auto" w:sz="0" w:space="0"/>
          <w:lang w:val="en-US" w:eastAsia="zh-CN"/>
        </w:rPr>
      </w:pPr>
    </w:p>
    <w:p>
      <w:pPr>
        <w:pStyle w:val="3"/>
        <w:spacing w:before="78" w:line="236" w:lineRule="auto"/>
        <w:ind w:left="22" w:right="61" w:firstLine="2"/>
        <w:jc w:val="both"/>
        <w:rPr>
          <w:spacing w:val="-1"/>
        </w:rPr>
      </w:pPr>
    </w:p>
    <w:sectPr>
      <w:pgSz w:w="11906" w:h="16839"/>
      <w:pgMar w:top="1431" w:right="1738" w:bottom="0" w:left="1785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Agency FB">
    <w:panose1 w:val="020B0503020202020204"/>
    <w:charset w:val="00"/>
    <w:family w:val="auto"/>
    <w:pitch w:val="default"/>
    <w:sig w:usb0="00000003" w:usb1="00000000" w:usb2="00000000" w:usb3="00000000" w:csb0="20000001" w:csb1="00000000"/>
  </w:font>
  <w:font w:name="Bahnschrift Condensed">
    <w:panose1 w:val="020B0502040204020203"/>
    <w:charset w:val="00"/>
    <w:family w:val="auto"/>
    <w:pitch w:val="default"/>
    <w:sig w:usb0="A00002C7" w:usb1="00000002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B4E17F7"/>
    <w:multiLevelType w:val="singleLevel"/>
    <w:tmpl w:val="AB4E17F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</w:compat>
  <w:docVars>
    <w:docVar w:name="commondata" w:val="eyJoZGlkIjoiZjFmZWIzNDg2MmIzZjExOTIzMmViNTBmYTMwYTk0ZWYifQ=="/>
  </w:docVars>
  <w:rsids>
    <w:rsidRoot w:val="00000000"/>
    <w:rsid w:val="70A6671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宋体" w:hAnsi="宋体" w:eastAsia="宋体" w:cs="宋体"/>
      <w:sz w:val="24"/>
      <w:szCs w:val="24"/>
      <w:lang w:val="en-US" w:eastAsia="en-US" w:bidi="ar-SA"/>
    </w:rPr>
  </w:style>
  <w:style w:type="character" w:styleId="6">
    <w:name w:val="Strong"/>
    <w:basedOn w:val="5"/>
    <w:qFormat/>
    <w:uiPriority w:val="0"/>
    <w:rPr>
      <w:b/>
    </w:rPr>
  </w:style>
  <w:style w:type="table" w:customStyle="1" w:styleId="7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4</TotalTime>
  <ScaleCrop>false</ScaleCrop>
  <LinksUpToDate>false</LinksUpToDate>
  <Application>WPS Office_12.1.0.16388_F1E327BC-269C-435d-A152-05C5408002CA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2026-03-31T14:07:00Z</dcterms:created>
  <dc:creator>boshe</dc:creator>
  <cp:lastModifiedBy>BOSUN  GUAN</cp:lastModifiedBy>
  <dcterms:modified xsi:type="dcterms:W3CDTF">2026-04-03T09:22:51Z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wqlLaW5nc29mdCBQREYgdG8gV1BTIDkw</vt:lpwstr>
  </property>
  <property fmtid="{D5CDD505-2E9C-101B-9397-08002B2CF9AE}" pid="3" name="Created">
    <vt:filetime>2026-04-03T17:16:51Z</vt:filetime>
  </property>
  <property fmtid="{D5CDD505-2E9C-101B-9397-08002B2CF9AE}" pid="4" name="KSOProductBuildVer">
    <vt:lpwstr>2052-12.1.0.16388</vt:lpwstr>
  </property>
  <property fmtid="{D5CDD505-2E9C-101B-9397-08002B2CF9AE}" pid="5" name="ICV">
    <vt:lpwstr>BAB17AFDC2314FC384B577A182605523_12</vt:lpwstr>
  </property>
</Properties>
</file>