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6C02C0" w14:textId="77777777" w:rsidR="00595E10" w:rsidRPr="00595E10" w:rsidRDefault="00595E10" w:rsidP="00595E10">
      <w:proofErr w:type="gramStart"/>
      <w:r w:rsidRPr="00595E10">
        <w:t>:::</w:t>
      </w:r>
      <w:proofErr w:type="gramEnd"/>
      <w:r w:rsidRPr="00595E10">
        <w:t xml:space="preserve">writing{variant="document" id="92641"} # Chapter 3L # Derivatives · Futures · Options · Structured Gold Products Architecture --- # Section 1641 # Gold Options Architecture Gold Option은 보유자에게 미래의 특정 시점 또는 기간 내에 기초 금 자산을 정해진 가격으로 매수하거나 매도할 수 있는 권리를 제공한다. Option Buyer는 권리를 가지지만 반드시 행사할 의무는 없다. Option Writer는 Option이 행사될 경우 계약을 이행할 의무를 부담한다. 지원 기초자산: ```text Gold Principal Right Gold FT GOLDPEG Gold ETF Token Gold NFT Principal Collectible Premium Right Gold Futures Position Approved Gold Index ``` --- # Section 1642 # Call Option Call Option은 기초자산을 Strike Price로 매수할 수 있는 권리이다. ```text Call Payoff = Maximum of: Underlying Settlement Price </w:t>
      </w:r>
      <w:r w:rsidRPr="00595E10">
        <w:rPr>
          <w:rFonts w:ascii="바탕" w:eastAsia="바탕" w:hAnsi="바탕" w:cs="바탕" w:hint="eastAsia"/>
        </w:rPr>
        <w:t>−</w:t>
      </w:r>
      <w:r w:rsidRPr="00595E10">
        <w:t xml:space="preserve"> Strike Price or 0 ``` Buyer의 최대 손실은 일반적으로 지급한 Premium으로 제한된다. Writer의 위험은 계약구조와 담보방식에 따라 달라진다. --- # Section 1643 # Put Option Put Option은 기초자산을 Strike Price로 매도할 수 있는 권리이다. ```text Put Payoff = Maximum of: Strike Price </w:t>
      </w:r>
      <w:r w:rsidRPr="00595E10">
        <w:rPr>
          <w:rFonts w:ascii="바탕" w:eastAsia="바탕" w:hAnsi="바탕" w:cs="바탕" w:hint="eastAsia"/>
        </w:rPr>
        <w:t>−</w:t>
      </w:r>
      <w:r w:rsidRPr="00595E10">
        <w:t xml:space="preserve"> Underlying Settlement Price or 0 ``` Gold 보유자는 Put Option을 이용하여 금 가격 하락위험을 제한할 수 있다. --- # Section 1644 # Option Contract Object ```move public struct GoldOptionContract has key { id: UID, writer: address, holder: address, underlying_type: vector&lt;u8&gt;, underlying_asset_id: Option&lt;ID&gt;, option_type: u8, exercise_style: u8, contract_size: u128, strike_price: u128, premium_amount: u128, expiry_at: u64, settlement_method: u8, collateral_vault_id: ID, status: u8 } ``` Option Type: ```text 0 Call 1 Put 2 Spread 3 Barrier 4 Basket 5 NFT Premium 6 Principal Protection 7 Binary or Digital ``` --- # Section 1645 # Exercise Style 지원 Exercise Style: ```text European → Expiry 시점에만 행사 American → Expiry 이전 언제든 행사 Bermudan → 사전 정의된 특정 날짜에 행사 Automatic → In-the-Money 조건 충족 시 자동 행사 ``` Option 생성 시 Exercise Style을 변경 불가능한 조건으로 기록한다. --- # Section 1646 # Option Lifecycle ```text Option Creation ↓ Collateral Deposit ↓ Premium Payment ↓ Option Issuance ↓ Secondary Trading ↓ Exercise or Expiry ↓ Settlement ↓ Collateral Release ``` Option Writer의 담보가 부족한 경우 Option을 발행할 수 없다. --- # Section 1647 # Covered Call Covered Call은 Writer가 기초자산을 실제로 보유한 상태에서 Call Option을 발행하는 구조이다. ```text Writer Holds Gold Asset + Call Option Written = Covered Call ``` 예시: ```text Writer 보유: 1 oz Gold FT Written Call: 1 oz Strike: 3,500 GOLDPEG ``` Option 행사 시 보유 Gold FT를 Buyer에게 이전한다. --- # Section 1648 # Covered Call Collateral Lock Covered Call의 기초자산은 Option 만기 또는 종료 전까지 잠긴다. ```move public struct CoveredOptionVault has key </w:t>
      </w:r>
      <w:proofErr w:type="gramStart"/>
      <w:r w:rsidRPr="00595E10">
        <w:t>{ id</w:t>
      </w:r>
      <w:proofErr w:type="gramEnd"/>
      <w:r w:rsidRPr="00595E10">
        <w:t xml:space="preserve">: UID, option_id: ID, writer: address, underlying_asset_id: ID, covered_quantity: u128, locked_until: u64, released: bool } ``` 동일 기초자산을 다른 Option, Loan 또는 Redemption에 동시에 사용할 수 없다. --- # Section 1649 # Cash-Collateralized Put Put </w:t>
      </w:r>
      <w:r w:rsidRPr="00595E10">
        <w:lastRenderedPageBreak/>
        <w:t xml:space="preserve">Writer는 Option 행사에 필요한 현금성 자산을 담보로 예치한다. ```text Required Cash Collateral = Strike Price × Contract Quantity ``` 지원 담보: ```text GOLDPEG Approved Stablecoin CBDC Treasury-Approved Settlement Asset ``` --- # Section 1650 # Partially Collateralized Options 기관 또는 승인된 Market Maker는 위험한도 내에서 부분담보 Option을 발행할 수 있다. 필수 조건: ```text Institutional Eligibility Credit Limit Portfolio Margin Insurance Coverage Position Limit Continuous Risk Monitoring Enforceable Default Agreement ``` 일반 사용자에게는 기본적으로 완전담보 또는 초과담보 구조를 적용한다. --- # Section 1651 # Option Premium Option Premium은 다음 요소를 반영한다. ```text Underlying Price Strike Price Time to Expiry Volatility Interest Rate Funding Cost Liquidity Settlement Risk Reserve Risk Premium Market Risk ``` Premium은 계약 체결 시 Writer에게 지급되거나 Escrow에 보관될 수 있다. --- # Section 1652 # Premium Escrow 분쟁 가능성 또는 조건부 Settlement가 있는 Option에서는 Premium을 Escrow에 보관한다. ```move public struct OptionPremiumEscrow has key { id: UID, option_id: ID, payer: address, beneficiary: address, premium_amount: u128, settlement_asset_type: vector&lt;u8&gt;, release_condition: u8, released: bool } ``` --- # Section 1653 # Option Exercise Option 행사 절차: ```text Exercise Request ↓ Option Validity Check ↓ Holder Ownership Check ↓ In-the-Money Check if required ↓ Settlement Asset Verification ↓ Underlying Transfer or Cash Settlement ↓ Option Closure ``` 만료되었거나 이미 행사된 Option은 다시 행사할 수 없다. --- # Section 1654 # Automatic Exercise Automatic Exercise Option은 만기 시 사전 정의된 Threshold를 초과하면 자동 행사된다. ```text Call Automatic Exercise if Settlement </w:t>
      </w:r>
      <w:proofErr w:type="gramStart"/>
      <w:r w:rsidRPr="00595E10">
        <w:t>Price &gt;</w:t>
      </w:r>
      <w:proofErr w:type="gramEnd"/>
      <w:r w:rsidRPr="00595E10">
        <w:t xml:space="preserve"> Strike Price + Minimum Exercise Threshold ``` ```text Put Automatic Exercise if Settlement Price &lt; Strike Price </w:t>
      </w:r>
      <w:r w:rsidRPr="00595E10">
        <w:rPr>
          <w:rFonts w:ascii="바탕" w:eastAsia="바탕" w:hAnsi="바탕" w:cs="바탕" w:hint="eastAsia"/>
        </w:rPr>
        <w:t>−</w:t>
      </w:r>
      <w:r w:rsidRPr="00595E10">
        <w:t xml:space="preserve"> Minimum Exercise Threshold ``` 거래비용보다 Payoff가 작은 경우 자동행사를 생략할 수 있다. --- # Section 1655 # Physical Option Settlement Call Option의 실물결제: ```text Holder Pays Strike Amount ↓ Writer's Gold Asset Released ↓ Gold Ownership Transferred ↓ Option Closed ``` Put Option의 실물결제: ```text Holder Transfers Gold Asset ↓ Writer Pays Strike Amount ↓ Ownership Updated ↓ Option Closed ``` --- # Section 1656 # Cash Option Settlement 현금정산: ```text Settlement Amount = Intrinsic Value × Contract Quantity ``` 실물 금 또는 Gold Token을 직접 이전하지 않는다. 현금정산은 승인된 Settlement Asset으로 실행한다. --- # Section 1657 # NFT Principal Option Gold NFT Principal Option은 NFT의 금 원금가치만을 기초자산으로 한다. ```text Underlying = Verified Gold Principal Right ``` Collectible Premium은 Option Payoff에서 제외된다. 따라서: ```text NFT Total Price Change ≠ Principal Option Settlement Change ``` --- # Section 1658 # Collectible Premium Option Collectible Premium Option은 Gold NFT의 수집가치 부분을 기초로 한다. 기초지표: ```text Collection Floor Rarity-Adjusted Index Auction Clearing Price Verified Premium </w:t>
      </w:r>
      <w:r w:rsidRPr="00595E10">
        <w:lastRenderedPageBreak/>
        <w:t xml:space="preserve">TWAP Independent Premium Index ``` Premium Option은 Gold Principal Option보다 높은 변동성, 낮은 Position Limit 및 높은 Margin을 적용한다. --- # Section 1659 # NFT Premium Call Premium Call Buyer는 특정 Collection 또는 Premium Index가 Strike를 초과할 경우 Payoff를 받는다. ```text Premium Call Payoff = Maximum of: Premium Settlement Index </w:t>
      </w:r>
      <w:r w:rsidRPr="00595E10">
        <w:rPr>
          <w:rFonts w:ascii="바탕" w:eastAsia="바탕" w:hAnsi="바탕" w:cs="바탕" w:hint="eastAsia"/>
        </w:rPr>
        <w:t>−</w:t>
      </w:r>
      <w:r w:rsidRPr="00595E10">
        <w:t xml:space="preserve"> Premium Strike or 0 ``` 특정 NFT 자체를 인도하는 구조와 Premium Index를 현금정산하는 구조를 구분한다. --- # Section 1660 # NFT Premium Put Premium Put은 Collectible 가치 하락을 Hedge한다. ```text Premium Put Payoff = Maximum of: Premium Strike </w:t>
      </w:r>
      <w:r w:rsidRPr="00595E10">
        <w:rPr>
          <w:rFonts w:ascii="바탕" w:eastAsia="바탕" w:hAnsi="바탕" w:cs="바탕" w:hint="eastAsia"/>
        </w:rPr>
        <w:t>−</w:t>
      </w:r>
      <w:r w:rsidRPr="00595E10">
        <w:t xml:space="preserve"> Premium Settlement Index or 0 ``` Premium Put은 Gold Principal 하락위험을 보장하지 않는다. --- # Section 1661 # Specific NFT Option 특정 NFT를 기초로 하는 Option은 해당 NFT를 Option Vault에 잠가야 한다. ```text Specific NFT Option requires Exact NFT Collateral ``` Option 기간 동안 NFT를 Marketplace에 판매하거나 담보대출에 사용할 수 없다. --- # Section 1662 # Collection Index Option 특정 NFT가 아닌 Collection 전체의 Premium Index를 기초로 Option을 생성할 수 있다. Index 구성요소: ```text Verified Sales Floor Liquidity Bid Depth Rarity Buckets Wash-Trading Filter Time Decay Weight Minimum Sample Size ``` --- # Section 1663 # Gold Principal Futures Gold Principal Futures는 Gold NFT 또는 Gold FT의 수집가치를 제외한 순수 금 원금만을 기초로 한다. ```text Underlying Value = Fine Gold Units × Gold Index Price ``` Physical Settlement 시 Gold Principal Right 또는 동등한 Gold FT를 인도할 수 있다. --- # Section 1664 # Gold NFT Futures Gold NFT Futures는 다음 두 방식으로 설계한다. ```text Specific NFT Futures Collection Basket Futures ``` Specific NFT Futures는 exact NFT delivery가 필요할 수 있다. Collection Basket Futures는 표준화된 Premium Index와 Principal Component를 사용한다. --- # Section 1665 # Gold ETF Derivatives Gold ETF Derivative의 가격은 다음을 반영한다. ```text ETF NAV Market Premium or Discount Accrued Distribution Management Fee Trading-Hour Gap Settlement Currency ``` 기초 ETF가 거래정지 상태인 경우 신규 Position을 제한한다. --- # Section 1666 # GOLDPEG Derivatives GOLDPEG Derivatives는 Peg 위험과 금 가격위험을 분리해서 평가한다. 주요 위험: ```text Gold Price Risk Peg Deviation Risk Reserve Coverage Risk Redemption Liquidity Risk Issuer or Protocol Risk ``` Mark Price는 단순 GOLDPEG 시장가격만 사용하지 않고 금 기준가와 Reserve 상태를 함께 반영한다. --- # Section 1667 # LP Hedge Contracts LP 참여자는 Impermanent Loss와 가격편차를 Hedge하기 위한 파생상품을 사용할 수 있다. 지원 구조: ```text Gold FT–GOLDPEG LP Hedge Gold NFT Premium Hedge Stablecoin Depeg Hedge Concentrated Range Exit Hedge Vault Revenue Hedge ``` --- # Section 1668 # Impermanent Loss Hedge IL Hedge Payoff 예시: ```text IL Hedge Payoff = Verified LP Divergence Loss </w:t>
      </w:r>
      <w:r w:rsidRPr="00595E10">
        <w:rPr>
          <w:rFonts w:ascii="바탕" w:eastAsia="바탕" w:hAnsi="바탕" w:cs="바탕" w:hint="eastAsia"/>
        </w:rPr>
        <w:t>−</w:t>
      </w:r>
      <w:r w:rsidRPr="00595E10">
        <w:t xml:space="preserve"> Deductible subject to Coverage Cap ``` 정상적인 Fee Revenue는 손실계산에서 차감할 수 있다. --- # Section 1669 # Range Option for Concentrated </w:t>
      </w:r>
      <w:r w:rsidRPr="00595E10">
        <w:lastRenderedPageBreak/>
        <w:t xml:space="preserve">Liquidity Concentrated LP는 가격이 특정 범위를 벗어날 경우 Payoff를 받는 Range Option을 사용할 수 있다. ```text Lower Barrier Upper Barrier ``` Payoff 조건: ```text Price </w:t>
      </w:r>
      <w:proofErr w:type="gramStart"/>
      <w:r w:rsidRPr="00595E10">
        <w:t>&lt; Lower</w:t>
      </w:r>
      <w:proofErr w:type="gramEnd"/>
      <w:r w:rsidRPr="00595E10">
        <w:t xml:space="preserve"> Barrier or Price &gt; Upper Barrier ``` --- # Section 1670 # Barrier Options 지원 Barrier 유형: ```text Knock-In Call Knock-In Put Knock-Out Call Knock-Out Put Double Barrier Range Barrier ``` Barrier Event는 신뢰 가능한 Oracle과 시간조건을 통해 검증한다. 단일 비정상 Tick으로 Barrier가 발동하지 않도록 최소 지속시간을 설정할 수 있다. --- # Section 1671 # Basket Derivatives Basket Contract는 복수의 Gold 관련 자산을 하나의 기초지수로 묶는다. 예시: ```text Gold FT + Gold ETF + GOLDPEG + Gold Mining RWA Token ``` Basket Value: ```text Basket Index = Sum of: Asset Weight × Verified Asset Price ``` --- # Section 1672 # Spread Options Spread Option은 두 가격 또는 두 만기의 차이를 기초로 한다. 예시: ```text Gold Spot vs Gold Futures ``` ```text Gold Principal Index vs Gold NFT Premium Index ``` ```text ETF NAV vs ETF Market Price ``` --- # Section 1673 # Calendar Spread Calendar Spread는 서로 다른 만기의 Futures 또는 Options 가격차이를 거래한다. ```text Calendar Spread Value = Far-Maturity Price </w:t>
      </w:r>
      <w:r w:rsidRPr="00595E10">
        <w:rPr>
          <w:rFonts w:ascii="바탕" w:eastAsia="바탕" w:hAnsi="바탕" w:cs="바탕" w:hint="eastAsia"/>
        </w:rPr>
        <w:t>−</w:t>
      </w:r>
      <w:r w:rsidRPr="00595E10">
        <w:t xml:space="preserve"> Near-Maturity Price ``` Vault 비용, 금리 및 시장수급 변화에 대한 Hedge에 사용할 수 있다. --- # Section 1674 # Margin Registry 모든 Margin 계정은 Margin Registry에 등록한다. ```move public struct MarginRegistry has key { id: UID, accounts: Table&lt;ID, MarginAccount&gt;, risk_engine_id: ID, collateral_policy_id: ID, liquidation_engine_id: ID, insurance_fund_id: ID, paused: bool } ``` --- # Section 1675 # Margin Account ```move public struct MarginAccount has key { id: UID, owner: address, collateral_balances: Bag, position_ids: vector&lt;ID&gt;, collateral_value: u128, initial_margin_required: u128, maintenance_margin_required: u128, unrealized_pnl: i128, available_margin: i128, margin_status: u8 } ``` Margin Status: ```text 0 Healthy 1 Warning 2 Margin Call 3 Liquidation Eligible 4 Liquidating 5 Restricted 6 Closed ``` --- # Section 1676 # Initial Margin Initial Margin은 신규 Position을 개설하기 위해 필요한 최소 담보이다. ```text Initial Margin = Position Notional × Initial Margin Rate ``` Initial Margin Rate는 다음을 반영한다. ```text Underlying Volatility Liquidity Contract Maturity Position Direction Concentration Oracle Confidence Settlement Risk ``` --- # Section 1677 # Maintenance Margin Maintenance Margin은 Position을 유지하기 위한 최소 담보이다. ```text Maintenance Margin </w:t>
      </w:r>
      <w:proofErr w:type="gramStart"/>
      <w:r w:rsidRPr="00595E10">
        <w:t>&lt; Initial</w:t>
      </w:r>
      <w:proofErr w:type="gramEnd"/>
      <w:r w:rsidRPr="00595E10">
        <w:t xml:space="preserve"> Margin ``` 계정가치가 Maintenance Margin 이하로 내려가면 Margin Call 또는 Liquidation이 시작된다. --- # Section 1678 # Margin Balance ```text Margin Balance = Deposited Collateral Value + Realized PnL + Unrealized PnL </w:t>
      </w:r>
      <w:r w:rsidRPr="00595E10">
        <w:rPr>
          <w:rFonts w:ascii="바탕" w:eastAsia="바탕" w:hAnsi="바탕" w:cs="바탕" w:hint="eastAsia"/>
        </w:rPr>
        <w:t>−</w:t>
      </w:r>
      <w:r w:rsidRPr="00595E10">
        <w:t xml:space="preserve"> Funding Payment </w:t>
      </w:r>
      <w:r w:rsidRPr="00595E10">
        <w:rPr>
          <w:rFonts w:ascii="바탕" w:eastAsia="바탕" w:hAnsi="바탕" w:cs="바탕" w:hint="eastAsia"/>
        </w:rPr>
        <w:t>−</w:t>
      </w:r>
      <w:r w:rsidRPr="00595E10">
        <w:t xml:space="preserve"> Accrued Fees ``` 미확정 또는 회수불가능한 수익은 Margin에 포함하지 않는다. --- # Section 1679 # Available Margin ```text Available Margin = Margin Balance </w:t>
      </w:r>
      <w:r w:rsidRPr="00595E10">
        <w:rPr>
          <w:rFonts w:ascii="바탕" w:eastAsia="바탕" w:hAnsi="바탕" w:cs="바탕" w:hint="eastAsia"/>
        </w:rPr>
        <w:t>−</w:t>
      </w:r>
      <w:r w:rsidRPr="00595E10">
        <w:t xml:space="preserve"> Initial Margin Requirement </w:t>
      </w:r>
      <w:r w:rsidRPr="00595E10">
        <w:rPr>
          <w:rFonts w:ascii="바탕" w:eastAsia="바탕" w:hAnsi="바탕" w:cs="바탕" w:hint="eastAsia"/>
        </w:rPr>
        <w:t>−</w:t>
      </w:r>
      <w:r w:rsidRPr="00595E10">
        <w:t xml:space="preserve"> Reserved Settlement Amount ``` Available Margin이 부족하면 신규 Position을 열 수 없다. --- # Section 1680 # Cross Margin Cross </w:t>
      </w:r>
      <w:r w:rsidRPr="00595E10">
        <w:lastRenderedPageBreak/>
        <w:t xml:space="preserve">Margin은 하나의 계정에 있는 전체 담보와 Position을 통합하여 위험을 계산한다. ```text Profitable Position may offset Loss-Making Position ``` 다만 완전한 상쇄를 허용하지 않고 상관관계와 Basis Risk를 반영한다. --- # Section 1681 # Isolated Margin Isolated Margin에서는 특정 Position에 지정된 담보만 위험에 노출된다. ```text Position Loss cannot consume Unrelated Isolated Margin ``` 고위험 NFT Premium Derivative와 신규 Market에 우선 적용한다. --- # Section 1682 # Portfolio Margin 기관 또는 전문 사용자에게 Portfolio Margin을 제공할 수 있다. 평가 요소: ```text Net Delta Net Gamma Net Vega Net Theta Basis Risk Correlation Risk Liquidity Risk Stress Loss ``` Portfolio Margin은 단순 Position별 Margin 합계보다 낮을 수 있으나, Stress Scenario를 반드시 통과해야 한다. --- # Section 1683 # Option Greeks Option Risk Engine은 다음 Greeks를 계산한다. ```text Delta Gamma Vega Theta Rho ``` 추가 TOBMATE Risk Measure: ```text Reserve Delta Premium Liquidity Vega Redemption Basis Risk Vault Cost Sensitivity Peg Deviation Sensitivity ``` --- # Section 1684 # Delta Delta는 기초자산 가격변화에 대한 Option 가치변화를 나타낸다. ```text Delta = Change in Option Value ÷ Change in Underlying Price ``` Option Writer의 Delta Exposure는 Dynamic Hedge 또는 Margin 계산에 사용한다. --- # Section 1685 # Gamma Gamma는 Delta 변화율이다. Gamma가 높은 Position은 급격한 가격변화에 민감하므로 추가 Margin을 적용할 수 있다. ```text High Gamma → Higher Short-Term Liquidation Risk ``` --- # Section 1686 # Vega Vega는 변동성 변화에 대한 Option 가치민감도이다. Collectible Premium Option은 Gold Principal Option보다 Vega가 높을 수 있다. Oracle 또는 Market Data가 충분하지 않으면 보수적인 Implied Volatility를 적용한다. --- # Section 1687 # Theta Theta는 시간경과에 따른 Option 가치감소를 의미한다. ```text Time Decay increases as Expiry approaches ``` 미수령 Premium을 미래 가치로 과대평가하지 않는다. --- # Section 1688 # Implied Volatility Engine Implied Volatility는 Option 시장가격에서 역산하거나 Historical Volatility와 결합해 산정한다. 입력: ```text Option Premium Underlying Price Strike Price Time to Expiry Interest Rate Funding Rate Liquidity Adjustment ``` 저유동성 Market에서는 Volatility Floor와 Cap을 설정한다. --- # Section 1689 # Volatility Surface Risk Engine은 Strike와 Maturity별 Volatility Surface를 관리한다. ```text Strike Dimension × Maturity Dimension = Volatility Surface ``` 비정상적인 Smile 또는 Skew 변화는 Manipulation Alert를 발생시킬 수 있다. --- # Section 1690 # Futures Position Margin Futures Margin Requirement: ```text Required Margin = Position Notional × Risk Margin Rate + Concentration Add-On + Liquidity Add-On + Gap Risk Add-On ``` Physical Settlement Futures에는 Delivery Margin을 추가할 수 있다. --- # Section 1691 # Option Writer Margin Option Buyer는 일반적으로 Premium 이상 손실이 없으므로 추가 Margin이 제한적이다. Option Writer Margin: ```text Writer Margin = Maximum Stress Loss + Settlement Cost + Liquidity Add-On </w:t>
      </w:r>
      <w:r w:rsidRPr="00595E10">
        <w:rPr>
          <w:rFonts w:ascii="바탕" w:eastAsia="바탕" w:hAnsi="바탕" w:cs="바탕" w:hint="eastAsia"/>
        </w:rPr>
        <w:t>−</w:t>
      </w:r>
      <w:r w:rsidRPr="00595E10">
        <w:t xml:space="preserve"> Eligible Covered </w:t>
      </w:r>
      <w:r w:rsidRPr="00595E10">
        <w:lastRenderedPageBreak/>
        <w:t xml:space="preserve">Collateral ``` --- # Section 1692 # Margin Call Protocol ```text Margin Deficiency Detected </w:t>
      </w:r>
      <w:r w:rsidRPr="00595E10">
        <w:rPr>
          <w:rFonts w:ascii="맑은 고딕" w:eastAsia="맑은 고딕" w:hAnsi="맑은 고딕" w:cs="맑은 고딕" w:hint="eastAsia"/>
        </w:rPr>
        <w:t>↓</w:t>
      </w:r>
      <w:r w:rsidRPr="00595E10">
        <w:t xml:space="preserve"> Margin Call Issued </w:t>
      </w:r>
      <w:r w:rsidRPr="00595E10">
        <w:rPr>
          <w:rFonts w:ascii="맑은 고딕" w:eastAsia="맑은 고딕" w:hAnsi="맑은 고딕" w:cs="맑은 고딕" w:hint="eastAsia"/>
        </w:rPr>
        <w:t>↓</w:t>
      </w:r>
      <w:r w:rsidRPr="00595E10">
        <w:t xml:space="preserve"> Cure Period </w:t>
      </w:r>
      <w:r w:rsidRPr="00595E10">
        <w:rPr>
          <w:rFonts w:ascii="맑은 고딕" w:eastAsia="맑은 고딕" w:hAnsi="맑은 고딕" w:cs="맑은 고딕" w:hint="eastAsia"/>
        </w:rPr>
        <w:t>↓</w:t>
      </w:r>
      <w:r w:rsidRPr="00595E10">
        <w:t xml:space="preserve"> Additional Collateral or Position Reduction </w:t>
      </w:r>
      <w:r w:rsidRPr="00595E10">
        <w:rPr>
          <w:rFonts w:ascii="맑은 고딕" w:eastAsia="맑은 고딕" w:hAnsi="맑은 고딕" w:cs="맑은 고딕" w:hint="eastAsia"/>
        </w:rPr>
        <w:t>↓</w:t>
      </w:r>
      <w:r w:rsidRPr="00595E10">
        <w:t xml:space="preserve"> Health Recalculation </w:t>
      </w:r>
      <w:r w:rsidRPr="00595E10">
        <w:rPr>
          <w:rFonts w:ascii="맑은 고딕" w:eastAsia="맑은 고딕" w:hAnsi="맑은 고딕" w:cs="맑은 고딕" w:hint="eastAsia"/>
        </w:rPr>
        <w:t>↓</w:t>
      </w:r>
      <w:r w:rsidRPr="00595E10">
        <w:t xml:space="preserve"> Liquidation if Unresolved ``` 급격한 시장변동에서는 Cure Period를 단축할 수 있다. --- # Section 1693 # Margin Cure 사용자는 다음 방식으로 Margin Call을 해소한다. ```text Deposit Additional Collateral Close Part of Position Hedge Exposure Repay Negative Balance Transfer Eligible Collateral Exercise Offset Option ``` --- # Section 1694 # Derivatives Liquidation Engine Liquidation 절차: ```text Maintenance Margin Breach ↓ Position Freeze ↓ Partial Position Reduction ↓ Margin Recovery Check ↓ Further Liquidation if required ↓ Insurance Fund Review ↓ Final Settlement ``` 필요한 범위를 초과하여 Position을 강제종료하지 않는다. --- # Section 1695 # Partial Position Liquidation ```text Liquidation Quantity = Minimum Quantity Required to restore Target Margin Ratio ``` 부분청산 이후 Margin이 회복되면 추가 청산을 중단한다. --- # Section 1696 # Position Liquidation Order Cross-Margin Account의 Position 정리 순서: ```text 1. Most Liquid Position 2. Highest Risk Position 3. Largest Margin Consumption 4. Position with Reliable Mark Price 5. Illiquid NFT Derivative 6. Physical Settlement Contract ``` 사용자 설정 Preference를 반영할 수 있으나 Protocol 지급능력이 우선한다. --- # Section 1697 # Liquidation Fee Liquidation Fee 배분: ```text Liquidator Insurance Fund Bad Debt Fund Protocol Treasury Execution Infrastructure ``` Fee는 실제 청산비용과 위험을 반영하되 상한을 둔다. --- # Section 1698 # Bankruptcy Price Bankruptcy Price는 Margin Account의 순자산이 0이 되는 가격이다. ```text Bankruptcy Price = Price at which Account Equity becomes zero ``` 청산은 가능하면 Bankruptcy Price 이전에 실행한다. --- # Section 1699 # Insurance Fund for Derivatives Derivatives Insurance Fund는 청산손실과 부실계정을 보전한다. 재원: ```text Trading Fee Allocation Funding Reserve Liquidation Penalty Protocol Revenue Market Maker Contribution Slashing Revenue Treasury Backstop ``` --- # Section 1700 # Derivatives Bad Debt ```text Derivative Bad Debt = Final Settlement Obligation </w:t>
      </w:r>
      <w:r w:rsidRPr="00595E10">
        <w:rPr>
          <w:rFonts w:ascii="바탕" w:eastAsia="바탕" w:hAnsi="바탕" w:cs="바탕" w:hint="eastAsia"/>
        </w:rPr>
        <w:t>−</w:t>
      </w:r>
      <w:r w:rsidRPr="00595E10">
        <w:t xml:space="preserve"> Collateral Recovery </w:t>
      </w:r>
      <w:r w:rsidRPr="00595E10">
        <w:rPr>
          <w:rFonts w:ascii="바탕" w:eastAsia="바탕" w:hAnsi="바탕" w:cs="바탕" w:hint="eastAsia"/>
        </w:rPr>
        <w:t>−</w:t>
      </w:r>
      <w:r w:rsidRPr="00595E10">
        <w:t xml:space="preserve"> Liquidation Proceeds </w:t>
      </w:r>
      <w:r w:rsidRPr="00595E10">
        <w:rPr>
          <w:rFonts w:ascii="바탕" w:eastAsia="바탕" w:hAnsi="바탕" w:cs="바탕" w:hint="eastAsia"/>
        </w:rPr>
        <w:t>−</w:t>
      </w:r>
      <w:r w:rsidRPr="00595E10">
        <w:t xml:space="preserve"> Insurance Payment ``` Bad Debt는 Market별로 분리 기록한다. --- # Section 1701 # Auto-Deleveraging 보험기금으로도 손실을 처리할 수 없는 극단적 상황에서 Auto-Deleveraging을 사용할 수 있다. ```text Bankrupt Position ↓ Insurance Exhausted ↓ Opposing Profitable Positions Ranked ↓ Position Reduction ↓ System Balance Restored ``` ADL은 최후의 수단으로 제한한다. --- # Section 1702 # ADL Ranking 대상 순위는 다음 요소를 반영한다. ```text Profit Ratio Effective Leverage Position Size Liquidity Time Held ``` ADL 규칙은 사전에 공개하고 실행결과를 감사 가능하게 기록한다. --- # Section 1703 # Socialized Loss Restriction Derivatives 손실을 모든 사용자에게 일률적으로 분배하지 않는다. 손실처리 우선순위: ```text Defaulting Account Collateral ↓ Liquidation </w:t>
      </w:r>
      <w:r w:rsidRPr="00595E10">
        <w:lastRenderedPageBreak/>
        <w:t xml:space="preserve">Proceeds ↓ Market Insurance Fund ↓ Protocol Insurance Treasury ↓ Emergency Treasury ↓ Auto-Deleveraging ↓ Governance-Approved Exceptional Resolution ``` --- # Section 1704 # Position Limits Market Manipulation과 지급불능을 방지하기 위해 Position Limit을 설정한다. ```text Per-Account Limit Per-TMID Limit Per-Institution Limit Market-Wide Open Interest Limit Expiry Concentration Limit Directional Exposure Limit ``` --- # Section 1705 # Open Interest Cap ```text Open Interest ≤ Approved Market Capacity ``` Market Capacity는 다음을 반영한다. ```text Insurance Fund Available Liquidity Oracle Reliability Settlement Capacity Reserve Coverage Market Maker Depth ``` --- # Section 1706 # Leverage Limits 예시: ```text Gold Principal Futures → Maximum 10× Gold ETF Futures → Maximum 5× GOLDPEG Perpetual → Maximum 5× Gold NFT Basket Futures → Maximum 3× Collectible Premium Derivatives → Maximum 2× ``` 실제 한도는 Governance와 Risk Engine이 정한다. --- # Section 1707 # Dynamic Leverage 시장 위험이 증가하면 허용 Leverage를 자동으로 줄인다. ```text Dynamic Maximum Leverage = Base Leverage × Liquidity Factor × Volatility Factor × Oracle Confidence Factor × Insurance Capacity Factor ``` --- # Section 1708 # Funding Rate Cap Perpetual Funding Rate에는 상·하한을 둔다. 목적: ```text Prevent Extreme Transfer Prevent Manipulation Protect Thin Markets Reduce Forced Liquidation ``` 비정상 Funding은 Open Interest 제한과 함께 처리한다. --- # Section 1709 # Mark Price Protection Mark Price는 다음 조건을 충족해야 한다. ```text Multi-Source Data TWAP or Median Outlier Filtering Freshness Check Liquidity Weighting Circuit Breaker ``` Last Trade Price를 단독 청산가격으로 사용하지 않는다. --- # Section 1710 # Oracle Failure Mode Oracle 장애 시: ```text New Position Disabled Leverage Increase Disabled Collateral Withdrawal Restricted Position Reduction Allowed Repayment Allowed Settlement Delayed if necessary ``` 위험을 줄이는 거래는 계속 허용한다. --- # Section 1711 # Price Manipulation Protection 방어 방식: ```text TWAP Median Oracle Maximum Price Deviation Volume Validation Cross-Market Comparison Wash-Trading Filter Position Limit Trade Cooldown Batch Auction ``` --- # Section 1712 # Settlement Price Committee 매우 비유동적인 Gold NFT 또는 Premium Derivative는 사전 정의된 Settlement Price Committee 또는 Independent Oracle Set을 사용할 수 있다. 구성: ```text Independent Appraiser Market Data Provider DAO-Approved Oracle Auditor Risk Council Observer ``` 이해상충이 있는 참여자는 제외한다. --- # Section 1713 # Expiry Settlement 만기절차: ```text Trading Halt Window ↓ Final Price Observation ↓ Settlement Price Calculation ↓ Position PnL Finalization ↓ Physical or Cash Settlement ↓ Collateral Release ↓ Contract Archive ``` --- # Section 1714 # Physical Delivery Futures Settlement ```text Short Delivers Approved Gold Asset ↓ Long Pays Contract Amount ↓ Reserve and Custodian Verification ↓ Ownership Transfer ↓ </w:t>
      </w:r>
      <w:r w:rsidRPr="00595E10">
        <w:lastRenderedPageBreak/>
        <w:t xml:space="preserve">Settlement Completed ``` 인도 가능한 자산규격을 사전에 정의한다. --- # Section 1715 # Delivery-Eligible Gold 조건: ```text Approved Refinery Verified Purity Approved Weight Valid Certificate No Encumbrance Approved Vault Insurance Active Legal Title Clear ``` Collectible-specific Contract는 exact NFT 또는 exact Gold Unit을 요구할 수 있다. --- # Section 1716 # Delivery Substitution 표준화 Futures는 동등한 Gold Unit 대체를 허용할 수 있다. 대체조건: ```text Equal Fine Gold Weight Equal or Higher Purity Approved Refinery Equivalent Legal Ownership No Additional Encumbrance ``` 수집가치가 포함된 Specific NFT Contract에는 임의 대체를 허용하지 않는다. --- # Section 1717 # Delivery Failure Short가 인도의무를 이행하지 못하면: ```text Delivery Default ↓ Collateral Seizure ↓ Market Purchase ↓ Insurance Fund ↓ Buyer Compensation ↓ Default Claim ``` --- # Section 1718 # Cash Settlement Failure Settlement Asset이 부족한 경우: ```text Margin Seizure ↓ Position Liquidation ↓ Insurance Fund ↓ Bad Debt Recognition ↓ Recovery Claim ``` --- # Section 1719 # Structured Gold Products Registry 구조화 상품은 별도 Registry에 등록한다. ```move public struct StructuredProductRegistry has key { id: UID, products: Table&lt;ID, StructuredProductRecord&gt;, issuer_registry_id: ID, collateral_policy_id: ID, payoff_engine_id: ID, disclosure_policy_id: ID } ``` --- # Section 1720 # Structured Product Object ```move public struct StructuredGoldProduct has key { id: UID, issuer: address, product_type: u8, underlying_ids: vector&lt;ID&gt;, notional_amount: u128, issue_price: u128, maturity_at: u64, payoff_policy_id: ID, collateral_vault_id: ID, investor_eligibility_policy_id: ID, status: u8 } ``` --- # Section 1721 # Structured Product Types 지원 유형: ```text Principal-Protected Gold Note Gold Yield Note Covered Call Note Reverse Convertible Gold Note Range Accrual Note Barrier Gold Note Gold ETF Linked Note GOLDPEG Yield Certificate NFT Premium Linked Note Gold Basket Note Capital-at-Risk Product ``` --- # Section 1722 # Principal-Protected Gold Note Principal-Protected Product는 만기 시 원금의 일부 또는 전부를 보호하도록 설계한다. ```text Investment Amount ↓ Protected Reserve Component + Derivative Return Component ``` 예시: ```text 90% Capital Protection + Gold Call Option Exposure ``` --- # Section 1723 # Principal Protection Reserve 원금보호 재원은 위험자산과 분리한다. ```text Protected Principal Reserve cannot be used for Issuer Operations Trading Loss Unrelated Treasury Expense ``` --- # Section 1724 # Principal Protection Formula ```text Protected Amount = Original Investment × Protection Ratio ``` 만기 지급액: ```text Final Payment = Protected Amount + Positive Derivative Payoff </w:t>
      </w:r>
      <w:r w:rsidRPr="00595E10">
        <w:rPr>
          <w:rFonts w:ascii="바탕" w:eastAsia="바탕" w:hAnsi="바탕" w:cs="바탕" w:hint="eastAsia"/>
        </w:rPr>
        <w:t>−</w:t>
      </w:r>
      <w:r w:rsidRPr="00595E10">
        <w:t xml:space="preserve"> Disclosed Fees ``` --- # Section 1725 # Gold Yield Note Gold Yield Note는 일정 수익을 제공하는 대신 Gold 가격위험 또는 Option 의무를 포함할 수 있다. 수익원: ```text Covered Call Premium Lending Interest ETF Distribution Vault Revenue Approved Treasury Yield Liquidity Fee ``` 수익률을 보장하는 경우 해당 지</w:t>
      </w:r>
      <w:r w:rsidRPr="00595E10">
        <w:lastRenderedPageBreak/>
        <w:t xml:space="preserve">급재원을 별도로 확보해야 한다. --- # Section 1726 # Covered Call Yield Note 구조: ```text Gold Asset Collateral + Written Call Option = Premium-Based Yield ``` 금 가격이 Strike를 크게 초과하면 투자자의 상승이익이 제한될 수 있다. --- # Section 1727 # Reverse Convertible Gold Note 투자자는 높은 Coupon을 받을 수 있으나, 기초 금 자산 가격이 크게 하락하면 금 자산 또는 감소된 현금가치로 상환받을 수 있다. 필수 공시: ```text Capital-at-Risk Conversion Trigger Conversion Price Maximum Loss Settlement Asset Issuer Risk ``` --- # Section 1728 # Range Accrual Gold Note 금 가격이 정해진 범위 안에 머문 기간에 따라 수익을 계산한다. ```text Accrued Yield = Eligible Observation Days ÷ Total Observation Days × Maximum Coupon ``` --- # Section 1729 # Barrier Gold Note 특정 Barrier가 충족되는지에 따라 Payoff가 달라진다. ```text No Barrier Event → Protected or Enhanced Return Barrier Event → Alternative Settlement ``` Barrier 판정은 단일 순간가격보다 지속시간 또는 복수관측값을 사용할 수 있다. --- # Section 1730 # NFT Premium Linked Note Gold NFT Premium Index와 연결된 구조화 상품이다. Payoff 요소: ```text Gold Principal Protection + Collectible Premium Index Participation ``` Premium Index가 하락하더라도 Gold Principal Protection을 별도로 유지할 수 있다. --- # Section 1731 # Gold Basket Note Basket 구성: ```text Physical Gold Claim Gold FT Gold ETF GOLDPEG Gold Mining RWA Gold NFT Premium Index ``` 자산별 Weight와 Rebalancing Policy를 사전에 공개한다. --- # Section 1732 # Structured Product Collateralization Issuer는 상품 의무를 보장하기 위한 담보를 제공해야 한다. ```text Required Collateral = Maximum Expected Obligation × Collateralization Factor ``` 부분담보 상품은 기관투자자 및 승인 Market으로 제한할 수 있다. --- # Section 1733 # Issuer Registry ```move public struct StructuredProductIssuer has key </w:t>
      </w:r>
      <w:proofErr w:type="gramStart"/>
      <w:r w:rsidRPr="00595E10">
        <w:t>{ id</w:t>
      </w:r>
      <w:proofErr w:type="gramEnd"/>
      <w:r w:rsidRPr="00595E10">
        <w:t xml:space="preserve">: UID, issuer: address, legal_entity_hash: vector&lt;u8&gt;, license_hash: vector&lt;u8&gt;, approved_limit: u128, outstanding_notional: u128, collateral_ratio_bps: u64, issuer_status: u8 } ``` --- # Section 1734 # Issuer Exposure Limit ```text Issuer Outstanding Obligations ≤ Approved Issuer Limit ``` Limit은 다음을 반영한다. ```text Issuer Capital Collateral Credit Rating Audit Result Default History Insurance Coverage Jurisdiction ``` --- # Section 1735 # Structured Product Waterfall 지급 순위: ```text 1. Mandatory Settlement Cost 2. Protected Principal 3. Contractual Coupon 4. Positive Derivative Payoff 5. Residual Issuer Amount ``` 상품조건에 따라 우선순위를 명확히 표시한다. --- # Section 1736 # Early Redemption 구조화 상품은 다음 조건에서 조기상환될 수 있다. ```text Issuer Call Investor Put Barrier Event Regulatory Event Collateral Deficiency Underlying Termination Mutual Agreement ``` 조기상환 Formula를 발행 시점에 고정한다. --- # Section 1737 # Autocallable Gold Product 금 가격이 특정 Observation Date에 목표수준 이상이면 자동 조기상환된다. ```text Observation Date ↓ Price ≥ Autocall Level ↓ Principal + Coupon Paid ↓ Product </w:t>
      </w:r>
      <w:r w:rsidRPr="00595E10">
        <w:lastRenderedPageBreak/>
        <w:t xml:space="preserve">Terminated ``` --- # Section 1738 # Capital-at-Risk Disclosure 구조화 상품은 다음 위험을 명확히 공시한다. ```text Principal Loss Issuer Default Liquidity Risk Early Termination Barrier Risk Oracle Risk Settlement Risk Regulatory Risk Gold Reserve Risk NFT Premium Volatility ``` --- # Section 1739 # Investor Eligibility 상품별 투자자 자격: ```text Retail Eligible Wholesale Only Institutional Only Accredited Investor Jurisdiction Restricted Knowledge-Test Required ``` 고위험 파생상품은 일반 사용자의 무제한 접근을 허용하지 않는다. --- # Section 1740 # Suitability and Appropriateness Check 필요한 경우 다음을 검토한다. ```text Investment Experience Risk Capacity Product Understanding Loss Tolerance Investment Horizon Jurisdiction Eligibility ``` 개인정보는 최소한으로 처리하고 검증결과만 온체인에 기록할 수 있다. --- # Section 1741 # Derivatives Fee Architecture 수수료 유형: ```text Trading Fee Option Premium Fee Funding Fee Settlement Fee Delivery Fee Liquidation Fee Structured Product Management Fee Oracle Fee Insurance Allocation ``` --- # Section 1742 # Fee Distribution 예시: ```text Liquidity Providers: 45% Insurance Fund: 20% Protocol Treasury: 15% Oracle Providers: 5% Risk and Settlement Services: 5% Gold Reserve Growth Fund: 5% Community Treasury: 5% ``` 수수료 분배는 실제 수익과 비용을 기준으로 처리한다. --- # Section 1743 # Profit-Based Derivatives Fee 실현이익에 대한 Protocol Fee를 적용할 수 있다. ```text Realized Derivatives Profit = Settlement Proceeds </w:t>
      </w:r>
      <w:r w:rsidRPr="00595E10">
        <w:rPr>
          <w:rFonts w:ascii="바탕" w:eastAsia="바탕" w:hAnsi="바탕" w:cs="바탕" w:hint="eastAsia"/>
        </w:rPr>
        <w:t>−</w:t>
      </w:r>
      <w:r w:rsidRPr="00595E10">
        <w:t xml:space="preserve"> Verified Entry Cost </w:t>
      </w:r>
      <w:r w:rsidRPr="00595E10">
        <w:rPr>
          <w:rFonts w:ascii="바탕" w:eastAsia="바탕" w:hAnsi="바탕" w:cs="바탕" w:hint="eastAsia"/>
        </w:rPr>
        <w:t>−</w:t>
      </w:r>
      <w:r w:rsidRPr="00595E10">
        <w:t xml:space="preserve"> Premium Paid </w:t>
      </w:r>
      <w:r w:rsidRPr="00595E10">
        <w:rPr>
          <w:rFonts w:ascii="바탕" w:eastAsia="바탕" w:hAnsi="바탕" w:cs="바탕" w:hint="eastAsia"/>
        </w:rPr>
        <w:t>−</w:t>
      </w:r>
      <w:r w:rsidRPr="00595E10">
        <w:t xml:space="preserve"> Eligible Fees ``` 미실현이익에는 확정 Profit Fee를 부과하지 않는다. --- # Section 1744 # Revenue Accumulator ```move public struct DerivativesRevenueAccumulator has key { id: UID, market_id: ID, trading_fee_total: u128, funding_fee_total: u128, settlement_fee_total: u128, liquidation_fee_total: u128, structured_product_fee_total: u128, insurance_allocation_total: u128, last_distribution_epoch: u64 } ``` --- # Section 1745 # Derivatives Accounting Ledger ```move public struct DerivativesAccountingLedger has key { id: UID, market_id: ID, total_collateral: u128, total_open_interest: u128, unrealized_positive_pnl: u128, unrealized_negative_pnl: u128, realized_pnl: i128, insurance_reserve: u128, bad_debt: u128, accounting_epoch: u64 } ``` --- # Section 1746 # PnL Conservation 항상 다음 관계를 유지한다. ```text Total Trader Profit + Total Trader Loss + Protocol Fees + Funding Transfers = Net Settlement Flow ``` Closed System Contract에서는 한쪽의 거래이익이 반대편 손실 또는 외부 Hedge 수익 없이 생성될 수 없다. --- # Section 1747 # Margin Conservation ```text Total Margin Deposited = Active Margin + Released Margin + Liquidation Transfer + Settled Loss </w:t>
      </w:r>
      <w:r w:rsidRPr="00595E10">
        <w:rPr>
          <w:rFonts w:ascii="바탕" w:eastAsia="바탕" w:hAnsi="바탕" w:cs="바탕" w:hint="eastAsia"/>
        </w:rPr>
        <w:t>−</w:t>
      </w:r>
      <w:r w:rsidRPr="00595E10">
        <w:t xml:space="preserve"> Approved Withdrawal ``` 동일 Margin을 복수 Position에 독립적으로 중복 계산하지 않는다. --- # Section 1748 # No Double Collateral Counting 다음 중복계산을 금지한다. ```text Covered Call Gold Asset and Lending Collateral ``` ```text Futures Delivery Asset and Marketplace Listing ``` ```text Structured </w:t>
      </w:r>
      <w:r w:rsidRPr="00595E10">
        <w:lastRenderedPageBreak/>
        <w:t>Product Reserve and Operational Treasury Asset ``` ```text LP Position and Underlying Assets as separate free collateral ``` --- # Section 1749 # Principal and Premium Separation Gold NFT 파생상품에서는 다음 관계를 유지한다. ```text Gold Principal Exposure ≠ Collectible Premium Exposure ``` 하나의 Component에 대한 Settlement가 다른 Component의 소유권을 자동으로 변경해서는 안 된다. --- # Section 1750 # Derivatives Solvency Invariant ```text Eligible Collateral + Insurance Assets + Recoverable Settlement Assets ≥ Positive Settlement Obligations + Approved Withdrawals + Recognized Bad Debt ``` --- # Section 1751 # Derivatives Circuit Breaker 발동 조건: ```text Oracle Quorum Loss Abnormal Price Deviation Insurance Fund Deficiency Mass Liquidation Settlement Asset Depeg Vault Failure Custodian Suspension Smart Contract Exploit Open Interest Limit Breach ``` 상태: ```text Normal Warning Position Increase Disabled Close-Only Settlement Restricted Emergency Settlement Paused ``` --- # Section 1752 # Close-Only Mode Close-Only Mode에서는: ```text New Position Prohibited Leverage Increase Prohibited Position Reduction Allowed Collateral Addition Allowed Repayment Allowed Exercise Allowed if Safe ``` --- # Section 1753 # Emergency Settlement Emergency Settlement Price는 다음 중 보수적인 방식으로 결정한다. ```text Last Valid Mark Price Median Oracle Price TWAP Independent Settlement Price Physical Reserve Value ``` Market 조작 가능성이 있는 가격은 제외한다. --- # Section 1754 # Emergency Product Termination 기초자산이 영구적으로 중단되거나 법적으로 거래 불가능한 경우 구조화 상품을 종료할 수 있다. 절차: ```text Termination Event ↓ Independent Valuation ↓ Collateral Freeze ↓ Priority Waterfall Application ↓ Investor Payment ↓ Residual Asset Distribution ``` --- # Section 1755 # Governance Parameters DAO가 관리하는 Parameter: ```text Initial Margin Maintenance Margin Maximum Leverage Position Limit Open Interest Cap Funding Rate Cap Liquidation Fee Insurance Allocation Settlement Asset Oracle Configuration Product Eligibility ``` --- # Section 1756 # Governance Hard Limits 예시: ```text Collectible Premium Leverage ≤ 2× Gold NFT Basket Leverage ≤ 3× Option Writer Collateral Ratio ≥ Defined Minimum Insurance Allocation ≥ 5% Single Issuer Exposure ≤ Defined Cap Emergency Council Settlement Window ≤ Defined Maximum ``` Hard Limit 변경은 강화된 Governance 절차를 요구한다. --- # Section 1757 # Conflict-of-Interest Controls 다음 참여자는 이해상충을 공개해야 한다. ```text Derivative Issuer Market Maker Oracle Provider Custodian Settlement Committee Liquidator Structured Product Distributor Risk Assessor ``` 자신의 Position에 유리한 Settlement Price 결정에 참여할 수 없다. --- # Section 1758 # Market Surveillance 탐지 대상: ```text Spoofing Wash Trading Front-Running Oracle Manipulation Position Splitting Circular Trading Artificial Funding Manipulation Expiry Price Manipulation Related-</w:t>
      </w:r>
      <w:r w:rsidRPr="00595E10">
        <w:lastRenderedPageBreak/>
        <w:t xml:space="preserve">Account Collusion ``` --- # Section 1759 # MEV Protection 방어수단: ```text Batch Auction Commit-Reveal Orders Encrypted Order Flow Slippage Limits Fair Ordering Private RFQ Delayed Position Disclosure ``` --- # Section 1760 # Position Privacy 기관 또는 대규모 Position은 민감정보를 공개하지 않고 다음을 증명할 수 있다. ```text Margin Above Requirement Position Within Limit No Restricted Exposure Settlement Capacity Available ``` Zero-Knowledge Proof를 사용할 수 있다. --- # Section 1761 # Derivatives Audit 감사범위: ```text Open Interest Margin Accounts Insurance Assets Settlement Obligations Structured Product Reserves Issuer Exposure Oracle Accuracy Liquidation Records ADL Events Fee Distribution ``` --- # Section 1762 # Formal Verification — Position Opening ```move spec open_position { requires available_margin() &gt;= required_initial_margin(); requires new_position_size() &lt;= account_position_limit(); ensures open_interest_after() == old(open_interest_before()) + position_notional(); } ``` --- # Section 1763 # Formal Verification — Margin Withdrawal ```move spec withdraw_margin { requires projected_margin_balance() &gt;= projected_initial_margin_requirement(); ensures margin_balance_after() == old(margin_balance_before()) - withdrawal_amount; } ``` --- # Section 1764 # Formal Verification — Option Exercise ```move spec exercise_option { requires option_status() == ACTIVE; requires current_time() &lt;= expiry_time(); requires caller_is_option_holder(); ensures option_status() == EXERCISED; ensures settlement_amount() == verified_option_payoff(); } ``` --- # Section 1765 # Formal Verification — Covered Option ```move spec issue_covered_call { requires locked_underlying_quantity() &gt;= option_contract_quantity(); ensures underlying_remains_locked() until option_termination(); } ``` --- # Section 1766 # Formal Verification — Futures Settlement ```move spec settle_futures { ensures long_settlement() + short_settlement() + protocol_fees() == total_settlement_resources(); } ``` --- # Section 1767 # Formal Verification — Liquidation ```move spec liquidate_derivative_position { requires margin_ratio() &lt; maintenance_margin_ratio(); ensures liquidated_position_size() &lt;= required_restoration_size(); ensures margin_ratio_after() &gt;= target_margin_ratio() || position_fully_closed(); } ``` --- # Section 1768 # Formal Verification — Insurance Payment ```move spec cover_derivatives_shortfall { requires verified_shortfall(); requires payment_amount &lt;= available_insurance_assets(); ensures remaining_shortfall() == old(remaining_shortfall()) - payment_amount; } ``` --- # Section 1769 # Formal Verification — Structured Product Protection ```move spec settle_principal_protected_note { ensures investor_payment() &gt;= protected_principal_amount() || verified_issuer_default(); } ``` --- # Section 1770 # Formal Verification — No Double Collateral ```move spec derivative_collateral_registry { invariant </w:t>
      </w:r>
      <w:r w:rsidRPr="00595E10">
        <w:lastRenderedPageBreak/>
        <w:t xml:space="preserve">each_collateral_right_has_at_most_one_active_primary_encumbrance(); } ``` --- # Section 1771 # Unit Test Suite 핵심 테스트: ```text Create Forward Contract Create Futures Market Open Long Position Open Short Position Accrue Funding Calculate Mark Price Create Covered Call Create Cash-Collateralized Put Exercise Call Option Exercise Put Option Settle Physical Futures Settle Cash Futures Create NFT Premium Option Create Principal Futures Calculate Option Greeks Create Cross-Margin Account Create Isolated Margin Account Execute Partial Liquidation Use Insurance Fund Issue Principal-Protected Note Settle Structured Product ``` --- # Section 1772 # Negative Test Suite 실패 테스트: ```text Open Position Without Margin Exceed Position Limit Exceed Open Interest Cap Withdraw Required Margin Issue Uncovered Retail Option Exercise Expired Option Exercise Option Twice Use Locked Asset as Loan Collateral Use Delivery Asset in Marketplace Manipulate Mark Price Settle with Stale Oracle Pay Above Insurance Fund Balance Issue Structured Product Above Issuer Limit Use Protected Reserve for Operations Fail to Return Residual Collateral ``` --- # Section 1773 # Integration Test — Gold Futures Lifecycle ```text 1. Gold Futures Market 생성 2. Long과 Short Margin 예치 3. Position 개설 4. Mark Price 갱신 5. Daily PnL 반영 6. Funding 적용 7. Margin Call 발생 8. Additional Collateral 예치 9. 만기 도달 10. Physical 또는 Cash Settlement 11. Collateral 반환 12. Ledger Reconciliation ``` --- # Section 1774 # Integration Test — Gold Option Lifecycle ```text 1. Writer 기초자산 예치 2. Covered Call 발행 3. Buyer Premium 지급 4. Option Secondary Transfer 5. 만기 전 가격상승 6. Exercise Request 7. Strike Payment 8. Gold Asset 이전 9. Premium 확정 10. Option 종료 11. Collateral Vault 정산 ``` --- # Section 1775 # Integration Test — NFT Premium Option ```text 1. Collection Premium Index 생성 2. Wash-Trading Filter 적용 3. Premium Option 발행 4. Premium Payment 5. Index 가격변동 6. Volatility 갱신 7. Settlement Price 확정 8. Cash Payoff 계산 9. Insurance Allocation 10. Contract 종료 ``` --- # Section 1776 # Integration Test — Principal-Protected Note ```text 1. Product Issuer 승인 2. Investor 자산 예치 3. Protected Reserve 분리 4. Gold Call Exposure 구성 5. Product 발행 6. Maturity Monitoring 7. Final Gold Price 결정 8. Protected Principal 계산 9. Derivative Payoff 계산 10. Investor Payment 11. Residual Asset 반환 12. Audit Attestation ``` --- # Section 1777 # Stress Test Stress Scenario: ```text Gold Price 40% 급락 Gold Price 50% 급등 Premium Index 80% 하락 GOLDPEG 15% Depeg Oracle Quorum Loss ETF Trading Suspension Mass Option Exercise Mass Futures Liquidation Insurance Fund Depletion Issuer Default Vault Delivery Failure ``` 측정 항목: ```text Margin Adequacy Liquidation Completion Insurance Usage Bad Debt ADL Frequency Settlement Accuracy Investor Protection Structured Product Solvency ``` --- # Section 1778 # Gamma and Volatility Stress Test 시뮬레이션: ```text </w:t>
      </w:r>
      <w:r w:rsidRPr="00595E10">
        <w:lastRenderedPageBreak/>
        <w:t xml:space="preserve">High Gamma Near Expiry Volatility Spike Liquidity Collapse Large Gap Move Barrier Trigger Clustering Mass Option Exercise ``` Risk Engine은 Option Writer의 최대 Stress Loss를 계산해야 한다. --- # Section 1779 # Funding Stress Test 시뮬레이션 변수: ```text Extreme Long Bias Extreme Short Bias Funding Cap Activation Open Interest Growth Spot–Perpetual Divergence Liquidity Reduction ``` 목표: ```text Controlled Funding Transfer No Funding-Based Insolvency Stable Mark Price Orderly Position Reduction ``` --- # Section 1780 # Delivery Stress Test 시나리오: ```text Mass Physical Delivery Vault Delay Custodian Failure Gold Unit Substitution Insurance Claim Cross-Vault Transfer Delivery Default ``` --- # Section 1781 # Structured Product Stress Test 시나리오: ```text Issuer Default Barrier Event Underlying Termination Protected Reserve Deficiency Early Redemption Wave Oracle Dispute Market Illiquidity ``` --- # Section 1782 # Economic Simulation 변수: ```text Open Interest Trading Volume Funding Rate Option Volume Implied Volatility Liquidation Rate Insurance Contribution Structured Product Issuance Physical Delivery Ratio Market Maker Capacity ``` 목표: ```text Sustainable Fee Revenue Adequate Insurance Fund Controlled Leverage Stable Settlement No Unfunded Product Promise ``` --- # Section 1783 # Upgrade Safety Derivatives Module 업그레이드 시 다음을 보존한다. ```text Open Positions Entry Prices Margin Balances Funding Index Option Ownership Option Collateral Settlement Obligations Structured Product Protection Reserves Insurance Claims Liquidation Queue ``` 기존 계약의 Strike, Maturity 및 Settlement Terms를 소급 변경해서는 안 된다. --- # Section 1784 # Derivatives Transparency Dashboard 공개 정보: ```text Open Interest Long–Short Ratio Funding Rate Mark Price Index Price Insurance Fund Liquidation Volume Option Volume Implied Volatility Structured Product Outstanding Notional Issuer Exposure Settlement Status ``` 개별 사용자의 민감한 Position 정보는 보호한다. --- # Section 1785 # Risk Disclosure 사용자에게 다음을 공시한다. ```text Leverage Risk Margin Call Risk Liquidation Risk Funding Risk Option Premium Loss Unlimited or Large Writer Risk Oracle Risk Settlement Risk Physical Delivery Risk Issuer Risk Structured Product Complexity Regulatory Risk ``` --- # Section 1786 # Chapter 3L Core Invariants ## Margin 충분성 ```text New Position requires Available Margin ≥ Initial Margin ``` ## 청산조건 ```text Position Liquidation requires Margin Below Maintenance Requirement ``` ## Covered Option ```text Covered Option Liability ≤ Locked Underlying Asset ``` ## 현금담보 Put ```text Put Settlement Obligation ≤ Locked Settlement Collateral ``` ## 손익보존 ```text Total Settlement Inflow = Total Settlement Outflow + Protocol Fees + Recognized Shortfall ``` ## 중복담보 금지 ```text One Collateral Right cannot support Multiple Independent Derivative Obligations ``` ## Principal·Premium 분리 ```text Gold Principal Exposure and Collectible Premium </w:t>
      </w:r>
      <w:r w:rsidRPr="00595E10">
        <w:lastRenderedPageBreak/>
        <w:t>Exposure must remain separately accounted ``` ## 구조화 상품 원금보호 ```text Protected Principal Reserve cannot be used for Unrelated Obligations ``` ## 지급능력 ```text Collateral + Insurance + Recoverable Assets ≥ Positive Settlement Obligations + Recognized Losses ``` ## 긴급처리 ```text Emergency Settlement must be Rule-Based + Temporary + Auditable ``` --- # Section 1787 # Chapter 3L Completion Section 1617부터 Section 1787까지 다음 Derivatives Architecture를 완성하였다. ```text Unified Gold Derivatives Registry Spot and Forward Contracts Gold Futures Perpetual Futures Physical and Cash Settlement Mark Price and Index Price Funding Rate Gold Call and Put Options Covered Calls Cash-Collateralized Puts NFT Principal Options Collectible Premium Options Gold NFT and Collection Index Derivatives Gold ETF and GOLDPEG Derivatives LP Hedge Contracts Barrier, Basket and Spread Options Margin Registry Initial and Maintenance Margin Cross, Isolated and Portfolio Margin Option Greeks Volatility Surface Liquidation Engine Insurance Fund Bad Debt and Auto-Deleveraging Position and Leverage Limits Oracle and Manipulation Protection Physical Delivery Structured Gold Products Principal-Protected Notes Yield and Barrier Products Issuer Risk Controls Fee and Revenue Architecture Formal Verification Unit, Integration and Stress Tests ``` 다음 단계는 다음과 같다. # Chapter 3M # Cross-Chain · Bridge · Interoperability · External Settlement Architecture 시작점: ```text Section 1788 ``` 주요 범위: ```text Sui Native Asset Layer Cross-Chain Asset Registry Gold NFT Bridge Gold FT and GOLDPEG Bridge Lock-and-Mint Burn-and-Release Canonical and Wrapped Assets Cross-Chain Messaging Light Client Verification Validator and Threshold Bridge Bridge Insurance Replay Protection Double-Mint Prevention Cross-Chain Reserve Accounting External Exchange and Bank Settlement CBDC and Payment Rail Integration Atomic Swap Cross-Chain Liquidity Bridge Governance Emergency Recovery Formal Verification Tests ``` :::</w:t>
      </w:r>
    </w:p>
    <w:p w14:paraId="27B23028" w14:textId="77777777" w:rsidR="00595E10" w:rsidRPr="00595E10" w:rsidRDefault="00595E10" w:rsidP="00595E10">
      <w:pPr>
        <w:rPr>
          <w:rFonts w:hint="eastAsia"/>
          <w:vanish/>
        </w:rPr>
      </w:pPr>
      <w:r w:rsidRPr="00595E10">
        <w:rPr>
          <w:rFonts w:hint="eastAsia"/>
          <w:vanish/>
        </w:rPr>
        <w:t>양식의 맨 위</w:t>
      </w:r>
    </w:p>
    <w:p w14:paraId="79EE2F0B" w14:textId="77777777" w:rsidR="00595E10" w:rsidRPr="00595E10" w:rsidRDefault="00595E10" w:rsidP="00595E10">
      <w:pPr>
        <w:rPr>
          <w:rFonts w:hint="eastAsia"/>
          <w:vanish/>
        </w:rPr>
      </w:pPr>
      <w:r w:rsidRPr="00595E10">
        <w:rPr>
          <w:rFonts w:hint="eastAsia"/>
          <w:vanish/>
        </w:rPr>
        <w:t>양식의 맨 아래</w:t>
      </w:r>
    </w:p>
    <w:p w14:paraId="49573833" w14:textId="77777777" w:rsidR="002D780E" w:rsidRDefault="002D780E"/>
    <w:sectPr w:rsidR="002D780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E10"/>
    <w:rsid w:val="002D780E"/>
    <w:rsid w:val="00595E10"/>
    <w:rsid w:val="00C616BE"/>
    <w:rsid w:val="00E424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43832"/>
  <w15:chartTrackingRefBased/>
  <w15:docId w15:val="{7C8BC9B4-D702-428F-9CEF-70C5A861F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5E1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5E1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5E1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5E1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5E1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5E1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5E1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5E1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5E1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5E1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5E1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5E1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5E1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5E1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5E1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5E1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5E1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5E1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5E1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5E1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5E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5E1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5E10"/>
    <w:pPr>
      <w:spacing w:before="160"/>
      <w:jc w:val="center"/>
    </w:pPr>
    <w:rPr>
      <w:i/>
      <w:iCs/>
      <w:color w:val="404040" w:themeColor="text1" w:themeTint="BF"/>
    </w:rPr>
  </w:style>
  <w:style w:type="character" w:customStyle="1" w:styleId="Char1">
    <w:name w:val="인용 Char"/>
    <w:basedOn w:val="a0"/>
    <w:link w:val="a5"/>
    <w:uiPriority w:val="29"/>
    <w:rsid w:val="00595E10"/>
    <w:rPr>
      <w:i/>
      <w:iCs/>
      <w:color w:val="404040" w:themeColor="text1" w:themeTint="BF"/>
    </w:rPr>
  </w:style>
  <w:style w:type="paragraph" w:styleId="a6">
    <w:name w:val="List Paragraph"/>
    <w:basedOn w:val="a"/>
    <w:uiPriority w:val="34"/>
    <w:qFormat/>
    <w:rsid w:val="00595E10"/>
    <w:pPr>
      <w:ind w:left="720"/>
      <w:contextualSpacing/>
    </w:pPr>
  </w:style>
  <w:style w:type="character" w:styleId="a7">
    <w:name w:val="Intense Emphasis"/>
    <w:basedOn w:val="a0"/>
    <w:uiPriority w:val="21"/>
    <w:qFormat/>
    <w:rsid w:val="00595E10"/>
    <w:rPr>
      <w:i/>
      <w:iCs/>
      <w:color w:val="0F4761" w:themeColor="accent1" w:themeShade="BF"/>
    </w:rPr>
  </w:style>
  <w:style w:type="paragraph" w:styleId="a8">
    <w:name w:val="Intense Quote"/>
    <w:basedOn w:val="a"/>
    <w:next w:val="a"/>
    <w:link w:val="Char2"/>
    <w:uiPriority w:val="30"/>
    <w:qFormat/>
    <w:rsid w:val="00595E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5E10"/>
    <w:rPr>
      <w:i/>
      <w:iCs/>
      <w:color w:val="0F4761" w:themeColor="accent1" w:themeShade="BF"/>
    </w:rPr>
  </w:style>
  <w:style w:type="character" w:styleId="a9">
    <w:name w:val="Intense Reference"/>
    <w:basedOn w:val="a0"/>
    <w:uiPriority w:val="32"/>
    <w:qFormat/>
    <w:rsid w:val="00595E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2109526">
      <w:bodyDiv w:val="1"/>
      <w:marLeft w:val="0"/>
      <w:marRight w:val="0"/>
      <w:marTop w:val="0"/>
      <w:marBottom w:val="0"/>
      <w:divBdr>
        <w:top w:val="none" w:sz="0" w:space="0" w:color="auto"/>
        <w:left w:val="none" w:sz="0" w:space="0" w:color="auto"/>
        <w:bottom w:val="none" w:sz="0" w:space="0" w:color="auto"/>
        <w:right w:val="none" w:sz="0" w:space="0" w:color="auto"/>
      </w:divBdr>
      <w:divsChild>
        <w:div w:id="924608715">
          <w:marLeft w:val="0"/>
          <w:marRight w:val="0"/>
          <w:marTop w:val="0"/>
          <w:marBottom w:val="0"/>
          <w:divBdr>
            <w:top w:val="none" w:sz="0" w:space="0" w:color="auto"/>
            <w:left w:val="none" w:sz="0" w:space="0" w:color="auto"/>
            <w:bottom w:val="none" w:sz="0" w:space="0" w:color="auto"/>
            <w:right w:val="none" w:sz="0" w:space="0" w:color="auto"/>
          </w:divBdr>
          <w:divsChild>
            <w:div w:id="1013848874">
              <w:marLeft w:val="0"/>
              <w:marRight w:val="0"/>
              <w:marTop w:val="0"/>
              <w:marBottom w:val="0"/>
              <w:divBdr>
                <w:top w:val="none" w:sz="0" w:space="0" w:color="auto"/>
                <w:left w:val="none" w:sz="0" w:space="0" w:color="auto"/>
                <w:bottom w:val="none" w:sz="0" w:space="0" w:color="auto"/>
                <w:right w:val="none" w:sz="0" w:space="0" w:color="auto"/>
              </w:divBdr>
              <w:divsChild>
                <w:div w:id="367529333">
                  <w:marLeft w:val="0"/>
                  <w:marRight w:val="0"/>
                  <w:marTop w:val="0"/>
                  <w:marBottom w:val="0"/>
                  <w:divBdr>
                    <w:top w:val="none" w:sz="0" w:space="0" w:color="auto"/>
                    <w:left w:val="none" w:sz="0" w:space="0" w:color="auto"/>
                    <w:bottom w:val="none" w:sz="0" w:space="0" w:color="auto"/>
                    <w:right w:val="none" w:sz="0" w:space="0" w:color="auto"/>
                  </w:divBdr>
                  <w:divsChild>
                    <w:div w:id="186720295">
                      <w:marLeft w:val="0"/>
                      <w:marRight w:val="0"/>
                      <w:marTop w:val="0"/>
                      <w:marBottom w:val="0"/>
                      <w:divBdr>
                        <w:top w:val="none" w:sz="0" w:space="0" w:color="auto"/>
                        <w:left w:val="none" w:sz="0" w:space="0" w:color="auto"/>
                        <w:bottom w:val="none" w:sz="0" w:space="0" w:color="auto"/>
                        <w:right w:val="none" w:sz="0" w:space="0" w:color="auto"/>
                      </w:divBdr>
                      <w:divsChild>
                        <w:div w:id="712197192">
                          <w:marLeft w:val="0"/>
                          <w:marRight w:val="0"/>
                          <w:marTop w:val="0"/>
                          <w:marBottom w:val="0"/>
                          <w:divBdr>
                            <w:top w:val="none" w:sz="0" w:space="0" w:color="auto"/>
                            <w:left w:val="none" w:sz="0" w:space="0" w:color="auto"/>
                            <w:bottom w:val="none" w:sz="0" w:space="0" w:color="auto"/>
                            <w:right w:val="none" w:sz="0" w:space="0" w:color="auto"/>
                          </w:divBdr>
                          <w:divsChild>
                            <w:div w:id="1710690960">
                              <w:marLeft w:val="0"/>
                              <w:marRight w:val="0"/>
                              <w:marTop w:val="0"/>
                              <w:marBottom w:val="0"/>
                              <w:divBdr>
                                <w:top w:val="none" w:sz="0" w:space="0" w:color="auto"/>
                                <w:left w:val="none" w:sz="0" w:space="0" w:color="auto"/>
                                <w:bottom w:val="none" w:sz="0" w:space="0" w:color="auto"/>
                                <w:right w:val="none" w:sz="0" w:space="0" w:color="auto"/>
                              </w:divBdr>
                              <w:divsChild>
                                <w:div w:id="1851720420">
                                  <w:marLeft w:val="0"/>
                                  <w:marRight w:val="0"/>
                                  <w:marTop w:val="0"/>
                                  <w:marBottom w:val="0"/>
                                  <w:divBdr>
                                    <w:top w:val="none" w:sz="0" w:space="0" w:color="auto"/>
                                    <w:left w:val="none" w:sz="0" w:space="0" w:color="auto"/>
                                    <w:bottom w:val="none" w:sz="0" w:space="0" w:color="auto"/>
                                    <w:right w:val="none" w:sz="0" w:space="0" w:color="auto"/>
                                  </w:divBdr>
                                  <w:divsChild>
                                    <w:div w:id="1463384312">
                                      <w:marLeft w:val="0"/>
                                      <w:marRight w:val="0"/>
                                      <w:marTop w:val="0"/>
                                      <w:marBottom w:val="0"/>
                                      <w:divBdr>
                                        <w:top w:val="none" w:sz="0" w:space="0" w:color="auto"/>
                                        <w:left w:val="none" w:sz="0" w:space="0" w:color="auto"/>
                                        <w:bottom w:val="none" w:sz="0" w:space="0" w:color="auto"/>
                                        <w:right w:val="none" w:sz="0" w:space="0" w:color="auto"/>
                                      </w:divBdr>
                                      <w:divsChild>
                                        <w:div w:id="196989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081554">
          <w:marLeft w:val="0"/>
          <w:marRight w:val="0"/>
          <w:marTop w:val="0"/>
          <w:marBottom w:val="0"/>
          <w:divBdr>
            <w:top w:val="none" w:sz="0" w:space="0" w:color="auto"/>
            <w:left w:val="none" w:sz="0" w:space="0" w:color="auto"/>
            <w:bottom w:val="none" w:sz="0" w:space="0" w:color="auto"/>
            <w:right w:val="none" w:sz="0" w:space="0" w:color="auto"/>
          </w:divBdr>
          <w:divsChild>
            <w:div w:id="1616985050">
              <w:marLeft w:val="0"/>
              <w:marRight w:val="0"/>
              <w:marTop w:val="0"/>
              <w:marBottom w:val="0"/>
              <w:divBdr>
                <w:top w:val="none" w:sz="0" w:space="0" w:color="auto"/>
                <w:left w:val="none" w:sz="0" w:space="0" w:color="auto"/>
                <w:bottom w:val="none" w:sz="0" w:space="0" w:color="auto"/>
                <w:right w:val="none" w:sz="0" w:space="0" w:color="auto"/>
              </w:divBdr>
              <w:divsChild>
                <w:div w:id="359084572">
                  <w:marLeft w:val="0"/>
                  <w:marRight w:val="0"/>
                  <w:marTop w:val="0"/>
                  <w:marBottom w:val="0"/>
                  <w:divBdr>
                    <w:top w:val="none" w:sz="0" w:space="0" w:color="auto"/>
                    <w:left w:val="none" w:sz="0" w:space="0" w:color="auto"/>
                    <w:bottom w:val="none" w:sz="0" w:space="0" w:color="auto"/>
                    <w:right w:val="none" w:sz="0" w:space="0" w:color="auto"/>
                  </w:divBdr>
                  <w:divsChild>
                    <w:div w:id="933981202">
                      <w:marLeft w:val="0"/>
                      <w:marRight w:val="0"/>
                      <w:marTop w:val="0"/>
                      <w:marBottom w:val="0"/>
                      <w:divBdr>
                        <w:top w:val="none" w:sz="0" w:space="0" w:color="auto"/>
                        <w:left w:val="none" w:sz="0" w:space="0" w:color="auto"/>
                        <w:bottom w:val="none" w:sz="0" w:space="0" w:color="auto"/>
                        <w:right w:val="none" w:sz="0" w:space="0" w:color="auto"/>
                      </w:divBdr>
                      <w:divsChild>
                        <w:div w:id="605623506">
                          <w:marLeft w:val="0"/>
                          <w:marRight w:val="0"/>
                          <w:marTop w:val="0"/>
                          <w:marBottom w:val="0"/>
                          <w:divBdr>
                            <w:top w:val="none" w:sz="0" w:space="0" w:color="auto"/>
                            <w:left w:val="none" w:sz="0" w:space="0" w:color="auto"/>
                            <w:bottom w:val="none" w:sz="0" w:space="0" w:color="auto"/>
                            <w:right w:val="none" w:sz="0" w:space="0" w:color="auto"/>
                          </w:divBdr>
                          <w:divsChild>
                            <w:div w:id="1623345952">
                              <w:marLeft w:val="0"/>
                              <w:marRight w:val="0"/>
                              <w:marTop w:val="0"/>
                              <w:marBottom w:val="0"/>
                              <w:divBdr>
                                <w:top w:val="none" w:sz="0" w:space="0" w:color="auto"/>
                                <w:left w:val="none" w:sz="0" w:space="0" w:color="auto"/>
                                <w:bottom w:val="none" w:sz="0" w:space="0" w:color="auto"/>
                                <w:right w:val="none" w:sz="0" w:space="0" w:color="auto"/>
                              </w:divBdr>
                              <w:divsChild>
                                <w:div w:id="1448739019">
                                  <w:marLeft w:val="0"/>
                                  <w:marRight w:val="0"/>
                                  <w:marTop w:val="0"/>
                                  <w:marBottom w:val="0"/>
                                  <w:divBdr>
                                    <w:top w:val="none" w:sz="0" w:space="0" w:color="auto"/>
                                    <w:left w:val="none" w:sz="0" w:space="0" w:color="auto"/>
                                    <w:bottom w:val="none" w:sz="0" w:space="0" w:color="auto"/>
                                    <w:right w:val="none" w:sz="0" w:space="0" w:color="auto"/>
                                  </w:divBdr>
                                  <w:divsChild>
                                    <w:div w:id="170074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6084078">
      <w:bodyDiv w:val="1"/>
      <w:marLeft w:val="0"/>
      <w:marRight w:val="0"/>
      <w:marTop w:val="0"/>
      <w:marBottom w:val="0"/>
      <w:divBdr>
        <w:top w:val="none" w:sz="0" w:space="0" w:color="auto"/>
        <w:left w:val="none" w:sz="0" w:space="0" w:color="auto"/>
        <w:bottom w:val="none" w:sz="0" w:space="0" w:color="auto"/>
        <w:right w:val="none" w:sz="0" w:space="0" w:color="auto"/>
      </w:divBdr>
      <w:divsChild>
        <w:div w:id="1780418328">
          <w:marLeft w:val="0"/>
          <w:marRight w:val="0"/>
          <w:marTop w:val="0"/>
          <w:marBottom w:val="0"/>
          <w:divBdr>
            <w:top w:val="none" w:sz="0" w:space="0" w:color="auto"/>
            <w:left w:val="none" w:sz="0" w:space="0" w:color="auto"/>
            <w:bottom w:val="none" w:sz="0" w:space="0" w:color="auto"/>
            <w:right w:val="none" w:sz="0" w:space="0" w:color="auto"/>
          </w:divBdr>
          <w:divsChild>
            <w:div w:id="487014284">
              <w:marLeft w:val="0"/>
              <w:marRight w:val="0"/>
              <w:marTop w:val="0"/>
              <w:marBottom w:val="0"/>
              <w:divBdr>
                <w:top w:val="none" w:sz="0" w:space="0" w:color="auto"/>
                <w:left w:val="none" w:sz="0" w:space="0" w:color="auto"/>
                <w:bottom w:val="none" w:sz="0" w:space="0" w:color="auto"/>
                <w:right w:val="none" w:sz="0" w:space="0" w:color="auto"/>
              </w:divBdr>
              <w:divsChild>
                <w:div w:id="1475223305">
                  <w:marLeft w:val="0"/>
                  <w:marRight w:val="0"/>
                  <w:marTop w:val="0"/>
                  <w:marBottom w:val="0"/>
                  <w:divBdr>
                    <w:top w:val="none" w:sz="0" w:space="0" w:color="auto"/>
                    <w:left w:val="none" w:sz="0" w:space="0" w:color="auto"/>
                    <w:bottom w:val="none" w:sz="0" w:space="0" w:color="auto"/>
                    <w:right w:val="none" w:sz="0" w:space="0" w:color="auto"/>
                  </w:divBdr>
                  <w:divsChild>
                    <w:div w:id="560217378">
                      <w:marLeft w:val="0"/>
                      <w:marRight w:val="0"/>
                      <w:marTop w:val="0"/>
                      <w:marBottom w:val="0"/>
                      <w:divBdr>
                        <w:top w:val="none" w:sz="0" w:space="0" w:color="auto"/>
                        <w:left w:val="none" w:sz="0" w:space="0" w:color="auto"/>
                        <w:bottom w:val="none" w:sz="0" w:space="0" w:color="auto"/>
                        <w:right w:val="none" w:sz="0" w:space="0" w:color="auto"/>
                      </w:divBdr>
                      <w:divsChild>
                        <w:div w:id="284315598">
                          <w:marLeft w:val="0"/>
                          <w:marRight w:val="0"/>
                          <w:marTop w:val="0"/>
                          <w:marBottom w:val="0"/>
                          <w:divBdr>
                            <w:top w:val="none" w:sz="0" w:space="0" w:color="auto"/>
                            <w:left w:val="none" w:sz="0" w:space="0" w:color="auto"/>
                            <w:bottom w:val="none" w:sz="0" w:space="0" w:color="auto"/>
                            <w:right w:val="none" w:sz="0" w:space="0" w:color="auto"/>
                          </w:divBdr>
                          <w:divsChild>
                            <w:div w:id="580531614">
                              <w:marLeft w:val="0"/>
                              <w:marRight w:val="0"/>
                              <w:marTop w:val="0"/>
                              <w:marBottom w:val="0"/>
                              <w:divBdr>
                                <w:top w:val="none" w:sz="0" w:space="0" w:color="auto"/>
                                <w:left w:val="none" w:sz="0" w:space="0" w:color="auto"/>
                                <w:bottom w:val="none" w:sz="0" w:space="0" w:color="auto"/>
                                <w:right w:val="none" w:sz="0" w:space="0" w:color="auto"/>
                              </w:divBdr>
                              <w:divsChild>
                                <w:div w:id="377049625">
                                  <w:marLeft w:val="0"/>
                                  <w:marRight w:val="0"/>
                                  <w:marTop w:val="0"/>
                                  <w:marBottom w:val="0"/>
                                  <w:divBdr>
                                    <w:top w:val="none" w:sz="0" w:space="0" w:color="auto"/>
                                    <w:left w:val="none" w:sz="0" w:space="0" w:color="auto"/>
                                    <w:bottom w:val="none" w:sz="0" w:space="0" w:color="auto"/>
                                    <w:right w:val="none" w:sz="0" w:space="0" w:color="auto"/>
                                  </w:divBdr>
                                  <w:divsChild>
                                    <w:div w:id="191234532">
                                      <w:marLeft w:val="0"/>
                                      <w:marRight w:val="0"/>
                                      <w:marTop w:val="0"/>
                                      <w:marBottom w:val="0"/>
                                      <w:divBdr>
                                        <w:top w:val="none" w:sz="0" w:space="0" w:color="auto"/>
                                        <w:left w:val="none" w:sz="0" w:space="0" w:color="auto"/>
                                        <w:bottom w:val="none" w:sz="0" w:space="0" w:color="auto"/>
                                        <w:right w:val="none" w:sz="0" w:space="0" w:color="auto"/>
                                      </w:divBdr>
                                      <w:divsChild>
                                        <w:div w:id="7401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4849685">
          <w:marLeft w:val="0"/>
          <w:marRight w:val="0"/>
          <w:marTop w:val="0"/>
          <w:marBottom w:val="0"/>
          <w:divBdr>
            <w:top w:val="none" w:sz="0" w:space="0" w:color="auto"/>
            <w:left w:val="none" w:sz="0" w:space="0" w:color="auto"/>
            <w:bottom w:val="none" w:sz="0" w:space="0" w:color="auto"/>
            <w:right w:val="none" w:sz="0" w:space="0" w:color="auto"/>
          </w:divBdr>
          <w:divsChild>
            <w:div w:id="1673606996">
              <w:marLeft w:val="0"/>
              <w:marRight w:val="0"/>
              <w:marTop w:val="0"/>
              <w:marBottom w:val="0"/>
              <w:divBdr>
                <w:top w:val="none" w:sz="0" w:space="0" w:color="auto"/>
                <w:left w:val="none" w:sz="0" w:space="0" w:color="auto"/>
                <w:bottom w:val="none" w:sz="0" w:space="0" w:color="auto"/>
                <w:right w:val="none" w:sz="0" w:space="0" w:color="auto"/>
              </w:divBdr>
              <w:divsChild>
                <w:div w:id="1455438831">
                  <w:marLeft w:val="0"/>
                  <w:marRight w:val="0"/>
                  <w:marTop w:val="0"/>
                  <w:marBottom w:val="0"/>
                  <w:divBdr>
                    <w:top w:val="none" w:sz="0" w:space="0" w:color="auto"/>
                    <w:left w:val="none" w:sz="0" w:space="0" w:color="auto"/>
                    <w:bottom w:val="none" w:sz="0" w:space="0" w:color="auto"/>
                    <w:right w:val="none" w:sz="0" w:space="0" w:color="auto"/>
                  </w:divBdr>
                  <w:divsChild>
                    <w:div w:id="1553034153">
                      <w:marLeft w:val="0"/>
                      <w:marRight w:val="0"/>
                      <w:marTop w:val="0"/>
                      <w:marBottom w:val="0"/>
                      <w:divBdr>
                        <w:top w:val="none" w:sz="0" w:space="0" w:color="auto"/>
                        <w:left w:val="none" w:sz="0" w:space="0" w:color="auto"/>
                        <w:bottom w:val="none" w:sz="0" w:space="0" w:color="auto"/>
                        <w:right w:val="none" w:sz="0" w:space="0" w:color="auto"/>
                      </w:divBdr>
                      <w:divsChild>
                        <w:div w:id="1124227201">
                          <w:marLeft w:val="0"/>
                          <w:marRight w:val="0"/>
                          <w:marTop w:val="0"/>
                          <w:marBottom w:val="0"/>
                          <w:divBdr>
                            <w:top w:val="none" w:sz="0" w:space="0" w:color="auto"/>
                            <w:left w:val="none" w:sz="0" w:space="0" w:color="auto"/>
                            <w:bottom w:val="none" w:sz="0" w:space="0" w:color="auto"/>
                            <w:right w:val="none" w:sz="0" w:space="0" w:color="auto"/>
                          </w:divBdr>
                          <w:divsChild>
                            <w:div w:id="386152290">
                              <w:marLeft w:val="0"/>
                              <w:marRight w:val="0"/>
                              <w:marTop w:val="0"/>
                              <w:marBottom w:val="0"/>
                              <w:divBdr>
                                <w:top w:val="none" w:sz="0" w:space="0" w:color="auto"/>
                                <w:left w:val="none" w:sz="0" w:space="0" w:color="auto"/>
                                <w:bottom w:val="none" w:sz="0" w:space="0" w:color="auto"/>
                                <w:right w:val="none" w:sz="0" w:space="0" w:color="auto"/>
                              </w:divBdr>
                              <w:divsChild>
                                <w:div w:id="2043095150">
                                  <w:marLeft w:val="0"/>
                                  <w:marRight w:val="0"/>
                                  <w:marTop w:val="0"/>
                                  <w:marBottom w:val="0"/>
                                  <w:divBdr>
                                    <w:top w:val="none" w:sz="0" w:space="0" w:color="auto"/>
                                    <w:left w:val="none" w:sz="0" w:space="0" w:color="auto"/>
                                    <w:bottom w:val="none" w:sz="0" w:space="0" w:color="auto"/>
                                    <w:right w:val="none" w:sz="0" w:space="0" w:color="auto"/>
                                  </w:divBdr>
                                  <w:divsChild>
                                    <w:div w:id="98011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5991</Words>
  <Characters>34151</Characters>
  <Application>Microsoft Office Word</Application>
  <DocSecurity>0</DocSecurity>
  <Lines>284</Lines>
  <Paragraphs>80</Paragraphs>
  <ScaleCrop>false</ScaleCrop>
  <Company/>
  <LinksUpToDate>false</LinksUpToDate>
  <CharactersWithSpaces>40062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Shin</dc:creator>
  <cp:keywords/>
  <dc:description/>
  <cp:lastModifiedBy>Raphael Shin</cp:lastModifiedBy>
  <cp:revision>1</cp:revision>
  <dcterms:created xsi:type="dcterms:W3CDTF">2026-07-21T13:09:00Z</dcterms:created>
  <dcterms:modified xsi:type="dcterms:W3CDTF">2026-07-21T13:09:00Z</dcterms:modified>
</cp:coreProperties>
</file>