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08E8" w14:textId="07FE41C5" w:rsidR="00E53EE6" w:rsidRPr="007033D8" w:rsidRDefault="00E53EE6" w:rsidP="00B336BD">
      <w:pPr>
        <w:spacing w:after="0" w:line="360" w:lineRule="auto"/>
        <w:jc w:val="center"/>
        <w:outlineLvl w:val="0"/>
        <w:rPr>
          <w:rFonts w:ascii="Calibri" w:eastAsia="Times New Roman" w:hAnsi="Calibri" w:cs="Calibri"/>
          <w:b/>
          <w:bCs/>
          <w:color w:val="0070C0"/>
          <w:kern w:val="36"/>
          <w:lang w:eastAsia="en-GB"/>
          <w14:ligatures w14:val="none"/>
        </w:rPr>
      </w:pPr>
      <w:r w:rsidRPr="007033D8">
        <w:rPr>
          <w:rFonts w:ascii="Calibri" w:eastAsia="Times New Roman" w:hAnsi="Calibri" w:cs="Calibri"/>
          <w:b/>
          <w:bCs/>
          <w:color w:val="0070C0"/>
          <w:kern w:val="36"/>
          <w:lang w:eastAsia="en-GB"/>
          <w14:ligatures w14:val="none"/>
        </w:rPr>
        <w:t xml:space="preserve">Hospital-Level Variation in Liver Radiodensity and Chemotherapy-Induced </w:t>
      </w:r>
      <w:r w:rsidRPr="007033D8">
        <w:rPr>
          <w:rFonts w:ascii="Calibri" w:eastAsia="Times New Roman" w:hAnsi="Calibri" w:cs="Calibri"/>
          <w:b/>
          <w:bCs/>
          <w:color w:val="0070C0"/>
          <w:kern w:val="36"/>
          <w:lang w:eastAsia="en-GB"/>
          <w14:ligatures w14:val="none"/>
        </w:rPr>
        <w:br/>
        <w:t>Toxicities in Colon Cancer Patients</w:t>
      </w:r>
    </w:p>
    <w:p w14:paraId="33774845" w14:textId="01689E1F" w:rsidR="005F4539" w:rsidRPr="00015762" w:rsidRDefault="005F4539" w:rsidP="00015762">
      <w:pPr>
        <w:spacing w:after="0" w:line="360" w:lineRule="auto"/>
        <w:jc w:val="center"/>
        <w:rPr>
          <w:rFonts w:ascii="Calibri" w:hAnsi="Calibri" w:cs="Calibri"/>
        </w:rPr>
      </w:pPr>
      <w:r>
        <w:rPr>
          <w:rFonts w:ascii="Calibri" w:hAnsi="Calibri" w:cs="Calibri"/>
        </w:rPr>
        <w:t xml:space="preserve">Abdullah </w:t>
      </w:r>
      <w:proofErr w:type="spellStart"/>
      <w:r>
        <w:rPr>
          <w:rFonts w:ascii="Calibri" w:hAnsi="Calibri" w:cs="Calibri"/>
        </w:rPr>
        <w:t>Abdullah</w:t>
      </w:r>
      <w:proofErr w:type="spellEnd"/>
      <w:r w:rsidR="00BD2979">
        <w:rPr>
          <w:rFonts w:ascii="Calibri" w:hAnsi="Calibri" w:cs="Calibri"/>
        </w:rPr>
        <w:t xml:space="preserve"> &amp;</w:t>
      </w:r>
      <w:r>
        <w:rPr>
          <w:rFonts w:ascii="Calibri" w:hAnsi="Calibri" w:cs="Calibri"/>
        </w:rPr>
        <w:t xml:space="preserve"> Noah Bos</w:t>
      </w:r>
    </w:p>
    <w:p w14:paraId="2F302A1C" w14:textId="212897EE" w:rsidR="001C3668" w:rsidRPr="007033D8" w:rsidRDefault="00E53EE6" w:rsidP="00015762">
      <w:pPr>
        <w:spacing w:before="120" w:after="120" w:line="360" w:lineRule="auto"/>
        <w:rPr>
          <w:rFonts w:ascii="Calibri" w:hAnsi="Calibri" w:cs="Calibri"/>
          <w:b/>
          <w:bCs/>
          <w:color w:val="0070C0"/>
        </w:rPr>
      </w:pPr>
      <w:r w:rsidRPr="007033D8">
        <w:rPr>
          <w:rFonts w:ascii="Calibri" w:hAnsi="Calibri" w:cs="Calibri"/>
          <w:b/>
          <w:bCs/>
          <w:color w:val="0070C0"/>
        </w:rPr>
        <w:t>Introduction</w:t>
      </w:r>
    </w:p>
    <w:p w14:paraId="055F8155" w14:textId="772CD2B8" w:rsidR="00314032" w:rsidRDefault="003A412B" w:rsidP="007033D8">
      <w:pPr>
        <w:spacing w:after="120" w:line="360" w:lineRule="auto"/>
        <w:jc w:val="both"/>
        <w:rPr>
          <w:rFonts w:ascii="Calibri" w:hAnsi="Calibri" w:cs="Calibri"/>
        </w:rPr>
      </w:pPr>
      <w:r w:rsidRPr="003A412B">
        <w:rPr>
          <w:rFonts w:ascii="Calibri" w:hAnsi="Calibri" w:cs="Calibri"/>
        </w:rPr>
        <w:t xml:space="preserve">Capecitabine </w:t>
      </w:r>
      <w:r w:rsidR="009F7278">
        <w:rPr>
          <w:rFonts w:ascii="Calibri" w:hAnsi="Calibri" w:cs="Calibri"/>
        </w:rPr>
        <w:t>and oxaliplatin are</w:t>
      </w:r>
      <w:r w:rsidRPr="003A412B">
        <w:rPr>
          <w:rFonts w:ascii="Calibri" w:hAnsi="Calibri" w:cs="Calibri"/>
        </w:rPr>
        <w:t xml:space="preserve"> </w:t>
      </w:r>
      <w:r w:rsidR="009F7278">
        <w:rPr>
          <w:rFonts w:ascii="Calibri" w:hAnsi="Calibri" w:cs="Calibri"/>
        </w:rPr>
        <w:t>commonly used</w:t>
      </w:r>
      <w:r w:rsidRPr="003A412B">
        <w:rPr>
          <w:rFonts w:ascii="Calibri" w:hAnsi="Calibri" w:cs="Calibri"/>
        </w:rPr>
        <w:t xml:space="preserve"> chemotherapeutic agent</w:t>
      </w:r>
      <w:r w:rsidR="009F7278">
        <w:rPr>
          <w:rFonts w:ascii="Calibri" w:hAnsi="Calibri" w:cs="Calibri"/>
        </w:rPr>
        <w:t>s</w:t>
      </w:r>
      <w:r w:rsidRPr="003A412B">
        <w:rPr>
          <w:rFonts w:ascii="Calibri" w:hAnsi="Calibri" w:cs="Calibri"/>
        </w:rPr>
        <w:t xml:space="preserve"> in the treatment of </w:t>
      </w:r>
      <w:r w:rsidR="009F7278">
        <w:rPr>
          <w:rFonts w:ascii="Calibri" w:hAnsi="Calibri" w:cs="Calibri"/>
        </w:rPr>
        <w:t>s</w:t>
      </w:r>
      <w:r w:rsidRPr="003A412B">
        <w:rPr>
          <w:rFonts w:ascii="Calibri" w:hAnsi="Calibri" w:cs="Calibri"/>
        </w:rPr>
        <w:t>tage</w:t>
      </w:r>
      <w:r w:rsidR="009F7278">
        <w:rPr>
          <w:rFonts w:ascii="Calibri" w:hAnsi="Calibri" w:cs="Calibri"/>
        </w:rPr>
        <w:t xml:space="preserve"> </w:t>
      </w:r>
      <w:r w:rsidRPr="003A412B">
        <w:rPr>
          <w:rFonts w:ascii="Calibri" w:hAnsi="Calibri" w:cs="Calibri"/>
        </w:rPr>
        <w:t>II</w:t>
      </w:r>
      <w:r>
        <w:rPr>
          <w:rFonts w:ascii="Calibri" w:hAnsi="Calibri" w:cs="Calibri"/>
        </w:rPr>
        <w:t xml:space="preserve"> and </w:t>
      </w:r>
      <w:r w:rsidR="009F7278">
        <w:rPr>
          <w:rFonts w:ascii="Calibri" w:hAnsi="Calibri" w:cs="Calibri"/>
        </w:rPr>
        <w:t>s</w:t>
      </w:r>
      <w:r>
        <w:rPr>
          <w:rFonts w:ascii="Calibri" w:hAnsi="Calibri" w:cs="Calibri"/>
        </w:rPr>
        <w:t>tage</w:t>
      </w:r>
      <w:r w:rsidR="009F7278">
        <w:rPr>
          <w:rFonts w:ascii="Calibri" w:hAnsi="Calibri" w:cs="Calibri"/>
        </w:rPr>
        <w:t xml:space="preserve"> </w:t>
      </w:r>
      <w:r w:rsidRPr="003A412B">
        <w:rPr>
          <w:rFonts w:ascii="Calibri" w:hAnsi="Calibri" w:cs="Calibri"/>
        </w:rPr>
        <w:t>III colorectal cancer</w:t>
      </w:r>
      <w:r w:rsidR="009F7278">
        <w:rPr>
          <w:rFonts w:ascii="Calibri" w:hAnsi="Calibri" w:cs="Calibri"/>
        </w:rPr>
        <w:t>, either as monotherapy or in combination (CAPOX regimen)</w:t>
      </w:r>
      <w:r w:rsidRPr="003A412B">
        <w:rPr>
          <w:rFonts w:ascii="Calibri" w:hAnsi="Calibri" w:cs="Calibri"/>
        </w:rPr>
        <w:t>. Although effective,</w:t>
      </w:r>
      <w:r w:rsidR="009F7278">
        <w:rPr>
          <w:rFonts w:ascii="Calibri" w:hAnsi="Calibri" w:cs="Calibri"/>
        </w:rPr>
        <w:t xml:space="preserve"> both agents are associated with clinically relevant </w:t>
      </w:r>
      <w:r w:rsidRPr="003A412B">
        <w:rPr>
          <w:rFonts w:ascii="Calibri" w:hAnsi="Calibri" w:cs="Calibri"/>
        </w:rPr>
        <w:t>toxicities</w:t>
      </w:r>
      <w:r w:rsidR="00314032">
        <w:rPr>
          <w:rFonts w:ascii="Calibri" w:hAnsi="Calibri" w:cs="Calibri"/>
        </w:rPr>
        <w:t xml:space="preserve"> that may lead to</w:t>
      </w:r>
      <w:r w:rsidR="009F7278">
        <w:rPr>
          <w:rFonts w:ascii="Calibri" w:hAnsi="Calibri" w:cs="Calibri"/>
        </w:rPr>
        <w:t xml:space="preserve"> </w:t>
      </w:r>
      <w:r w:rsidRPr="003A412B">
        <w:rPr>
          <w:rFonts w:ascii="Calibri" w:hAnsi="Calibri" w:cs="Calibri"/>
        </w:rPr>
        <w:t>dose reductions, treatment delays, or early discontinuation</w:t>
      </w:r>
      <w:r w:rsidR="00314032">
        <w:rPr>
          <w:rFonts w:ascii="Calibri" w:hAnsi="Calibri" w:cs="Calibri"/>
        </w:rPr>
        <w:t>. Capecitabine-related toxicities frequently include hand-foot syndrome and gastrointestinal side-effects</w:t>
      </w:r>
      <w:r w:rsidRPr="003A412B">
        <w:rPr>
          <w:rFonts w:ascii="Calibri" w:hAnsi="Calibri" w:cs="Calibri"/>
        </w:rPr>
        <w:t xml:space="preserve"> (Scheithauer et al., 2003; Iacovelli et al., 2014).</w:t>
      </w:r>
      <w:r w:rsidR="00314032">
        <w:rPr>
          <w:rFonts w:ascii="Calibri" w:hAnsi="Calibri" w:cs="Calibri"/>
        </w:rPr>
        <w:t xml:space="preserve"> In contrast, oxaliplatin is particularly associated with peripheral neuropathy, a dose-limiting toxicity that develops in a large proportion of treated patients and may persist over time</w:t>
      </w:r>
      <w:r w:rsidR="00743461">
        <w:rPr>
          <w:rFonts w:ascii="Calibri" w:hAnsi="Calibri" w:cs="Calibri"/>
        </w:rPr>
        <w:t xml:space="preserve"> (Renting et al., 2024)</w:t>
      </w:r>
      <w:r w:rsidR="00314032">
        <w:rPr>
          <w:rFonts w:ascii="Calibri" w:hAnsi="Calibri" w:cs="Calibri"/>
        </w:rPr>
        <w:t>.</w:t>
      </w:r>
      <w:r>
        <w:rPr>
          <w:rFonts w:ascii="Calibri" w:hAnsi="Calibri" w:cs="Calibri"/>
        </w:rPr>
        <w:t xml:space="preserve"> It is, therefore, critical to</w:t>
      </w:r>
      <w:r w:rsidRPr="003A412B">
        <w:rPr>
          <w:rFonts w:ascii="Calibri" w:hAnsi="Calibri" w:cs="Calibri"/>
        </w:rPr>
        <w:t xml:space="preserve"> </w:t>
      </w:r>
      <w:r w:rsidR="008674DE">
        <w:rPr>
          <w:rFonts w:ascii="Calibri" w:hAnsi="Calibri" w:cs="Calibri"/>
        </w:rPr>
        <w:t>i</w:t>
      </w:r>
      <w:r w:rsidRPr="003A412B">
        <w:rPr>
          <w:rFonts w:ascii="Calibri" w:hAnsi="Calibri" w:cs="Calibri"/>
        </w:rPr>
        <w:t xml:space="preserve">dentify factors that influence treatment-related </w:t>
      </w:r>
      <w:proofErr w:type="gramStart"/>
      <w:r w:rsidRPr="003A412B">
        <w:rPr>
          <w:rFonts w:ascii="Calibri" w:hAnsi="Calibri" w:cs="Calibri"/>
        </w:rPr>
        <w:t>toxicities</w:t>
      </w:r>
      <w:proofErr w:type="gramEnd"/>
      <w:r w:rsidRPr="003A412B">
        <w:rPr>
          <w:rFonts w:ascii="Calibri" w:hAnsi="Calibri" w:cs="Calibri"/>
        </w:rPr>
        <w:t xml:space="preserve"> </w:t>
      </w:r>
      <w:r>
        <w:rPr>
          <w:rFonts w:ascii="Calibri" w:hAnsi="Calibri" w:cs="Calibri"/>
        </w:rPr>
        <w:t xml:space="preserve">and this </w:t>
      </w:r>
      <w:r w:rsidRPr="003A412B">
        <w:rPr>
          <w:rFonts w:ascii="Calibri" w:hAnsi="Calibri" w:cs="Calibri"/>
        </w:rPr>
        <w:t>remains an important clinical and research priority.</w:t>
      </w:r>
      <w:r>
        <w:rPr>
          <w:rFonts w:ascii="Calibri" w:hAnsi="Calibri" w:cs="Calibri"/>
        </w:rPr>
        <w:t xml:space="preserve"> </w:t>
      </w:r>
    </w:p>
    <w:p w14:paraId="39041033" w14:textId="578D4B72" w:rsidR="001C3668" w:rsidRDefault="003A412B" w:rsidP="007033D8">
      <w:pPr>
        <w:spacing w:after="120" w:line="360" w:lineRule="auto"/>
        <w:jc w:val="both"/>
        <w:rPr>
          <w:rFonts w:ascii="Calibri" w:hAnsi="Calibri" w:cs="Calibri"/>
        </w:rPr>
      </w:pPr>
      <w:r w:rsidRPr="003A412B">
        <w:rPr>
          <w:rFonts w:ascii="Calibri" w:hAnsi="Calibri" w:cs="Calibri"/>
        </w:rPr>
        <w:t>Recent analyses within the COLON cohort</w:t>
      </w:r>
      <w:r w:rsidR="00314032">
        <w:rPr>
          <w:rFonts w:ascii="Calibri" w:hAnsi="Calibri" w:cs="Calibri"/>
        </w:rPr>
        <w:t>, a prospective multicentre cohort study conducted in the Netherlands,</w:t>
      </w:r>
      <w:r w:rsidRPr="003A412B">
        <w:rPr>
          <w:rFonts w:ascii="Calibri" w:hAnsi="Calibri" w:cs="Calibri"/>
        </w:rPr>
        <w:t xml:space="preserve"> showed that circulating folic acid and folic acid supplement use were associated with</w:t>
      </w:r>
      <w:r w:rsidR="00314032">
        <w:rPr>
          <w:rFonts w:ascii="Calibri" w:hAnsi="Calibri" w:cs="Calibri"/>
        </w:rPr>
        <w:t xml:space="preserve"> an</w:t>
      </w:r>
      <w:r w:rsidRPr="003A412B">
        <w:rPr>
          <w:rFonts w:ascii="Calibri" w:hAnsi="Calibri" w:cs="Calibri"/>
        </w:rPr>
        <w:t xml:space="preserve"> increased risk of capecitabine-induced toxicities </w:t>
      </w:r>
      <w:r w:rsidR="00BD0D32">
        <w:rPr>
          <w:rFonts w:ascii="Calibri" w:hAnsi="Calibri" w:cs="Calibri"/>
        </w:rPr>
        <w:t>among</w:t>
      </w:r>
      <w:r w:rsidR="00314032">
        <w:rPr>
          <w:rFonts w:ascii="Calibri" w:hAnsi="Calibri" w:cs="Calibri"/>
        </w:rPr>
        <w:t xml:space="preserve"> </w:t>
      </w:r>
      <w:r w:rsidR="00BD0D32">
        <w:rPr>
          <w:rFonts w:ascii="Calibri" w:hAnsi="Calibri" w:cs="Calibri"/>
        </w:rPr>
        <w:t xml:space="preserve">patients with colon or rectal cancer </w:t>
      </w:r>
      <w:r w:rsidRPr="003A412B">
        <w:rPr>
          <w:rFonts w:ascii="Calibri" w:hAnsi="Calibri" w:cs="Calibri"/>
        </w:rPr>
        <w:t xml:space="preserve">(Kok et al., 2024). </w:t>
      </w:r>
      <w:r w:rsidR="00314032">
        <w:rPr>
          <w:rFonts w:ascii="Calibri" w:hAnsi="Calibri" w:cs="Calibri"/>
        </w:rPr>
        <w:t xml:space="preserve">Additional work within this cohort has examined nutritional determinants of chronic oxaliplatin-induced toxicities. </w:t>
      </w:r>
      <w:r w:rsidRPr="003A412B">
        <w:rPr>
          <w:rFonts w:ascii="Calibri" w:hAnsi="Calibri" w:cs="Calibri"/>
        </w:rPr>
        <w:t xml:space="preserve">These findings </w:t>
      </w:r>
      <w:r w:rsidR="00314032">
        <w:rPr>
          <w:rFonts w:ascii="Calibri" w:hAnsi="Calibri" w:cs="Calibri"/>
        </w:rPr>
        <w:t>suggest</w:t>
      </w:r>
      <w:r w:rsidRPr="003A412B">
        <w:rPr>
          <w:rFonts w:ascii="Calibri" w:hAnsi="Calibri" w:cs="Calibri"/>
        </w:rPr>
        <w:t xml:space="preserve"> that metabolic and nutritional factors may </w:t>
      </w:r>
      <w:r w:rsidR="009A3AF0">
        <w:rPr>
          <w:rFonts w:ascii="Calibri" w:hAnsi="Calibri" w:cs="Calibri"/>
        </w:rPr>
        <w:t>predispose patients to</w:t>
      </w:r>
      <w:r w:rsidRPr="003A412B">
        <w:rPr>
          <w:rFonts w:ascii="Calibri" w:hAnsi="Calibri" w:cs="Calibri"/>
        </w:rPr>
        <w:t xml:space="preserve"> chemotherapy</w:t>
      </w:r>
      <w:r w:rsidR="009A3AF0">
        <w:rPr>
          <w:rFonts w:ascii="Calibri" w:hAnsi="Calibri" w:cs="Calibri"/>
        </w:rPr>
        <w:t>-induced toxicities, although causal relations cannot be established within observational designs</w:t>
      </w:r>
      <w:r w:rsidRPr="003A412B">
        <w:rPr>
          <w:rFonts w:ascii="Calibri" w:hAnsi="Calibri" w:cs="Calibri"/>
        </w:rPr>
        <w:t>.</w:t>
      </w:r>
    </w:p>
    <w:p w14:paraId="4148BDF1" w14:textId="62944627" w:rsidR="001C3668" w:rsidRDefault="003A412B" w:rsidP="007033D8">
      <w:pPr>
        <w:spacing w:after="120" w:line="360" w:lineRule="auto"/>
        <w:jc w:val="both"/>
        <w:rPr>
          <w:rFonts w:ascii="Calibri" w:hAnsi="Calibri" w:cs="Calibri"/>
        </w:rPr>
      </w:pPr>
      <w:r w:rsidRPr="003A412B">
        <w:rPr>
          <w:rFonts w:ascii="Calibri" w:hAnsi="Calibri" w:cs="Calibri"/>
        </w:rPr>
        <w:t xml:space="preserve">In the current project, we focus on liver fat accumulation, measured as liver radiodensity on computed tomography (CT) scans </w:t>
      </w:r>
      <w:r w:rsidR="00716980">
        <w:rPr>
          <w:rFonts w:ascii="Calibri" w:hAnsi="Calibri" w:cs="Calibri"/>
        </w:rPr>
        <w:t xml:space="preserve">taken </w:t>
      </w:r>
      <w:r w:rsidRPr="003A412B">
        <w:rPr>
          <w:rFonts w:ascii="Calibri" w:hAnsi="Calibri" w:cs="Calibri"/>
        </w:rPr>
        <w:t>at the time of diagnosis, as a potential determinant of chemotherapy-induced side-effects. The data originate from the prospective COLON study, in which patients</w:t>
      </w:r>
      <w:r w:rsidR="00716980">
        <w:rPr>
          <w:rFonts w:ascii="Calibri" w:hAnsi="Calibri" w:cs="Calibri"/>
        </w:rPr>
        <w:t xml:space="preserve"> newly diagnosed with colorectal cancer</w:t>
      </w:r>
      <w:r w:rsidRPr="003A412B">
        <w:rPr>
          <w:rFonts w:ascii="Calibri" w:hAnsi="Calibri" w:cs="Calibri"/>
        </w:rPr>
        <w:t xml:space="preserve"> were recruited from 11 hospitals in the Netherlands (Winkels et al., 2014). While inclusion</w:t>
      </w:r>
      <w:r w:rsidR="001C3668">
        <w:rPr>
          <w:rFonts w:ascii="Calibri" w:hAnsi="Calibri" w:cs="Calibri"/>
        </w:rPr>
        <w:t xml:space="preserve"> of patients from different hospitals</w:t>
      </w:r>
      <w:r w:rsidRPr="003A412B">
        <w:rPr>
          <w:rFonts w:ascii="Calibri" w:hAnsi="Calibri" w:cs="Calibri"/>
        </w:rPr>
        <w:t xml:space="preserve"> improves general</w:t>
      </w:r>
      <w:r w:rsidR="001C3668">
        <w:rPr>
          <w:rFonts w:ascii="Calibri" w:hAnsi="Calibri" w:cs="Calibri"/>
        </w:rPr>
        <w:t>iz</w:t>
      </w:r>
      <w:r w:rsidRPr="003A412B">
        <w:rPr>
          <w:rFonts w:ascii="Calibri" w:hAnsi="Calibri" w:cs="Calibri"/>
        </w:rPr>
        <w:t xml:space="preserve">ability, it also introduces potential heterogeneity. Differences in CT scanner characteristics, imaging protocols, and calibration procedures across hospitals may lead to systematic variation in measured liver radiodensity. In addition, differences in patient </w:t>
      </w:r>
      <w:r w:rsidR="00795A37">
        <w:rPr>
          <w:rFonts w:ascii="Calibri" w:hAnsi="Calibri" w:cs="Calibri"/>
        </w:rPr>
        <w:t>characteristics</w:t>
      </w:r>
      <w:r w:rsidRPr="003A412B">
        <w:rPr>
          <w:rFonts w:ascii="Calibri" w:hAnsi="Calibri" w:cs="Calibri"/>
        </w:rPr>
        <w:t xml:space="preserve"> </w:t>
      </w:r>
      <w:r w:rsidR="00795A37">
        <w:rPr>
          <w:rFonts w:ascii="Calibri" w:hAnsi="Calibri" w:cs="Calibri"/>
        </w:rPr>
        <w:t xml:space="preserve">across hospitals (such as age, tumour stage or general health status) </w:t>
      </w:r>
      <w:r w:rsidRPr="003A412B">
        <w:rPr>
          <w:rFonts w:ascii="Calibri" w:hAnsi="Calibri" w:cs="Calibri"/>
        </w:rPr>
        <w:t>or</w:t>
      </w:r>
      <w:r w:rsidR="00795A37">
        <w:rPr>
          <w:rFonts w:ascii="Calibri" w:hAnsi="Calibri" w:cs="Calibri"/>
        </w:rPr>
        <w:t xml:space="preserve"> </w:t>
      </w:r>
      <w:r w:rsidR="00795A37">
        <w:rPr>
          <w:rFonts w:ascii="Calibri" w:hAnsi="Calibri" w:cs="Calibri"/>
        </w:rPr>
        <w:lastRenderedPageBreak/>
        <w:t>differences in</w:t>
      </w:r>
      <w:r w:rsidRPr="003A412B">
        <w:rPr>
          <w:rFonts w:ascii="Calibri" w:hAnsi="Calibri" w:cs="Calibri"/>
        </w:rPr>
        <w:t xml:space="preserve"> clinical practices across </w:t>
      </w:r>
      <w:r w:rsidR="001C3668">
        <w:rPr>
          <w:rFonts w:ascii="Calibri" w:hAnsi="Calibri" w:cs="Calibri"/>
        </w:rPr>
        <w:t>hospitals</w:t>
      </w:r>
      <w:r w:rsidRPr="003A412B">
        <w:rPr>
          <w:rFonts w:ascii="Calibri" w:hAnsi="Calibri" w:cs="Calibri"/>
        </w:rPr>
        <w:t xml:space="preserve"> may influence the occurrence of treatment-related toxicities.</w:t>
      </w:r>
    </w:p>
    <w:p w14:paraId="58E21B26" w14:textId="6D543C07" w:rsidR="00A83484" w:rsidRDefault="001C3668" w:rsidP="007033D8">
      <w:pPr>
        <w:spacing w:after="120" w:line="360" w:lineRule="auto"/>
        <w:jc w:val="both"/>
        <w:rPr>
          <w:rFonts w:ascii="Calibri" w:hAnsi="Calibri" w:cs="Calibri"/>
        </w:rPr>
      </w:pPr>
      <w:r w:rsidRPr="001C3668">
        <w:rPr>
          <w:rFonts w:ascii="Calibri" w:hAnsi="Calibri" w:cs="Calibri"/>
        </w:rPr>
        <w:t xml:space="preserve">If hospital-level differences are present, they may affect the estimated association between liver radiodensity and </w:t>
      </w:r>
      <w:r w:rsidR="008148C4">
        <w:rPr>
          <w:rFonts w:ascii="Calibri" w:hAnsi="Calibri" w:cs="Calibri"/>
        </w:rPr>
        <w:t xml:space="preserve">risk of </w:t>
      </w:r>
      <w:r w:rsidRPr="001C3668">
        <w:rPr>
          <w:rFonts w:ascii="Calibri" w:hAnsi="Calibri" w:cs="Calibri"/>
        </w:rPr>
        <w:t xml:space="preserve">chemotherapy-induced toxicities. Ignoring such variation could lead to biased estimates or </w:t>
      </w:r>
      <w:r w:rsidR="00A83484">
        <w:rPr>
          <w:rFonts w:ascii="Calibri" w:hAnsi="Calibri" w:cs="Calibri"/>
        </w:rPr>
        <w:t>misleadingly</w:t>
      </w:r>
      <w:r w:rsidRPr="001C3668">
        <w:rPr>
          <w:rFonts w:ascii="Calibri" w:hAnsi="Calibri" w:cs="Calibri"/>
        </w:rPr>
        <w:t xml:space="preserve"> precise confidence intervals. Therefore, it is important to assess whether hospital-level effects exist and to determine how they influence statistical inference.</w:t>
      </w:r>
      <w:r w:rsidR="00F927A2">
        <w:rPr>
          <w:rFonts w:ascii="Calibri" w:hAnsi="Calibri" w:cs="Calibri"/>
        </w:rPr>
        <w:t xml:space="preserve"> Th</w:t>
      </w:r>
      <w:r w:rsidR="00A83484">
        <w:rPr>
          <w:rFonts w:ascii="Calibri" w:hAnsi="Calibri" w:cs="Calibri"/>
        </w:rPr>
        <w:t>e primary</w:t>
      </w:r>
      <w:r w:rsidR="00F927A2">
        <w:rPr>
          <w:rFonts w:ascii="Calibri" w:hAnsi="Calibri" w:cs="Calibri"/>
        </w:rPr>
        <w:t xml:space="preserve"> aim </w:t>
      </w:r>
      <w:r w:rsidRPr="001C3668">
        <w:rPr>
          <w:rFonts w:ascii="Calibri" w:hAnsi="Calibri" w:cs="Calibri"/>
        </w:rPr>
        <w:t>of this p</w:t>
      </w:r>
      <w:r w:rsidR="00A83484">
        <w:rPr>
          <w:rFonts w:ascii="Calibri" w:hAnsi="Calibri" w:cs="Calibri"/>
        </w:rPr>
        <w:t xml:space="preserve">aper is to evaluate how hospital-level variation influences </w:t>
      </w:r>
      <w:r w:rsidR="00C3638C">
        <w:rPr>
          <w:rFonts w:ascii="Calibri" w:hAnsi="Calibri" w:cs="Calibri"/>
        </w:rPr>
        <w:t xml:space="preserve">the estimated risk and </w:t>
      </w:r>
      <w:r w:rsidR="00A83484">
        <w:rPr>
          <w:rFonts w:ascii="Calibri" w:hAnsi="Calibri" w:cs="Calibri"/>
        </w:rPr>
        <w:t>tim</w:t>
      </w:r>
      <w:r w:rsidR="00C3638C">
        <w:rPr>
          <w:rFonts w:ascii="Calibri" w:hAnsi="Calibri" w:cs="Calibri"/>
        </w:rPr>
        <w:t>ing</w:t>
      </w:r>
      <w:r w:rsidR="00A83484">
        <w:rPr>
          <w:rFonts w:ascii="Calibri" w:hAnsi="Calibri" w:cs="Calibri"/>
        </w:rPr>
        <w:t xml:space="preserve"> </w:t>
      </w:r>
      <w:r w:rsidR="00C3638C">
        <w:rPr>
          <w:rFonts w:ascii="Calibri" w:hAnsi="Calibri" w:cs="Calibri"/>
        </w:rPr>
        <w:t>of</w:t>
      </w:r>
      <w:r w:rsidR="00A83484">
        <w:rPr>
          <w:rFonts w:ascii="Calibri" w:hAnsi="Calibri" w:cs="Calibri"/>
        </w:rPr>
        <w:t xml:space="preserve"> chemotherapy-induced toxicit</w:t>
      </w:r>
      <w:r w:rsidR="00C3638C">
        <w:rPr>
          <w:rFonts w:ascii="Calibri" w:hAnsi="Calibri" w:cs="Calibri"/>
        </w:rPr>
        <w:t>ies</w:t>
      </w:r>
      <w:r w:rsidR="00A83484">
        <w:rPr>
          <w:rFonts w:ascii="Calibri" w:hAnsi="Calibri" w:cs="Calibri"/>
        </w:rPr>
        <w:t xml:space="preserve"> in</w:t>
      </w:r>
      <w:r w:rsidR="00C3638C">
        <w:rPr>
          <w:rFonts w:ascii="Calibri" w:hAnsi="Calibri" w:cs="Calibri"/>
        </w:rPr>
        <w:t xml:space="preserve"> relation to liver radiodensity at diagnosis within</w:t>
      </w:r>
      <w:r w:rsidR="00A83484">
        <w:rPr>
          <w:rFonts w:ascii="Calibri" w:hAnsi="Calibri" w:cs="Calibri"/>
        </w:rPr>
        <w:t xml:space="preserve"> a multi-centre observational cohort</w:t>
      </w:r>
      <w:r w:rsidR="00F927A2">
        <w:rPr>
          <w:rFonts w:ascii="Calibri" w:hAnsi="Calibri" w:cs="Calibri"/>
        </w:rPr>
        <w:t xml:space="preserve">. </w:t>
      </w:r>
      <w:r w:rsidR="00A83484">
        <w:rPr>
          <w:rFonts w:ascii="Calibri" w:hAnsi="Calibri" w:cs="Calibri"/>
        </w:rPr>
        <w:t xml:space="preserve">Specifically, we address the following </w:t>
      </w:r>
      <w:r w:rsidR="00F013C4">
        <w:rPr>
          <w:rFonts w:ascii="Calibri" w:hAnsi="Calibri" w:cs="Calibri"/>
        </w:rPr>
        <w:t xml:space="preserve">main </w:t>
      </w:r>
      <w:r w:rsidR="00A83484">
        <w:rPr>
          <w:rFonts w:ascii="Calibri" w:hAnsi="Calibri" w:cs="Calibri"/>
        </w:rPr>
        <w:t>research question:</w:t>
      </w:r>
    </w:p>
    <w:p w14:paraId="40C08CBC" w14:textId="538FCE08" w:rsidR="00F013C4" w:rsidRPr="007033D8" w:rsidRDefault="00A83484" w:rsidP="007033D8">
      <w:pPr>
        <w:spacing w:after="120" w:line="360" w:lineRule="auto"/>
        <w:jc w:val="both"/>
        <w:rPr>
          <w:rFonts w:ascii="Calibri" w:hAnsi="Calibri" w:cs="Calibri"/>
          <w:b/>
          <w:bCs/>
        </w:rPr>
      </w:pPr>
      <w:r w:rsidRPr="00AD0354">
        <w:rPr>
          <w:rFonts w:ascii="Calibri" w:hAnsi="Calibri" w:cs="Calibri"/>
          <w:b/>
          <w:bCs/>
        </w:rPr>
        <w:t>RQ: How does hospital-level variation influence the estimated association between liver radiodensity and time to chemotherapy-induced toxicity?</w:t>
      </w:r>
    </w:p>
    <w:p w14:paraId="7F704C86" w14:textId="4EDFDB8D" w:rsidR="00F013C4" w:rsidRPr="00A83484" w:rsidRDefault="00F013C4" w:rsidP="007033D8">
      <w:pPr>
        <w:spacing w:after="120" w:line="360" w:lineRule="auto"/>
        <w:rPr>
          <w:rFonts w:ascii="Calibri" w:hAnsi="Calibri" w:cs="Calibri"/>
        </w:rPr>
      </w:pPr>
      <w:r>
        <w:rPr>
          <w:rFonts w:ascii="Calibri" w:hAnsi="Calibri" w:cs="Calibri"/>
        </w:rPr>
        <w:t>The study specifically answers the following sub-questions:</w:t>
      </w:r>
    </w:p>
    <w:p w14:paraId="26E83C53" w14:textId="75386D86" w:rsidR="00A83484" w:rsidRPr="00A83484" w:rsidRDefault="00A83484" w:rsidP="00A83484">
      <w:pPr>
        <w:pStyle w:val="ListParagraph"/>
        <w:numPr>
          <w:ilvl w:val="0"/>
          <w:numId w:val="1"/>
        </w:numPr>
        <w:spacing w:after="0" w:line="360" w:lineRule="auto"/>
        <w:jc w:val="both"/>
        <w:rPr>
          <w:rFonts w:ascii="Calibri" w:hAnsi="Calibri" w:cs="Calibri"/>
        </w:rPr>
      </w:pPr>
      <w:r w:rsidRPr="00A83484">
        <w:rPr>
          <w:rFonts w:ascii="Calibri" w:hAnsi="Calibri" w:cs="Calibri"/>
        </w:rPr>
        <w:t>Are there systematic differences between hospitals in liver radiodensity measurements and/or toxicity outcomes?</w:t>
      </w:r>
    </w:p>
    <w:p w14:paraId="365EFE9D" w14:textId="10CE9D07" w:rsidR="00A83484" w:rsidRPr="00A83484" w:rsidRDefault="00A83484" w:rsidP="00A83484">
      <w:pPr>
        <w:pStyle w:val="ListParagraph"/>
        <w:numPr>
          <w:ilvl w:val="0"/>
          <w:numId w:val="1"/>
        </w:numPr>
        <w:spacing w:after="0" w:line="360" w:lineRule="auto"/>
        <w:jc w:val="both"/>
        <w:rPr>
          <w:rFonts w:ascii="Calibri" w:hAnsi="Calibri" w:cs="Calibri"/>
        </w:rPr>
      </w:pPr>
      <w:r w:rsidRPr="00A83484">
        <w:rPr>
          <w:rFonts w:ascii="Calibri" w:hAnsi="Calibri" w:cs="Calibri"/>
        </w:rPr>
        <w:t>How does accounting for hospital-level variation affect the estimated association between liver radiodensity and toxicity?</w:t>
      </w:r>
    </w:p>
    <w:p w14:paraId="4EFB7C74" w14:textId="616AC5DF" w:rsidR="00A83484" w:rsidRDefault="00A83484" w:rsidP="00A83484">
      <w:pPr>
        <w:pStyle w:val="ListParagraph"/>
        <w:numPr>
          <w:ilvl w:val="0"/>
          <w:numId w:val="1"/>
        </w:numPr>
        <w:spacing w:after="0" w:line="360" w:lineRule="auto"/>
        <w:jc w:val="both"/>
        <w:rPr>
          <w:rFonts w:ascii="Calibri" w:hAnsi="Calibri" w:cs="Calibri"/>
        </w:rPr>
      </w:pPr>
      <w:r w:rsidRPr="00A83484">
        <w:rPr>
          <w:rFonts w:ascii="Calibri" w:hAnsi="Calibri" w:cs="Calibri"/>
        </w:rPr>
        <w:t>How should hospital-level heterogeneity be incorporated when interpreting the findings?</w:t>
      </w:r>
    </w:p>
    <w:p w14:paraId="1944B180" w14:textId="3F1C7373" w:rsidR="00D700BF" w:rsidRPr="007033D8" w:rsidRDefault="007033D8" w:rsidP="007878A0">
      <w:pPr>
        <w:spacing w:before="120" w:after="120" w:line="360" w:lineRule="auto"/>
        <w:rPr>
          <w:rFonts w:ascii="Calibri" w:hAnsi="Calibri" w:cs="Calibri"/>
          <w:b/>
          <w:bCs/>
          <w:color w:val="0070C0"/>
        </w:rPr>
      </w:pPr>
      <w:r w:rsidRPr="007033D8">
        <w:rPr>
          <w:rFonts w:ascii="Calibri" w:hAnsi="Calibri" w:cs="Calibri"/>
          <w:b/>
          <w:bCs/>
          <w:color w:val="0070C0"/>
        </w:rPr>
        <w:t>Methods</w:t>
      </w:r>
    </w:p>
    <w:p w14:paraId="710B1C56" w14:textId="052F250E" w:rsidR="00D700BF" w:rsidRDefault="007033D8" w:rsidP="007033D8">
      <w:pPr>
        <w:spacing w:after="120" w:line="360" w:lineRule="auto"/>
        <w:jc w:val="both"/>
        <w:rPr>
          <w:rFonts w:ascii="Calibri" w:hAnsi="Calibri" w:cs="Calibri"/>
        </w:rPr>
      </w:pPr>
      <w:r w:rsidRPr="007033D8">
        <w:rPr>
          <w:rFonts w:ascii="Calibri" w:hAnsi="Calibri" w:cs="Calibri"/>
        </w:rPr>
        <w:t xml:space="preserve">This section describes the study design, variables, and statistical approach used to investigate the association between liver radiodensity and time to chemotherapy-induced toxicity. </w:t>
      </w:r>
      <w:proofErr w:type="gramStart"/>
      <w:r w:rsidRPr="007033D8">
        <w:rPr>
          <w:rFonts w:ascii="Calibri" w:hAnsi="Calibri" w:cs="Calibri"/>
        </w:rPr>
        <w:t>Particular attention</w:t>
      </w:r>
      <w:proofErr w:type="gramEnd"/>
      <w:r w:rsidRPr="007033D8">
        <w:rPr>
          <w:rFonts w:ascii="Calibri" w:hAnsi="Calibri" w:cs="Calibri"/>
        </w:rPr>
        <w:t xml:space="preserve"> is given to the multicentre nature of the data and the potential role of hospital-level variation.</w:t>
      </w:r>
    </w:p>
    <w:p w14:paraId="105B6BD6" w14:textId="42E7232D" w:rsidR="007033D8" w:rsidRPr="007033D8" w:rsidRDefault="007033D8" w:rsidP="007033D8">
      <w:pPr>
        <w:spacing w:after="120" w:line="360" w:lineRule="auto"/>
        <w:rPr>
          <w:rFonts w:ascii="Calibri" w:hAnsi="Calibri" w:cs="Calibri"/>
          <w:b/>
          <w:bCs/>
        </w:rPr>
      </w:pPr>
      <w:r w:rsidRPr="007033D8">
        <w:rPr>
          <w:rFonts w:ascii="Calibri" w:hAnsi="Calibri" w:cs="Calibri"/>
          <w:b/>
          <w:bCs/>
        </w:rPr>
        <w:t>Participants and Study Design</w:t>
      </w:r>
    </w:p>
    <w:p w14:paraId="238E2652" w14:textId="7A3C14A0" w:rsidR="00D700BF" w:rsidRDefault="007033D8" w:rsidP="007033D8">
      <w:pPr>
        <w:spacing w:after="120" w:line="360" w:lineRule="auto"/>
        <w:jc w:val="both"/>
        <w:rPr>
          <w:rFonts w:ascii="Calibri" w:hAnsi="Calibri" w:cs="Calibri"/>
        </w:rPr>
      </w:pPr>
      <w:r w:rsidRPr="007033D8">
        <w:rPr>
          <w:rFonts w:ascii="Calibri" w:hAnsi="Calibri" w:cs="Calibri"/>
        </w:rPr>
        <w:t>The data originate from a prospective multicentre cohort study conducted in the Netherlands, in which patients diagnosed with colorectal cancer were recruited from multiple hospitals and followed during chemotherapy treatment. The study has an observational design, and no intervention was assigned as part of this analysis.</w:t>
      </w:r>
      <w:r>
        <w:rPr>
          <w:rFonts w:ascii="Calibri" w:hAnsi="Calibri" w:cs="Calibri"/>
        </w:rPr>
        <w:t xml:space="preserve"> </w:t>
      </w:r>
      <w:r w:rsidRPr="007033D8">
        <w:rPr>
          <w:rFonts w:ascii="Calibri" w:hAnsi="Calibri" w:cs="Calibri"/>
        </w:rPr>
        <w:t xml:space="preserve">Patients were included if they received </w:t>
      </w:r>
      <w:r w:rsidRPr="007033D8">
        <w:rPr>
          <w:rFonts w:ascii="Calibri" w:hAnsi="Calibri" w:cs="Calibri"/>
        </w:rPr>
        <w:lastRenderedPageBreak/>
        <w:t>chemotherapy involving capecitabine, oxaliplatin, or a combination of both (CAPOX regimen), and if computed tomography (CT) scans at the time of diagnosis were available. Because not all patients received the same treatment, separate analytic samples were defined for each toxicity endpoint. Patients were excluded from a given analysis if they were not at risk for the corresponding toxicity or if information on time to toxicity or event occurrence was missing.</w:t>
      </w:r>
    </w:p>
    <w:p w14:paraId="3FC09A5E" w14:textId="22ABDB49" w:rsidR="007878A0" w:rsidRPr="007878A0" w:rsidRDefault="007878A0" w:rsidP="007878A0">
      <w:pPr>
        <w:spacing w:after="120" w:line="360" w:lineRule="auto"/>
        <w:rPr>
          <w:rFonts w:ascii="Calibri" w:hAnsi="Calibri" w:cs="Calibri"/>
          <w:b/>
          <w:bCs/>
        </w:rPr>
      </w:pPr>
      <w:r w:rsidRPr="007878A0">
        <w:rPr>
          <w:rFonts w:ascii="Calibri" w:hAnsi="Calibri" w:cs="Calibri"/>
          <w:b/>
          <w:bCs/>
        </w:rPr>
        <w:t>Measurements</w:t>
      </w:r>
    </w:p>
    <w:p w14:paraId="1735B18B" w14:textId="5CF79F6C" w:rsidR="007878A0" w:rsidRPr="007878A0" w:rsidRDefault="007878A0" w:rsidP="007878A0">
      <w:pPr>
        <w:spacing w:after="120" w:line="360" w:lineRule="auto"/>
        <w:jc w:val="both"/>
        <w:rPr>
          <w:rFonts w:ascii="Calibri" w:hAnsi="Calibri" w:cs="Calibri"/>
          <w:i/>
          <w:iCs/>
        </w:rPr>
      </w:pPr>
      <w:r w:rsidRPr="007878A0">
        <w:rPr>
          <w:rFonts w:ascii="Calibri" w:hAnsi="Calibri" w:cs="Calibri"/>
          <w:i/>
          <w:iCs/>
        </w:rPr>
        <w:t>Outcome: Time to Dose-Limiting Toxicity</w:t>
      </w:r>
    </w:p>
    <w:p w14:paraId="62034470" w14:textId="7FC2F5A4" w:rsidR="007878A0" w:rsidRPr="007878A0" w:rsidRDefault="007878A0" w:rsidP="007878A0">
      <w:pPr>
        <w:spacing w:after="120" w:line="360" w:lineRule="auto"/>
        <w:jc w:val="both"/>
        <w:rPr>
          <w:rFonts w:ascii="Calibri" w:hAnsi="Calibri" w:cs="Calibri"/>
        </w:rPr>
      </w:pPr>
      <w:r w:rsidRPr="007878A0">
        <w:rPr>
          <w:rFonts w:ascii="Calibri" w:hAnsi="Calibri" w:cs="Calibri"/>
        </w:rPr>
        <w:t>The primary outcome is time to first occurrence of dose-limiting toxicity during chemotherapy treatment. Time was operationalised as the number of chemotherapy cycles completed before the onset of toxicity. For each endpoint, the outcome consists of a time variable and an event indicator specifying whether toxicity occurred. Patients who did not experience toxicity during the observed treatment period were treated as censored at their last completed cycle.</w:t>
      </w:r>
      <w:r>
        <w:rPr>
          <w:rFonts w:ascii="Calibri" w:hAnsi="Calibri" w:cs="Calibri"/>
        </w:rPr>
        <w:t xml:space="preserve"> </w:t>
      </w:r>
      <w:r w:rsidRPr="007878A0">
        <w:rPr>
          <w:rFonts w:ascii="Calibri" w:hAnsi="Calibri" w:cs="Calibri"/>
        </w:rPr>
        <w:t xml:space="preserve">Three toxicity outcomes were considered: toxicity associated with capecitabine, toxicity associated with oxaliplatin, and toxicity associated with the combined CAPOX regimen. </w:t>
      </w:r>
      <w:r w:rsidR="004571CF" w:rsidRPr="004571CF">
        <w:rPr>
          <w:rFonts w:ascii="Calibri" w:hAnsi="Calibri" w:cs="Calibri"/>
        </w:rPr>
        <w:t>Dose-limiting toxicity was defined as any toxicity event leading to a dose reduction, treatment delay, or premature discontinuation of chemotherapy. Each outcome defines a separate risk set, as only patients receiving the corresponding treatment are at risk for that specific toxicity.</w:t>
      </w:r>
      <w:r w:rsidR="004571CF">
        <w:rPr>
          <w:rFonts w:ascii="Calibri" w:hAnsi="Calibri" w:cs="Calibri"/>
        </w:rPr>
        <w:t xml:space="preserve"> </w:t>
      </w:r>
    </w:p>
    <w:p w14:paraId="44D301EF" w14:textId="4B2CDD14" w:rsidR="007878A0" w:rsidRPr="007878A0" w:rsidRDefault="007878A0" w:rsidP="007878A0">
      <w:pPr>
        <w:spacing w:after="120" w:line="360" w:lineRule="auto"/>
        <w:jc w:val="both"/>
        <w:rPr>
          <w:rFonts w:ascii="Calibri" w:hAnsi="Calibri" w:cs="Calibri"/>
          <w:i/>
          <w:iCs/>
        </w:rPr>
      </w:pPr>
      <w:r w:rsidRPr="007878A0">
        <w:rPr>
          <w:rFonts w:ascii="Calibri" w:hAnsi="Calibri" w:cs="Calibri"/>
          <w:i/>
          <w:iCs/>
        </w:rPr>
        <w:t>Exposure: Liver Radiodensity</w:t>
      </w:r>
    </w:p>
    <w:p w14:paraId="72DA861F" w14:textId="1C8F305E" w:rsidR="007878A0" w:rsidRPr="007878A0" w:rsidRDefault="007878A0" w:rsidP="007878A0">
      <w:pPr>
        <w:spacing w:after="120" w:line="360" w:lineRule="auto"/>
        <w:jc w:val="both"/>
        <w:rPr>
          <w:rFonts w:ascii="Calibri" w:hAnsi="Calibri" w:cs="Calibri"/>
        </w:rPr>
      </w:pPr>
      <w:r w:rsidRPr="007878A0">
        <w:rPr>
          <w:rFonts w:ascii="Calibri" w:hAnsi="Calibri" w:cs="Calibri"/>
        </w:rPr>
        <w:t>The main exposure is liver radiodensity measured on CT scans at the time of diagnosis. Radiodensity is expressed in Hounsfield Units (HU), with lower values indicating higher liver fat content. Liver radiodensity was analysed as a continuous variable.</w:t>
      </w:r>
    </w:p>
    <w:p w14:paraId="086D71AD" w14:textId="00C61C00" w:rsidR="007878A0" w:rsidRPr="007878A0" w:rsidRDefault="007878A0" w:rsidP="007878A0">
      <w:pPr>
        <w:spacing w:after="120" w:line="360" w:lineRule="auto"/>
        <w:jc w:val="both"/>
        <w:rPr>
          <w:rFonts w:ascii="Calibri" w:hAnsi="Calibri" w:cs="Calibri"/>
          <w:i/>
          <w:iCs/>
        </w:rPr>
      </w:pPr>
      <w:r w:rsidRPr="007878A0">
        <w:rPr>
          <w:rFonts w:ascii="Calibri" w:hAnsi="Calibri" w:cs="Calibri"/>
          <w:i/>
          <w:iCs/>
        </w:rPr>
        <w:t>Covariates</w:t>
      </w:r>
    </w:p>
    <w:p w14:paraId="32217984" w14:textId="77777777" w:rsidR="00C25A29" w:rsidRDefault="007878A0" w:rsidP="007878A0">
      <w:pPr>
        <w:spacing w:after="120" w:line="360" w:lineRule="auto"/>
        <w:jc w:val="both"/>
        <w:rPr>
          <w:rFonts w:ascii="Calibri" w:hAnsi="Calibri" w:cs="Calibri"/>
        </w:rPr>
      </w:pPr>
      <w:r w:rsidRPr="007878A0">
        <w:rPr>
          <w:rFonts w:ascii="Calibri" w:hAnsi="Calibri" w:cs="Calibri"/>
        </w:rPr>
        <w:t>The analyses adjust for a set of patient and treatment characteristics that may influence the risk of chemotherapy-induced toxicity, including age at diagnosis, sex, body mass index, smoking status, and starting dose of chemotherapy. Starting dose was defined in a treatment-specific manner depending on the toxicity endpoint considered.</w:t>
      </w:r>
    </w:p>
    <w:p w14:paraId="6C3FAC72" w14:textId="5606EEB3" w:rsidR="00C25A29" w:rsidRPr="003A1CA2" w:rsidRDefault="00C25A29" w:rsidP="003A1CA2">
      <w:pPr>
        <w:spacing w:after="120" w:line="360" w:lineRule="auto"/>
        <w:jc w:val="both"/>
        <w:rPr>
          <w:rFonts w:ascii="Calibri" w:hAnsi="Calibri" w:cs="Calibri"/>
          <w:i/>
          <w:iCs/>
        </w:rPr>
      </w:pPr>
      <w:r w:rsidRPr="00C25A29">
        <w:rPr>
          <w:rFonts w:ascii="Calibri" w:hAnsi="Calibri" w:cs="Calibri"/>
          <w:i/>
          <w:iCs/>
        </w:rPr>
        <w:t>Hospital</w:t>
      </w:r>
    </w:p>
    <w:p w14:paraId="0DFA3CB6" w14:textId="77777777" w:rsidR="005342FB" w:rsidRDefault="00C25A29" w:rsidP="00C25A29">
      <w:pPr>
        <w:spacing w:after="120" w:line="360" w:lineRule="auto"/>
        <w:jc w:val="both"/>
        <w:rPr>
          <w:rFonts w:ascii="Calibri" w:hAnsi="Calibri" w:cs="Calibri"/>
        </w:rPr>
      </w:pPr>
      <w:r w:rsidRPr="00C25A29">
        <w:rPr>
          <w:rFonts w:ascii="Calibri" w:hAnsi="Calibri" w:cs="Calibri"/>
        </w:rPr>
        <w:lastRenderedPageBreak/>
        <w:t>Patients were recruited from multiple hospitals. Hospital was treated as a grouping variable to account for potential differences in imaging procedures, patient characteristics, and clinical practices across centres.</w:t>
      </w:r>
    </w:p>
    <w:p w14:paraId="468277A7" w14:textId="16DE5C1C" w:rsidR="005342FB" w:rsidRPr="005342FB" w:rsidRDefault="005342FB" w:rsidP="005342FB">
      <w:pPr>
        <w:spacing w:after="120" w:line="360" w:lineRule="auto"/>
        <w:rPr>
          <w:rFonts w:ascii="Calibri" w:hAnsi="Calibri" w:cs="Calibri"/>
          <w:b/>
          <w:bCs/>
        </w:rPr>
      </w:pPr>
      <w:r w:rsidRPr="005342FB">
        <w:rPr>
          <w:rFonts w:ascii="Calibri" w:hAnsi="Calibri" w:cs="Calibri"/>
          <w:b/>
          <w:bCs/>
        </w:rPr>
        <w:t>Statistical Analysis</w:t>
      </w:r>
    </w:p>
    <w:p w14:paraId="0C1736CD" w14:textId="6B805564" w:rsidR="005342FB" w:rsidRPr="005342FB" w:rsidRDefault="005342FB" w:rsidP="005342FB">
      <w:pPr>
        <w:spacing w:after="120" w:line="360" w:lineRule="auto"/>
        <w:jc w:val="both"/>
        <w:rPr>
          <w:rFonts w:ascii="Calibri" w:hAnsi="Calibri" w:cs="Calibri"/>
          <w:i/>
          <w:iCs/>
        </w:rPr>
      </w:pPr>
      <w:r w:rsidRPr="005342FB">
        <w:rPr>
          <w:rFonts w:ascii="Calibri" w:hAnsi="Calibri" w:cs="Calibri"/>
          <w:i/>
          <w:iCs/>
        </w:rPr>
        <w:t>Descriptive Analysis</w:t>
      </w:r>
    </w:p>
    <w:p w14:paraId="58D92AF6" w14:textId="11D0B281" w:rsidR="005342FB" w:rsidRPr="005342FB" w:rsidRDefault="005342FB" w:rsidP="005342FB">
      <w:pPr>
        <w:spacing w:after="120" w:line="360" w:lineRule="auto"/>
        <w:jc w:val="both"/>
        <w:rPr>
          <w:rFonts w:ascii="Calibri" w:hAnsi="Calibri" w:cs="Calibri"/>
        </w:rPr>
      </w:pPr>
      <w:r w:rsidRPr="005342FB">
        <w:rPr>
          <w:rFonts w:ascii="Calibri" w:hAnsi="Calibri" w:cs="Calibri"/>
        </w:rPr>
        <w:t>Descriptive statistics were used to summarise the study population and to explore the distribution of toxicity outcomes across endpoints and hospitals. Event rates were calculated for each toxicity endpoint, and variation in toxicity occurrence across hospitals was examined.</w:t>
      </w:r>
    </w:p>
    <w:p w14:paraId="4DFF87D1" w14:textId="0E5CBC3C" w:rsidR="005342FB" w:rsidRPr="005342FB" w:rsidRDefault="005342FB" w:rsidP="005342FB">
      <w:pPr>
        <w:spacing w:after="120" w:line="360" w:lineRule="auto"/>
        <w:jc w:val="both"/>
        <w:rPr>
          <w:rFonts w:ascii="Calibri" w:hAnsi="Calibri" w:cs="Calibri"/>
        </w:rPr>
      </w:pPr>
      <w:r w:rsidRPr="005342FB">
        <w:rPr>
          <w:rFonts w:ascii="Calibri" w:hAnsi="Calibri" w:cs="Calibri"/>
        </w:rPr>
        <w:t>Differences in liver radiodensity across hospitals were assessed using one-way analysis of variance (ANOVA). This analysis evaluates whether mean radiodensity values differ between hospitals and provides insight into potential measurement heterogeneity across centres.</w:t>
      </w:r>
    </w:p>
    <w:p w14:paraId="260C0D11" w14:textId="02977FFD" w:rsidR="005342FB" w:rsidRPr="005342FB" w:rsidRDefault="005342FB" w:rsidP="005342FB">
      <w:pPr>
        <w:spacing w:after="120" w:line="360" w:lineRule="auto"/>
        <w:jc w:val="both"/>
        <w:rPr>
          <w:rFonts w:ascii="Calibri" w:hAnsi="Calibri" w:cs="Calibri"/>
          <w:i/>
          <w:iCs/>
        </w:rPr>
      </w:pPr>
      <w:r w:rsidRPr="005342FB">
        <w:rPr>
          <w:rFonts w:ascii="Calibri" w:hAnsi="Calibri" w:cs="Calibri"/>
          <w:i/>
          <w:iCs/>
        </w:rPr>
        <w:t>Survival Analysis</w:t>
      </w:r>
    </w:p>
    <w:p w14:paraId="2D889C69" w14:textId="30C95D1F" w:rsidR="005342FB" w:rsidRPr="005342FB" w:rsidRDefault="005342FB" w:rsidP="005342FB">
      <w:pPr>
        <w:spacing w:after="120" w:line="360" w:lineRule="auto"/>
        <w:jc w:val="both"/>
        <w:rPr>
          <w:rFonts w:ascii="Calibri" w:hAnsi="Calibri" w:cs="Calibri"/>
        </w:rPr>
      </w:pPr>
      <w:r w:rsidRPr="005342FB">
        <w:rPr>
          <w:rFonts w:ascii="Calibri" w:hAnsi="Calibri" w:cs="Calibri"/>
        </w:rPr>
        <w:t>The association between liver radiodensity and time to dose-limiting toxicity was analysed using Cox proportional hazards regression models. Separate models were fitted for each toxicity endpoint (capecitabine, oxaliplatin, and CAPOX), using endpoint-specific datasets that include only patients at risk for the respective toxicity.</w:t>
      </w:r>
      <w:r>
        <w:rPr>
          <w:rFonts w:ascii="Calibri" w:hAnsi="Calibri" w:cs="Calibri"/>
        </w:rPr>
        <w:t xml:space="preserve"> </w:t>
      </w:r>
      <w:r w:rsidRPr="005342FB">
        <w:rPr>
          <w:rFonts w:ascii="Calibri" w:hAnsi="Calibri" w:cs="Calibri"/>
        </w:rPr>
        <w:t>The primary exposure in all models was liver radiodensity. Models were adjusted for age, sex, body mass index, smoking status, and treatment-specific starting dose.</w:t>
      </w:r>
      <w:r>
        <w:rPr>
          <w:rFonts w:ascii="Calibri" w:hAnsi="Calibri" w:cs="Calibri"/>
        </w:rPr>
        <w:t xml:space="preserve"> </w:t>
      </w:r>
      <w:r w:rsidRPr="005342FB">
        <w:rPr>
          <w:rFonts w:ascii="Calibri" w:hAnsi="Calibri" w:cs="Calibri"/>
        </w:rPr>
        <w:t>To account for hospital-level differences, stratified Cox models were used.</w:t>
      </w:r>
      <w:r w:rsidR="00126588" w:rsidRPr="00126588">
        <w:t xml:space="preserve"> </w:t>
      </w:r>
      <w:r w:rsidR="00126588" w:rsidRPr="00126588">
        <w:rPr>
          <w:rFonts w:ascii="Calibri" w:hAnsi="Calibri" w:cs="Calibri"/>
        </w:rPr>
        <w:t>Stratification was preferred over a frailty model because the primary aim was to estimate the within-hospital effect of liver radiodensity rather than to quantify between-hospital variability as a parameter of interest. Stratification makes no distributional assumptions about hospital-level effects and is therefore a more conservative and robust approach in this setting.</w:t>
      </w:r>
      <w:r w:rsidRPr="005342FB">
        <w:rPr>
          <w:rFonts w:ascii="Calibri" w:hAnsi="Calibri" w:cs="Calibri"/>
        </w:rPr>
        <w:t xml:space="preserve"> This approach allows the baseline hazard to vary across hospitals while estimating a common effect of liver radiodensity across centres.</w:t>
      </w:r>
    </w:p>
    <w:p w14:paraId="2E10A109" w14:textId="0CE0300E" w:rsidR="005342FB" w:rsidRPr="005342FB" w:rsidRDefault="005342FB" w:rsidP="005342FB">
      <w:pPr>
        <w:spacing w:after="120" w:line="360" w:lineRule="auto"/>
        <w:jc w:val="both"/>
        <w:rPr>
          <w:rFonts w:ascii="Calibri" w:hAnsi="Calibri" w:cs="Calibri"/>
          <w:i/>
          <w:iCs/>
        </w:rPr>
      </w:pPr>
      <w:r w:rsidRPr="005342FB">
        <w:rPr>
          <w:rFonts w:ascii="Calibri" w:hAnsi="Calibri" w:cs="Calibri"/>
          <w:i/>
          <w:iCs/>
        </w:rPr>
        <w:t>Model Assumptions and Sensitivity Analyses</w:t>
      </w:r>
    </w:p>
    <w:p w14:paraId="3DF0D4FD" w14:textId="6370CD8C" w:rsidR="005342FB" w:rsidRPr="005342FB" w:rsidRDefault="005342FB" w:rsidP="005342FB">
      <w:pPr>
        <w:spacing w:after="120" w:line="360" w:lineRule="auto"/>
        <w:jc w:val="both"/>
        <w:rPr>
          <w:rFonts w:ascii="Calibri" w:hAnsi="Calibri" w:cs="Calibri"/>
        </w:rPr>
      </w:pPr>
      <w:r w:rsidRPr="005342FB">
        <w:rPr>
          <w:rFonts w:ascii="Calibri" w:hAnsi="Calibri" w:cs="Calibri"/>
        </w:rPr>
        <w:t>The proportional hazards assumption was assessed using standard diagnostic methods based on residuals. This assumption implies that the effect of liver radiodensity on toxicity risk remains constant over time.</w:t>
      </w:r>
      <w:r>
        <w:rPr>
          <w:rFonts w:ascii="Calibri" w:hAnsi="Calibri" w:cs="Calibri"/>
        </w:rPr>
        <w:t xml:space="preserve"> </w:t>
      </w:r>
      <w:r w:rsidRPr="005342FB">
        <w:rPr>
          <w:rFonts w:ascii="Calibri" w:hAnsi="Calibri" w:cs="Calibri"/>
        </w:rPr>
        <w:t xml:space="preserve">Potential issues related to missing covariate data were evaluated. </w:t>
      </w:r>
      <w:r w:rsidR="001B2AC6" w:rsidRPr="001B2AC6">
        <w:rPr>
          <w:rFonts w:ascii="Calibri" w:hAnsi="Calibri" w:cs="Calibri"/>
        </w:rPr>
        <w:t xml:space="preserve">Missingness in covariate data was assessed prior to analysis. No imputation was performed, </w:t>
      </w:r>
      <w:r w:rsidR="001B2AC6" w:rsidRPr="001B2AC6">
        <w:rPr>
          <w:rFonts w:ascii="Calibri" w:hAnsi="Calibri" w:cs="Calibri"/>
        </w:rPr>
        <w:lastRenderedPageBreak/>
        <w:t>as the proportion of missing values across covariates was low and unlikely to meaningfully affect the results. Outcome variables and the main exposure were not imputed</w:t>
      </w:r>
      <w:r w:rsidRPr="005342FB">
        <w:rPr>
          <w:rFonts w:ascii="Calibri" w:hAnsi="Calibri" w:cs="Calibri"/>
        </w:rPr>
        <w:t>.</w:t>
      </w:r>
      <w:r>
        <w:rPr>
          <w:rFonts w:ascii="Calibri" w:hAnsi="Calibri" w:cs="Calibri"/>
        </w:rPr>
        <w:t xml:space="preserve"> </w:t>
      </w:r>
      <w:r w:rsidRPr="005342FB">
        <w:rPr>
          <w:rFonts w:ascii="Calibri" w:hAnsi="Calibri" w:cs="Calibri"/>
        </w:rPr>
        <w:t>In addition, exploratory analyses will examine whether the association between liver radiodensity and toxicity differs across hospitals.</w:t>
      </w:r>
    </w:p>
    <w:p w14:paraId="21887284" w14:textId="7A10E8F7" w:rsidR="005342FB" w:rsidRPr="005342FB" w:rsidRDefault="005342FB" w:rsidP="005342FB">
      <w:pPr>
        <w:spacing w:after="120" w:line="360" w:lineRule="auto"/>
        <w:jc w:val="both"/>
        <w:rPr>
          <w:rFonts w:ascii="Calibri" w:hAnsi="Calibri" w:cs="Calibri"/>
          <w:i/>
          <w:iCs/>
        </w:rPr>
      </w:pPr>
      <w:r w:rsidRPr="005342FB">
        <w:rPr>
          <w:rFonts w:ascii="Calibri" w:hAnsi="Calibri" w:cs="Calibri"/>
          <w:i/>
          <w:iCs/>
        </w:rPr>
        <w:t>Software</w:t>
      </w:r>
    </w:p>
    <w:p w14:paraId="0A9E032E" w14:textId="12E75799" w:rsidR="005342FB" w:rsidRPr="005342FB" w:rsidRDefault="005342FB" w:rsidP="005342FB">
      <w:pPr>
        <w:spacing w:after="120" w:line="360" w:lineRule="auto"/>
        <w:jc w:val="both"/>
        <w:rPr>
          <w:rFonts w:ascii="Calibri" w:hAnsi="Calibri" w:cs="Calibri"/>
        </w:rPr>
      </w:pPr>
      <w:r w:rsidRPr="005342FB">
        <w:rPr>
          <w:rFonts w:ascii="Calibri" w:hAnsi="Calibri" w:cs="Calibri"/>
        </w:rPr>
        <w:t>All analyses were conducted using R, with survival models estimated using the survival package.</w:t>
      </w:r>
    </w:p>
    <w:p w14:paraId="3A602295" w14:textId="77777777" w:rsidR="00A438FA" w:rsidRDefault="00A438FA" w:rsidP="00C25A29">
      <w:pPr>
        <w:spacing w:after="120" w:line="360" w:lineRule="auto"/>
        <w:jc w:val="both"/>
        <w:rPr>
          <w:rFonts w:ascii="Calibri" w:hAnsi="Calibri" w:cs="Calibri"/>
        </w:rPr>
      </w:pPr>
    </w:p>
    <w:p w14:paraId="55F6C708" w14:textId="2A50D5BE" w:rsidR="00A438FA" w:rsidRPr="00A438FA" w:rsidRDefault="00A438FA" w:rsidP="00A438FA">
      <w:pPr>
        <w:spacing w:before="120" w:after="120" w:line="360" w:lineRule="auto"/>
        <w:rPr>
          <w:rFonts w:ascii="Calibri" w:hAnsi="Calibri" w:cs="Calibri"/>
          <w:b/>
          <w:bCs/>
          <w:color w:val="0070C0"/>
        </w:rPr>
      </w:pPr>
      <w:r w:rsidRPr="00A438FA">
        <w:rPr>
          <w:rFonts w:ascii="Calibri" w:hAnsi="Calibri" w:cs="Calibri"/>
          <w:b/>
          <w:bCs/>
          <w:color w:val="0070C0"/>
        </w:rPr>
        <w:t>Results</w:t>
      </w:r>
    </w:p>
    <w:p w14:paraId="6B3AAC4B" w14:textId="4B789F6B" w:rsidR="00BB029F" w:rsidRDefault="00BB029F" w:rsidP="00BB029F">
      <w:pPr>
        <w:spacing w:after="120" w:line="360" w:lineRule="auto"/>
        <w:jc w:val="both"/>
        <w:rPr>
          <w:rFonts w:ascii="Calibri" w:hAnsi="Calibri" w:cs="Calibri"/>
        </w:rPr>
      </w:pPr>
      <w:r w:rsidRPr="00BB029F">
        <w:rPr>
          <w:rFonts w:ascii="Calibri" w:hAnsi="Calibri" w:cs="Calibri"/>
        </w:rPr>
        <w:t>This section presents the main findings of the analysis, starting with a description of the study sample and toxicity outcomes, followed by an assessment of hospital-level variation, and finally the results of the survival models examining the association between liver radiodensity and time to toxicity.</w:t>
      </w:r>
    </w:p>
    <w:p w14:paraId="6B344D70" w14:textId="64F25BE9" w:rsidR="00E7321D" w:rsidRPr="00E7321D" w:rsidRDefault="00E7321D" w:rsidP="00BB029F">
      <w:pPr>
        <w:spacing w:after="120" w:line="360" w:lineRule="auto"/>
        <w:jc w:val="both"/>
        <w:rPr>
          <w:rFonts w:ascii="Calibri" w:hAnsi="Calibri" w:cs="Calibri"/>
          <w:b/>
          <w:bCs/>
        </w:rPr>
      </w:pPr>
      <w:r w:rsidRPr="00E7321D">
        <w:rPr>
          <w:rFonts w:ascii="Calibri" w:hAnsi="Calibri" w:cs="Calibri"/>
          <w:b/>
          <w:bCs/>
        </w:rPr>
        <w:t>Sample Characteristics and Event Rates</w:t>
      </w:r>
    </w:p>
    <w:p w14:paraId="7919423C" w14:textId="0320EBA8" w:rsidR="00E7321D" w:rsidRDefault="00E7321D" w:rsidP="00E7321D">
      <w:pPr>
        <w:spacing w:after="120" w:line="360" w:lineRule="auto"/>
        <w:jc w:val="both"/>
        <w:rPr>
          <w:rFonts w:ascii="Calibri" w:hAnsi="Calibri" w:cs="Calibri"/>
        </w:rPr>
      </w:pPr>
      <w:r w:rsidRPr="00E7321D">
        <w:rPr>
          <w:rFonts w:ascii="Calibri" w:hAnsi="Calibri" w:cs="Calibri"/>
        </w:rPr>
        <w:t>The analysis included patients receiving capecitabine (CAP), oxaliplatin (OXA), or a combination of both (CAPOX). Because not all patients received each treatment, separate datasets were constructed for each toxicity endpoint.</w:t>
      </w:r>
      <w:r w:rsidR="00503BFE">
        <w:rPr>
          <w:rFonts w:ascii="Calibri" w:hAnsi="Calibri" w:cs="Calibri"/>
        </w:rPr>
        <w:t xml:space="preserve"> The table below presents the number of patients and event rates captured for each treatment.</w:t>
      </w:r>
    </w:p>
    <w:p w14:paraId="7658B426" w14:textId="2532C1F1" w:rsidR="00503BFE" w:rsidRDefault="00503BFE" w:rsidP="00503BFE">
      <w:pPr>
        <w:spacing w:after="120" w:line="360" w:lineRule="auto"/>
        <w:jc w:val="both"/>
        <w:rPr>
          <w:rFonts w:ascii="Calibri" w:hAnsi="Calibri" w:cs="Calibri"/>
        </w:rPr>
      </w:pPr>
      <w:r>
        <w:rPr>
          <w:rFonts w:ascii="Calibri" w:hAnsi="Calibri" w:cs="Calibri"/>
        </w:rPr>
        <w:t xml:space="preserve">Table </w:t>
      </w:r>
      <w:r w:rsidR="00216B73">
        <w:rPr>
          <w:rFonts w:ascii="Calibri" w:hAnsi="Calibri" w:cs="Calibri"/>
        </w:rPr>
        <w:t>1</w:t>
      </w:r>
      <w:r>
        <w:rPr>
          <w:rFonts w:ascii="Calibri" w:hAnsi="Calibri" w:cs="Calibri"/>
        </w:rPr>
        <w:t>: Observed Toxicity Rates by Endpoint</w:t>
      </w:r>
    </w:p>
    <w:tbl>
      <w:tblPr>
        <w:tblStyle w:val="TableGrid"/>
        <w:tblW w:w="8931" w:type="dxa"/>
        <w:jc w:val="center"/>
        <w:tblLook w:val="04A0" w:firstRow="1" w:lastRow="0" w:firstColumn="1" w:lastColumn="0" w:noHBand="0" w:noVBand="1"/>
      </w:tblPr>
      <w:tblGrid>
        <w:gridCol w:w="2830"/>
        <w:gridCol w:w="1985"/>
        <w:gridCol w:w="2131"/>
        <w:gridCol w:w="1985"/>
      </w:tblGrid>
      <w:tr w:rsidR="00503BFE" w:rsidRPr="00962137" w14:paraId="17D1E7F5" w14:textId="77777777" w:rsidTr="0005615A">
        <w:trPr>
          <w:jc w:val="center"/>
        </w:trPr>
        <w:tc>
          <w:tcPr>
            <w:tcW w:w="2830" w:type="dxa"/>
            <w:shd w:val="clear" w:color="auto" w:fill="DAE9F7" w:themeFill="text2" w:themeFillTint="1A"/>
          </w:tcPr>
          <w:p w14:paraId="440401ED" w14:textId="525163FB" w:rsidR="00503BFE" w:rsidRPr="00962137" w:rsidRDefault="00503BFE" w:rsidP="001A342E">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Endpoint</w:t>
            </w:r>
          </w:p>
        </w:tc>
        <w:tc>
          <w:tcPr>
            <w:tcW w:w="1985" w:type="dxa"/>
            <w:shd w:val="clear" w:color="auto" w:fill="DAE9F7" w:themeFill="text2" w:themeFillTint="1A"/>
          </w:tcPr>
          <w:p w14:paraId="68CABF21" w14:textId="3F49BCFE" w:rsidR="00503BFE" w:rsidRPr="00962137" w:rsidRDefault="00503BFE" w:rsidP="001A342E">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N</w:t>
            </w:r>
          </w:p>
        </w:tc>
        <w:tc>
          <w:tcPr>
            <w:tcW w:w="2131" w:type="dxa"/>
            <w:shd w:val="clear" w:color="auto" w:fill="DAE9F7" w:themeFill="text2" w:themeFillTint="1A"/>
          </w:tcPr>
          <w:p w14:paraId="4513539E" w14:textId="7F5F51E0" w:rsidR="00503BFE" w:rsidRPr="00962137" w:rsidRDefault="00503BFE" w:rsidP="001A342E">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Events</w:t>
            </w:r>
          </w:p>
        </w:tc>
        <w:tc>
          <w:tcPr>
            <w:tcW w:w="1985" w:type="dxa"/>
            <w:shd w:val="clear" w:color="auto" w:fill="DAE9F7" w:themeFill="text2" w:themeFillTint="1A"/>
          </w:tcPr>
          <w:p w14:paraId="117BAD31" w14:textId="566BF358" w:rsidR="00503BFE" w:rsidRPr="00962137" w:rsidRDefault="00503BFE" w:rsidP="001A342E">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Censored</w:t>
            </w:r>
          </w:p>
        </w:tc>
      </w:tr>
      <w:tr w:rsidR="00503BFE" w:rsidRPr="00962137" w14:paraId="592ACAC5" w14:textId="77777777" w:rsidTr="0005615A">
        <w:trPr>
          <w:jc w:val="center"/>
        </w:trPr>
        <w:tc>
          <w:tcPr>
            <w:tcW w:w="2830" w:type="dxa"/>
            <w:hideMark/>
          </w:tcPr>
          <w:p w14:paraId="6ABC5255" w14:textId="6CA0F772"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CAP</w:t>
            </w:r>
          </w:p>
        </w:tc>
        <w:tc>
          <w:tcPr>
            <w:tcW w:w="1985" w:type="dxa"/>
            <w:hideMark/>
          </w:tcPr>
          <w:p w14:paraId="55AF66C9" w14:textId="7894B03B"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344</w:t>
            </w:r>
          </w:p>
        </w:tc>
        <w:tc>
          <w:tcPr>
            <w:tcW w:w="2131" w:type="dxa"/>
            <w:hideMark/>
          </w:tcPr>
          <w:p w14:paraId="45071A0A" w14:textId="49DC1588"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181</w:t>
            </w:r>
          </w:p>
        </w:tc>
        <w:tc>
          <w:tcPr>
            <w:tcW w:w="1985" w:type="dxa"/>
            <w:hideMark/>
          </w:tcPr>
          <w:p w14:paraId="3C7ED67D" w14:textId="02A46CC1"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163</w:t>
            </w:r>
          </w:p>
        </w:tc>
      </w:tr>
      <w:tr w:rsidR="00503BFE" w:rsidRPr="00962137" w14:paraId="54317686" w14:textId="77777777" w:rsidTr="0005615A">
        <w:trPr>
          <w:jc w:val="center"/>
        </w:trPr>
        <w:tc>
          <w:tcPr>
            <w:tcW w:w="2830" w:type="dxa"/>
            <w:hideMark/>
          </w:tcPr>
          <w:p w14:paraId="59B1C6CD" w14:textId="6F910F63"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OXA</w:t>
            </w:r>
          </w:p>
        </w:tc>
        <w:tc>
          <w:tcPr>
            <w:tcW w:w="1985" w:type="dxa"/>
            <w:hideMark/>
          </w:tcPr>
          <w:p w14:paraId="14247B25" w14:textId="7ABACBB1" w:rsidR="00503BFE" w:rsidRPr="00962137" w:rsidRDefault="00503BFE" w:rsidP="001A342E">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3</w:t>
            </w:r>
            <w:r>
              <w:rPr>
                <w:rFonts w:ascii="Calibri" w:eastAsia="Times New Roman" w:hAnsi="Calibri" w:cs="Calibri"/>
                <w:kern w:val="0"/>
                <w:lang w:eastAsia="en-GB"/>
                <w14:ligatures w14:val="none"/>
              </w:rPr>
              <w:t>11</w:t>
            </w:r>
          </w:p>
        </w:tc>
        <w:tc>
          <w:tcPr>
            <w:tcW w:w="2131" w:type="dxa"/>
            <w:hideMark/>
          </w:tcPr>
          <w:p w14:paraId="5694F7A8" w14:textId="09826105"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254</w:t>
            </w:r>
          </w:p>
        </w:tc>
        <w:tc>
          <w:tcPr>
            <w:tcW w:w="1985" w:type="dxa"/>
            <w:hideMark/>
          </w:tcPr>
          <w:p w14:paraId="2BEDD13B" w14:textId="38273668"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57</w:t>
            </w:r>
          </w:p>
        </w:tc>
      </w:tr>
      <w:tr w:rsidR="00503BFE" w:rsidRPr="00962137" w14:paraId="25A21CB4" w14:textId="77777777" w:rsidTr="0005615A">
        <w:trPr>
          <w:jc w:val="center"/>
        </w:trPr>
        <w:tc>
          <w:tcPr>
            <w:tcW w:w="2830" w:type="dxa"/>
          </w:tcPr>
          <w:p w14:paraId="3F40E6C8" w14:textId="13DBF11E"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CAPOX</w:t>
            </w:r>
          </w:p>
        </w:tc>
        <w:tc>
          <w:tcPr>
            <w:tcW w:w="1985" w:type="dxa"/>
          </w:tcPr>
          <w:p w14:paraId="37E26C69" w14:textId="591DCF7D"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359</w:t>
            </w:r>
          </w:p>
        </w:tc>
        <w:tc>
          <w:tcPr>
            <w:tcW w:w="2131" w:type="dxa"/>
          </w:tcPr>
          <w:p w14:paraId="0465C540" w14:textId="0F8AEE0B"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257</w:t>
            </w:r>
          </w:p>
        </w:tc>
        <w:tc>
          <w:tcPr>
            <w:tcW w:w="1985" w:type="dxa"/>
          </w:tcPr>
          <w:p w14:paraId="4F4CD834" w14:textId="7704673E" w:rsidR="00503BFE" w:rsidRPr="00962137" w:rsidRDefault="00503BFE"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102</w:t>
            </w:r>
          </w:p>
        </w:tc>
      </w:tr>
    </w:tbl>
    <w:p w14:paraId="332F5055" w14:textId="77777777" w:rsidR="00503BFE" w:rsidRDefault="00503BFE" w:rsidP="00503BFE">
      <w:pPr>
        <w:spacing w:after="0" w:line="360" w:lineRule="auto"/>
        <w:jc w:val="both"/>
        <w:rPr>
          <w:rFonts w:ascii="Calibri" w:hAnsi="Calibri" w:cs="Calibri"/>
        </w:rPr>
      </w:pPr>
    </w:p>
    <w:p w14:paraId="47166FCB" w14:textId="42CBA58C" w:rsidR="00216B73" w:rsidRDefault="00E7321D" w:rsidP="00216B73">
      <w:pPr>
        <w:spacing w:after="120" w:line="360" w:lineRule="auto"/>
        <w:jc w:val="both"/>
        <w:rPr>
          <w:rFonts w:ascii="Calibri" w:hAnsi="Calibri" w:cs="Calibri"/>
        </w:rPr>
      </w:pPr>
      <w:r w:rsidRPr="00E7321D">
        <w:rPr>
          <w:rFonts w:ascii="Calibri" w:hAnsi="Calibri" w:cs="Calibri"/>
        </w:rPr>
        <w:t>Across the three endpoints, dose-limiting toxicity was a common outcome. Approximately half of the patients experienced capecitabine-related toxicity, while the proportion was higher for oxaliplatin and CAPOX-related toxicity. The number of observed events was sufficient to support time-to-event analyses for all endpoints.</w:t>
      </w:r>
    </w:p>
    <w:p w14:paraId="6BC0AAEB" w14:textId="30AD0E6A" w:rsidR="00A438FA" w:rsidRPr="00A438FA" w:rsidRDefault="00A438FA" w:rsidP="00A438FA">
      <w:pPr>
        <w:spacing w:after="120" w:line="360" w:lineRule="auto"/>
        <w:jc w:val="both"/>
        <w:rPr>
          <w:rFonts w:ascii="Calibri" w:hAnsi="Calibri" w:cs="Calibri"/>
          <w:b/>
          <w:bCs/>
        </w:rPr>
      </w:pPr>
      <w:r w:rsidRPr="00A438FA">
        <w:rPr>
          <w:rFonts w:ascii="Calibri" w:hAnsi="Calibri" w:cs="Calibri"/>
          <w:b/>
          <w:bCs/>
        </w:rPr>
        <w:t>Variation in Toxicity Across Hospitals</w:t>
      </w:r>
    </w:p>
    <w:p w14:paraId="62D5A7BB" w14:textId="552677A0" w:rsidR="00216B73" w:rsidRDefault="00216B73" w:rsidP="00216B73">
      <w:pPr>
        <w:spacing w:after="120" w:line="360" w:lineRule="auto"/>
        <w:jc w:val="both"/>
        <w:rPr>
          <w:rFonts w:ascii="Calibri" w:hAnsi="Calibri" w:cs="Calibri"/>
        </w:rPr>
      </w:pPr>
      <w:r w:rsidRPr="00216B73">
        <w:rPr>
          <w:rFonts w:ascii="Calibri" w:hAnsi="Calibri" w:cs="Calibri"/>
        </w:rPr>
        <w:lastRenderedPageBreak/>
        <w:t>Substantial variation in toxicity rates was observed across hospitals. The proportion of patients experiencing toxicity ranged from approximately one-third to as high as four-fifths across centres. This indicates that baseline risk of toxicity differs between hospitals.</w:t>
      </w:r>
      <w:r>
        <w:rPr>
          <w:rFonts w:ascii="Calibri" w:hAnsi="Calibri" w:cs="Calibri"/>
        </w:rPr>
        <w:t xml:space="preserve"> Table 2 shows the variation in toxicity across hospitals.</w:t>
      </w:r>
    </w:p>
    <w:p w14:paraId="2DD4D28E" w14:textId="7CCAB154" w:rsidR="004C70FB" w:rsidRDefault="004C70FB" w:rsidP="00A438FA">
      <w:pPr>
        <w:spacing w:after="120" w:line="360" w:lineRule="auto"/>
        <w:jc w:val="both"/>
        <w:rPr>
          <w:rFonts w:ascii="Calibri" w:hAnsi="Calibri" w:cs="Calibri"/>
        </w:rPr>
      </w:pPr>
      <w:r>
        <w:rPr>
          <w:rFonts w:ascii="Calibri" w:hAnsi="Calibri" w:cs="Calibri"/>
        </w:rPr>
        <w:t xml:space="preserve">Table </w:t>
      </w:r>
      <w:r w:rsidR="0005615A">
        <w:rPr>
          <w:rFonts w:ascii="Calibri" w:hAnsi="Calibri" w:cs="Calibri"/>
        </w:rPr>
        <w:t>2</w:t>
      </w:r>
      <w:r>
        <w:rPr>
          <w:rFonts w:ascii="Calibri" w:hAnsi="Calibri" w:cs="Calibri"/>
        </w:rPr>
        <w:t xml:space="preserve">: Distribution of </w:t>
      </w:r>
      <w:r w:rsidR="003858D4">
        <w:rPr>
          <w:rFonts w:ascii="Calibri" w:hAnsi="Calibri" w:cs="Calibri"/>
        </w:rPr>
        <w:t>Toxicity Outcomes</w:t>
      </w:r>
      <w:r>
        <w:rPr>
          <w:rFonts w:ascii="Calibri" w:hAnsi="Calibri" w:cs="Calibri"/>
        </w:rPr>
        <w:t xml:space="preserve"> by Hospital</w:t>
      </w:r>
    </w:p>
    <w:tbl>
      <w:tblPr>
        <w:tblStyle w:val="TableGrid"/>
        <w:tblW w:w="9356" w:type="dxa"/>
        <w:tblLook w:val="04A0" w:firstRow="1" w:lastRow="0" w:firstColumn="1" w:lastColumn="0" w:noHBand="0" w:noVBand="1"/>
      </w:tblPr>
      <w:tblGrid>
        <w:gridCol w:w="2263"/>
        <w:gridCol w:w="1843"/>
        <w:gridCol w:w="1701"/>
        <w:gridCol w:w="1716"/>
        <w:gridCol w:w="1833"/>
      </w:tblGrid>
      <w:tr w:rsidR="004C70FB" w:rsidRPr="004C70FB" w14:paraId="78EDD25B" w14:textId="77777777" w:rsidTr="00962137">
        <w:tc>
          <w:tcPr>
            <w:tcW w:w="2263" w:type="dxa"/>
            <w:shd w:val="clear" w:color="auto" w:fill="DAE9F7" w:themeFill="text2" w:themeFillTint="1A"/>
            <w:hideMark/>
          </w:tcPr>
          <w:p w14:paraId="51440857" w14:textId="0E21B118" w:rsidR="004C70FB" w:rsidRPr="004C70FB" w:rsidRDefault="004C70FB" w:rsidP="004C70FB">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H</w:t>
            </w:r>
            <w:r w:rsidRPr="004C70FB">
              <w:rPr>
                <w:rFonts w:ascii="Calibri" w:eastAsia="Times New Roman" w:hAnsi="Calibri" w:cs="Calibri"/>
                <w:b/>
                <w:bCs/>
                <w:kern w:val="0"/>
                <w:lang w:eastAsia="en-GB"/>
                <w14:ligatures w14:val="none"/>
              </w:rPr>
              <w:t>ospital</w:t>
            </w:r>
          </w:p>
        </w:tc>
        <w:tc>
          <w:tcPr>
            <w:tcW w:w="1843" w:type="dxa"/>
            <w:shd w:val="clear" w:color="auto" w:fill="DAE9F7" w:themeFill="text2" w:themeFillTint="1A"/>
            <w:hideMark/>
          </w:tcPr>
          <w:p w14:paraId="3A00BF62" w14:textId="77777777" w:rsidR="004C70FB" w:rsidRPr="004C70FB" w:rsidRDefault="004C70FB" w:rsidP="004C70FB">
            <w:pPr>
              <w:jc w:val="center"/>
              <w:rPr>
                <w:rFonts w:ascii="Calibri" w:eastAsia="Times New Roman" w:hAnsi="Calibri" w:cs="Calibri"/>
                <w:b/>
                <w:bCs/>
                <w:kern w:val="0"/>
                <w:lang w:eastAsia="en-GB"/>
                <w14:ligatures w14:val="none"/>
              </w:rPr>
            </w:pPr>
            <w:r w:rsidRPr="004C70FB">
              <w:rPr>
                <w:rFonts w:ascii="Calibri" w:eastAsia="Times New Roman" w:hAnsi="Calibri" w:cs="Calibri"/>
                <w:b/>
                <w:bCs/>
                <w:kern w:val="0"/>
                <w:lang w:eastAsia="en-GB"/>
                <w14:ligatures w14:val="none"/>
              </w:rPr>
              <w:t>N</w:t>
            </w:r>
          </w:p>
        </w:tc>
        <w:tc>
          <w:tcPr>
            <w:tcW w:w="1701" w:type="dxa"/>
            <w:shd w:val="clear" w:color="auto" w:fill="DAE9F7" w:themeFill="text2" w:themeFillTint="1A"/>
            <w:hideMark/>
          </w:tcPr>
          <w:p w14:paraId="49BADAE8" w14:textId="77777777" w:rsidR="004C70FB" w:rsidRPr="004C70FB" w:rsidRDefault="004C70FB" w:rsidP="004C70FB">
            <w:pPr>
              <w:jc w:val="center"/>
              <w:rPr>
                <w:rFonts w:ascii="Calibri" w:eastAsia="Times New Roman" w:hAnsi="Calibri" w:cs="Calibri"/>
                <w:b/>
                <w:bCs/>
                <w:kern w:val="0"/>
                <w:lang w:eastAsia="en-GB"/>
                <w14:ligatures w14:val="none"/>
              </w:rPr>
            </w:pPr>
            <w:r w:rsidRPr="004C70FB">
              <w:rPr>
                <w:rFonts w:ascii="Calibri" w:eastAsia="Times New Roman" w:hAnsi="Calibri" w:cs="Calibri"/>
                <w:b/>
                <w:bCs/>
                <w:kern w:val="0"/>
                <w:lang w:eastAsia="en-GB"/>
                <w14:ligatures w14:val="none"/>
              </w:rPr>
              <w:t>Events</w:t>
            </w:r>
          </w:p>
        </w:tc>
        <w:tc>
          <w:tcPr>
            <w:tcW w:w="1716" w:type="dxa"/>
            <w:shd w:val="clear" w:color="auto" w:fill="DAE9F7" w:themeFill="text2" w:themeFillTint="1A"/>
            <w:hideMark/>
          </w:tcPr>
          <w:p w14:paraId="206CDAFD" w14:textId="4152855E" w:rsidR="004C70FB" w:rsidRPr="004C70FB" w:rsidRDefault="004C70FB" w:rsidP="004C70FB">
            <w:pPr>
              <w:jc w:val="center"/>
              <w:rPr>
                <w:rFonts w:ascii="Calibri" w:eastAsia="Times New Roman" w:hAnsi="Calibri" w:cs="Calibri"/>
                <w:b/>
                <w:bCs/>
                <w:kern w:val="0"/>
                <w:lang w:eastAsia="en-GB"/>
                <w14:ligatures w14:val="none"/>
              </w:rPr>
            </w:pPr>
            <w:r w:rsidRPr="004C70FB">
              <w:rPr>
                <w:rFonts w:ascii="Calibri" w:eastAsia="Times New Roman" w:hAnsi="Calibri" w:cs="Calibri"/>
                <w:b/>
                <w:bCs/>
                <w:kern w:val="0"/>
                <w:lang w:eastAsia="en-GB"/>
                <w14:ligatures w14:val="none"/>
              </w:rPr>
              <w:t>Event</w:t>
            </w:r>
            <w:r>
              <w:rPr>
                <w:rFonts w:ascii="Calibri" w:eastAsia="Times New Roman" w:hAnsi="Calibri" w:cs="Calibri"/>
                <w:b/>
                <w:bCs/>
                <w:kern w:val="0"/>
                <w:lang w:eastAsia="en-GB"/>
                <w14:ligatures w14:val="none"/>
              </w:rPr>
              <w:t xml:space="preserve"> %</w:t>
            </w:r>
          </w:p>
        </w:tc>
        <w:tc>
          <w:tcPr>
            <w:tcW w:w="1833" w:type="dxa"/>
            <w:shd w:val="clear" w:color="auto" w:fill="DAE9F7" w:themeFill="text2" w:themeFillTint="1A"/>
            <w:hideMark/>
          </w:tcPr>
          <w:p w14:paraId="0B19D42F" w14:textId="77777777" w:rsidR="004C70FB" w:rsidRPr="004C70FB" w:rsidRDefault="004C70FB" w:rsidP="004C70FB">
            <w:pPr>
              <w:jc w:val="center"/>
              <w:rPr>
                <w:rFonts w:ascii="Calibri" w:eastAsia="Times New Roman" w:hAnsi="Calibri" w:cs="Calibri"/>
                <w:b/>
                <w:bCs/>
                <w:kern w:val="0"/>
                <w:lang w:eastAsia="en-GB"/>
                <w14:ligatures w14:val="none"/>
              </w:rPr>
            </w:pPr>
            <w:r w:rsidRPr="004C70FB">
              <w:rPr>
                <w:rFonts w:ascii="Calibri" w:eastAsia="Times New Roman" w:hAnsi="Calibri" w:cs="Calibri"/>
                <w:b/>
                <w:bCs/>
                <w:kern w:val="0"/>
                <w:lang w:eastAsia="en-GB"/>
                <w14:ligatures w14:val="none"/>
              </w:rPr>
              <w:t>Censored</w:t>
            </w:r>
          </w:p>
        </w:tc>
      </w:tr>
      <w:tr w:rsidR="004C70FB" w:rsidRPr="004C70FB" w14:paraId="1119CFFA" w14:textId="77777777" w:rsidTr="00962137">
        <w:tc>
          <w:tcPr>
            <w:tcW w:w="2263" w:type="dxa"/>
            <w:hideMark/>
          </w:tcPr>
          <w:p w14:paraId="56ABF19B"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A</w:t>
            </w:r>
          </w:p>
        </w:tc>
        <w:tc>
          <w:tcPr>
            <w:tcW w:w="1843" w:type="dxa"/>
            <w:hideMark/>
          </w:tcPr>
          <w:p w14:paraId="1D60AD97"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70</w:t>
            </w:r>
          </w:p>
        </w:tc>
        <w:tc>
          <w:tcPr>
            <w:tcW w:w="1701" w:type="dxa"/>
            <w:hideMark/>
          </w:tcPr>
          <w:p w14:paraId="20F02B0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37</w:t>
            </w:r>
          </w:p>
        </w:tc>
        <w:tc>
          <w:tcPr>
            <w:tcW w:w="1716" w:type="dxa"/>
            <w:hideMark/>
          </w:tcPr>
          <w:p w14:paraId="38AECB90"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52.9</w:t>
            </w:r>
          </w:p>
        </w:tc>
        <w:tc>
          <w:tcPr>
            <w:tcW w:w="1833" w:type="dxa"/>
            <w:hideMark/>
          </w:tcPr>
          <w:p w14:paraId="24C41301"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33</w:t>
            </w:r>
          </w:p>
        </w:tc>
      </w:tr>
      <w:tr w:rsidR="004C70FB" w:rsidRPr="004C70FB" w14:paraId="66182C71" w14:textId="77777777" w:rsidTr="00962137">
        <w:tc>
          <w:tcPr>
            <w:tcW w:w="2263" w:type="dxa"/>
            <w:hideMark/>
          </w:tcPr>
          <w:p w14:paraId="264C6FA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E</w:t>
            </w:r>
          </w:p>
        </w:tc>
        <w:tc>
          <w:tcPr>
            <w:tcW w:w="1843" w:type="dxa"/>
            <w:hideMark/>
          </w:tcPr>
          <w:p w14:paraId="5D643E9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58</w:t>
            </w:r>
          </w:p>
        </w:tc>
        <w:tc>
          <w:tcPr>
            <w:tcW w:w="1701" w:type="dxa"/>
            <w:hideMark/>
          </w:tcPr>
          <w:p w14:paraId="69C240C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34</w:t>
            </w:r>
          </w:p>
        </w:tc>
        <w:tc>
          <w:tcPr>
            <w:tcW w:w="1716" w:type="dxa"/>
            <w:hideMark/>
          </w:tcPr>
          <w:p w14:paraId="5C3B2FC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58.6</w:t>
            </w:r>
          </w:p>
        </w:tc>
        <w:tc>
          <w:tcPr>
            <w:tcW w:w="1833" w:type="dxa"/>
            <w:hideMark/>
          </w:tcPr>
          <w:p w14:paraId="65A42B26"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24</w:t>
            </w:r>
          </w:p>
        </w:tc>
      </w:tr>
      <w:tr w:rsidR="004C70FB" w:rsidRPr="004C70FB" w14:paraId="74804610" w14:textId="77777777" w:rsidTr="00962137">
        <w:tc>
          <w:tcPr>
            <w:tcW w:w="2263" w:type="dxa"/>
            <w:hideMark/>
          </w:tcPr>
          <w:p w14:paraId="486DCA8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J</w:t>
            </w:r>
          </w:p>
        </w:tc>
        <w:tc>
          <w:tcPr>
            <w:tcW w:w="1843" w:type="dxa"/>
            <w:hideMark/>
          </w:tcPr>
          <w:p w14:paraId="36FEC6CD"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43</w:t>
            </w:r>
          </w:p>
        </w:tc>
        <w:tc>
          <w:tcPr>
            <w:tcW w:w="1701" w:type="dxa"/>
            <w:hideMark/>
          </w:tcPr>
          <w:p w14:paraId="671D7DB0"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25</w:t>
            </w:r>
          </w:p>
        </w:tc>
        <w:tc>
          <w:tcPr>
            <w:tcW w:w="1716" w:type="dxa"/>
            <w:hideMark/>
          </w:tcPr>
          <w:p w14:paraId="716BB34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58.1</w:t>
            </w:r>
          </w:p>
        </w:tc>
        <w:tc>
          <w:tcPr>
            <w:tcW w:w="1833" w:type="dxa"/>
            <w:hideMark/>
          </w:tcPr>
          <w:p w14:paraId="4BC8E18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18</w:t>
            </w:r>
          </w:p>
        </w:tc>
      </w:tr>
      <w:tr w:rsidR="004C70FB" w:rsidRPr="004C70FB" w14:paraId="3764D74D" w14:textId="77777777" w:rsidTr="00962137">
        <w:tc>
          <w:tcPr>
            <w:tcW w:w="2263" w:type="dxa"/>
            <w:hideMark/>
          </w:tcPr>
          <w:p w14:paraId="780CCE1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C</w:t>
            </w:r>
          </w:p>
        </w:tc>
        <w:tc>
          <w:tcPr>
            <w:tcW w:w="1843" w:type="dxa"/>
            <w:hideMark/>
          </w:tcPr>
          <w:p w14:paraId="1E4B595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35</w:t>
            </w:r>
          </w:p>
        </w:tc>
        <w:tc>
          <w:tcPr>
            <w:tcW w:w="1701" w:type="dxa"/>
            <w:hideMark/>
          </w:tcPr>
          <w:p w14:paraId="4BAF4ABA"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16</w:t>
            </w:r>
          </w:p>
        </w:tc>
        <w:tc>
          <w:tcPr>
            <w:tcW w:w="1716" w:type="dxa"/>
            <w:hideMark/>
          </w:tcPr>
          <w:p w14:paraId="1ED29F8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45.7</w:t>
            </w:r>
          </w:p>
        </w:tc>
        <w:tc>
          <w:tcPr>
            <w:tcW w:w="1833" w:type="dxa"/>
            <w:hideMark/>
          </w:tcPr>
          <w:p w14:paraId="113EF5B5"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19</w:t>
            </w:r>
          </w:p>
        </w:tc>
      </w:tr>
      <w:tr w:rsidR="004C70FB" w:rsidRPr="004C70FB" w14:paraId="6C5BE23A" w14:textId="77777777" w:rsidTr="00962137">
        <w:tc>
          <w:tcPr>
            <w:tcW w:w="2263" w:type="dxa"/>
            <w:hideMark/>
          </w:tcPr>
          <w:p w14:paraId="32A487CE"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I</w:t>
            </w:r>
          </w:p>
        </w:tc>
        <w:tc>
          <w:tcPr>
            <w:tcW w:w="1843" w:type="dxa"/>
            <w:hideMark/>
          </w:tcPr>
          <w:p w14:paraId="6CFAB3B6"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30</w:t>
            </w:r>
          </w:p>
        </w:tc>
        <w:tc>
          <w:tcPr>
            <w:tcW w:w="1701" w:type="dxa"/>
            <w:hideMark/>
          </w:tcPr>
          <w:p w14:paraId="68CD5110"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10</w:t>
            </w:r>
          </w:p>
        </w:tc>
        <w:tc>
          <w:tcPr>
            <w:tcW w:w="1716" w:type="dxa"/>
            <w:hideMark/>
          </w:tcPr>
          <w:p w14:paraId="27ABCE1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33.3</w:t>
            </w:r>
          </w:p>
        </w:tc>
        <w:tc>
          <w:tcPr>
            <w:tcW w:w="1833" w:type="dxa"/>
            <w:hideMark/>
          </w:tcPr>
          <w:p w14:paraId="050D5AAA"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20</w:t>
            </w:r>
          </w:p>
        </w:tc>
      </w:tr>
      <w:tr w:rsidR="004C70FB" w:rsidRPr="004C70FB" w14:paraId="6B969B48" w14:textId="77777777" w:rsidTr="00962137">
        <w:tc>
          <w:tcPr>
            <w:tcW w:w="2263" w:type="dxa"/>
            <w:hideMark/>
          </w:tcPr>
          <w:p w14:paraId="1C02CD4C"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K</w:t>
            </w:r>
          </w:p>
        </w:tc>
        <w:tc>
          <w:tcPr>
            <w:tcW w:w="1843" w:type="dxa"/>
            <w:hideMark/>
          </w:tcPr>
          <w:p w14:paraId="328AAA9C"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25</w:t>
            </w:r>
          </w:p>
        </w:tc>
        <w:tc>
          <w:tcPr>
            <w:tcW w:w="1701" w:type="dxa"/>
            <w:hideMark/>
          </w:tcPr>
          <w:p w14:paraId="0CBFFFE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16</w:t>
            </w:r>
          </w:p>
        </w:tc>
        <w:tc>
          <w:tcPr>
            <w:tcW w:w="1716" w:type="dxa"/>
            <w:hideMark/>
          </w:tcPr>
          <w:p w14:paraId="3CC85971"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64.0</w:t>
            </w:r>
          </w:p>
        </w:tc>
        <w:tc>
          <w:tcPr>
            <w:tcW w:w="1833" w:type="dxa"/>
            <w:hideMark/>
          </w:tcPr>
          <w:p w14:paraId="6D1C23CF"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9</w:t>
            </w:r>
          </w:p>
        </w:tc>
      </w:tr>
      <w:tr w:rsidR="004C70FB" w:rsidRPr="004C70FB" w14:paraId="6955744F" w14:textId="77777777" w:rsidTr="00962137">
        <w:tc>
          <w:tcPr>
            <w:tcW w:w="2263" w:type="dxa"/>
            <w:hideMark/>
          </w:tcPr>
          <w:p w14:paraId="0BD00655"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H</w:t>
            </w:r>
          </w:p>
        </w:tc>
        <w:tc>
          <w:tcPr>
            <w:tcW w:w="1843" w:type="dxa"/>
            <w:hideMark/>
          </w:tcPr>
          <w:p w14:paraId="468F9104"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23</w:t>
            </w:r>
          </w:p>
        </w:tc>
        <w:tc>
          <w:tcPr>
            <w:tcW w:w="1701" w:type="dxa"/>
            <w:hideMark/>
          </w:tcPr>
          <w:p w14:paraId="0CBB31C1"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8</w:t>
            </w:r>
          </w:p>
        </w:tc>
        <w:tc>
          <w:tcPr>
            <w:tcW w:w="1716" w:type="dxa"/>
            <w:hideMark/>
          </w:tcPr>
          <w:p w14:paraId="047070CA"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34.8</w:t>
            </w:r>
          </w:p>
        </w:tc>
        <w:tc>
          <w:tcPr>
            <w:tcW w:w="1833" w:type="dxa"/>
            <w:hideMark/>
          </w:tcPr>
          <w:p w14:paraId="68A3A74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15</w:t>
            </w:r>
          </w:p>
        </w:tc>
      </w:tr>
      <w:tr w:rsidR="004C70FB" w:rsidRPr="004C70FB" w14:paraId="722FBC11" w14:textId="77777777" w:rsidTr="00962137">
        <w:tc>
          <w:tcPr>
            <w:tcW w:w="2263" w:type="dxa"/>
            <w:hideMark/>
          </w:tcPr>
          <w:p w14:paraId="0E5BDDE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D</w:t>
            </w:r>
          </w:p>
        </w:tc>
        <w:tc>
          <w:tcPr>
            <w:tcW w:w="1843" w:type="dxa"/>
            <w:hideMark/>
          </w:tcPr>
          <w:p w14:paraId="755CD3A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18</w:t>
            </w:r>
          </w:p>
        </w:tc>
        <w:tc>
          <w:tcPr>
            <w:tcW w:w="1701" w:type="dxa"/>
            <w:hideMark/>
          </w:tcPr>
          <w:p w14:paraId="05300390"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9</w:t>
            </w:r>
          </w:p>
        </w:tc>
        <w:tc>
          <w:tcPr>
            <w:tcW w:w="1716" w:type="dxa"/>
            <w:hideMark/>
          </w:tcPr>
          <w:p w14:paraId="1E055BA5"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50.0</w:t>
            </w:r>
          </w:p>
        </w:tc>
        <w:tc>
          <w:tcPr>
            <w:tcW w:w="1833" w:type="dxa"/>
            <w:hideMark/>
          </w:tcPr>
          <w:p w14:paraId="4E99827C"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9</w:t>
            </w:r>
          </w:p>
        </w:tc>
      </w:tr>
      <w:tr w:rsidR="004C70FB" w:rsidRPr="004C70FB" w14:paraId="4264FDE6" w14:textId="77777777" w:rsidTr="00962137">
        <w:tc>
          <w:tcPr>
            <w:tcW w:w="2263" w:type="dxa"/>
            <w:hideMark/>
          </w:tcPr>
          <w:p w14:paraId="2C4EBD08"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F</w:t>
            </w:r>
          </w:p>
        </w:tc>
        <w:tc>
          <w:tcPr>
            <w:tcW w:w="1843" w:type="dxa"/>
            <w:hideMark/>
          </w:tcPr>
          <w:p w14:paraId="63B6A21D"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16</w:t>
            </w:r>
          </w:p>
        </w:tc>
        <w:tc>
          <w:tcPr>
            <w:tcW w:w="1701" w:type="dxa"/>
            <w:hideMark/>
          </w:tcPr>
          <w:p w14:paraId="707613F0"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10</w:t>
            </w:r>
          </w:p>
        </w:tc>
        <w:tc>
          <w:tcPr>
            <w:tcW w:w="1716" w:type="dxa"/>
            <w:hideMark/>
          </w:tcPr>
          <w:p w14:paraId="7CE7E37B"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62.5</w:t>
            </w:r>
          </w:p>
        </w:tc>
        <w:tc>
          <w:tcPr>
            <w:tcW w:w="1833" w:type="dxa"/>
            <w:hideMark/>
          </w:tcPr>
          <w:p w14:paraId="670EEB47"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6</w:t>
            </w:r>
          </w:p>
        </w:tc>
      </w:tr>
      <w:tr w:rsidR="004C70FB" w:rsidRPr="004C70FB" w14:paraId="4B1778A5" w14:textId="77777777" w:rsidTr="00962137">
        <w:tc>
          <w:tcPr>
            <w:tcW w:w="2263" w:type="dxa"/>
            <w:hideMark/>
          </w:tcPr>
          <w:p w14:paraId="376D4B1B"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G</w:t>
            </w:r>
          </w:p>
        </w:tc>
        <w:tc>
          <w:tcPr>
            <w:tcW w:w="1843" w:type="dxa"/>
            <w:hideMark/>
          </w:tcPr>
          <w:p w14:paraId="76E70985"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16</w:t>
            </w:r>
          </w:p>
        </w:tc>
        <w:tc>
          <w:tcPr>
            <w:tcW w:w="1701" w:type="dxa"/>
            <w:hideMark/>
          </w:tcPr>
          <w:p w14:paraId="186534CC"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8</w:t>
            </w:r>
          </w:p>
        </w:tc>
        <w:tc>
          <w:tcPr>
            <w:tcW w:w="1716" w:type="dxa"/>
            <w:hideMark/>
          </w:tcPr>
          <w:p w14:paraId="7DA724C9"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50.0</w:t>
            </w:r>
          </w:p>
        </w:tc>
        <w:tc>
          <w:tcPr>
            <w:tcW w:w="1833" w:type="dxa"/>
            <w:hideMark/>
          </w:tcPr>
          <w:p w14:paraId="103B397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8</w:t>
            </w:r>
          </w:p>
        </w:tc>
      </w:tr>
      <w:tr w:rsidR="004C70FB" w:rsidRPr="004C70FB" w14:paraId="072F08B4" w14:textId="77777777" w:rsidTr="00962137">
        <w:tc>
          <w:tcPr>
            <w:tcW w:w="2263" w:type="dxa"/>
            <w:hideMark/>
          </w:tcPr>
          <w:p w14:paraId="5E7C2E8D"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B</w:t>
            </w:r>
          </w:p>
        </w:tc>
        <w:tc>
          <w:tcPr>
            <w:tcW w:w="1843" w:type="dxa"/>
            <w:hideMark/>
          </w:tcPr>
          <w:p w14:paraId="5D12C48B"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10</w:t>
            </w:r>
          </w:p>
        </w:tc>
        <w:tc>
          <w:tcPr>
            <w:tcW w:w="1701" w:type="dxa"/>
            <w:hideMark/>
          </w:tcPr>
          <w:p w14:paraId="340AE2DC"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8</w:t>
            </w:r>
          </w:p>
        </w:tc>
        <w:tc>
          <w:tcPr>
            <w:tcW w:w="1716" w:type="dxa"/>
            <w:hideMark/>
          </w:tcPr>
          <w:p w14:paraId="20ADEE03"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80.0</w:t>
            </w:r>
          </w:p>
        </w:tc>
        <w:tc>
          <w:tcPr>
            <w:tcW w:w="1833" w:type="dxa"/>
            <w:hideMark/>
          </w:tcPr>
          <w:p w14:paraId="4B90A5A2" w14:textId="77777777" w:rsidR="004C70FB" w:rsidRPr="004C70FB" w:rsidRDefault="004C70FB" w:rsidP="004C70FB">
            <w:pPr>
              <w:jc w:val="center"/>
              <w:rPr>
                <w:rFonts w:ascii="Calibri" w:eastAsia="Times New Roman" w:hAnsi="Calibri" w:cs="Calibri"/>
                <w:kern w:val="0"/>
                <w:lang w:eastAsia="en-GB"/>
                <w14:ligatures w14:val="none"/>
              </w:rPr>
            </w:pPr>
            <w:r w:rsidRPr="004C70FB">
              <w:rPr>
                <w:rFonts w:ascii="Calibri" w:eastAsia="Times New Roman" w:hAnsi="Calibri" w:cs="Calibri"/>
                <w:kern w:val="0"/>
                <w:lang w:eastAsia="en-GB"/>
                <w14:ligatures w14:val="none"/>
              </w:rPr>
              <w:t>2</w:t>
            </w:r>
          </w:p>
        </w:tc>
      </w:tr>
    </w:tbl>
    <w:p w14:paraId="4B2D9472" w14:textId="77777777" w:rsidR="004C70FB" w:rsidRDefault="004C70FB" w:rsidP="00216B73">
      <w:pPr>
        <w:spacing w:after="0" w:line="360" w:lineRule="auto"/>
        <w:jc w:val="both"/>
        <w:rPr>
          <w:rFonts w:ascii="Calibri" w:hAnsi="Calibri" w:cs="Calibri"/>
        </w:rPr>
      </w:pPr>
    </w:p>
    <w:p w14:paraId="7B4030E3" w14:textId="464B2F16" w:rsidR="00216B73" w:rsidRPr="00A438FA" w:rsidRDefault="00216B73" w:rsidP="00216B73">
      <w:pPr>
        <w:spacing w:after="120" w:line="360" w:lineRule="auto"/>
        <w:jc w:val="both"/>
        <w:rPr>
          <w:rFonts w:ascii="Calibri" w:hAnsi="Calibri" w:cs="Calibri"/>
        </w:rPr>
      </w:pPr>
      <w:r w:rsidRPr="00216B73">
        <w:rPr>
          <w:rFonts w:ascii="Calibri" w:hAnsi="Calibri" w:cs="Calibri"/>
        </w:rPr>
        <w:t>These differences may reflect variation in patient characteristics, treatment practices, or reporting procedures across hospitals. The presence of such variation highlights the importance of accounting for hospital-level differences in the statistical analysis.</w:t>
      </w:r>
    </w:p>
    <w:p w14:paraId="3B544B7B" w14:textId="22E831B1" w:rsidR="00A438FA" w:rsidRPr="00A438FA" w:rsidRDefault="00A438FA" w:rsidP="00A438FA">
      <w:pPr>
        <w:spacing w:after="120" w:line="360" w:lineRule="auto"/>
        <w:jc w:val="both"/>
        <w:rPr>
          <w:rFonts w:ascii="Calibri" w:hAnsi="Calibri" w:cs="Calibri"/>
          <w:b/>
          <w:bCs/>
        </w:rPr>
      </w:pPr>
      <w:r w:rsidRPr="00A438FA">
        <w:rPr>
          <w:rFonts w:ascii="Calibri" w:hAnsi="Calibri" w:cs="Calibri"/>
          <w:b/>
          <w:bCs/>
        </w:rPr>
        <w:t>Variation in Liver Radiodensity Across Hospitals</w:t>
      </w:r>
    </w:p>
    <w:p w14:paraId="6106827A" w14:textId="26C306EF" w:rsidR="00A438FA" w:rsidRDefault="00A438FA" w:rsidP="00A438FA">
      <w:pPr>
        <w:spacing w:after="120" w:line="360" w:lineRule="auto"/>
        <w:jc w:val="both"/>
        <w:rPr>
          <w:rFonts w:ascii="Calibri" w:hAnsi="Calibri" w:cs="Calibri"/>
        </w:rPr>
      </w:pPr>
      <w:r w:rsidRPr="00A438FA">
        <w:rPr>
          <w:rFonts w:ascii="Calibri" w:hAnsi="Calibri" w:cs="Calibri"/>
        </w:rPr>
        <w:t xml:space="preserve">Visual inspection of liver radiodensity distributions indicated differences across hospitals. This </w:t>
      </w:r>
      <w:r w:rsidR="000545BF">
        <w:rPr>
          <w:rFonts w:ascii="Calibri" w:hAnsi="Calibri" w:cs="Calibri"/>
        </w:rPr>
        <w:t>is</w:t>
      </w:r>
      <w:r w:rsidRPr="00A438FA">
        <w:rPr>
          <w:rFonts w:ascii="Calibri" w:hAnsi="Calibri" w:cs="Calibri"/>
        </w:rPr>
        <w:t xml:space="preserve"> </w:t>
      </w:r>
      <w:r w:rsidR="000545BF">
        <w:rPr>
          <w:rFonts w:ascii="Calibri" w:hAnsi="Calibri" w:cs="Calibri"/>
        </w:rPr>
        <w:t>presented in figure 1 below</w:t>
      </w:r>
      <w:r w:rsidRPr="00A438FA">
        <w:rPr>
          <w:rFonts w:ascii="Calibri" w:hAnsi="Calibri" w:cs="Calibri"/>
        </w:rPr>
        <w:t xml:space="preserve">. </w:t>
      </w:r>
    </w:p>
    <w:p w14:paraId="32A57C67" w14:textId="4B0D1158" w:rsidR="00E85371" w:rsidRPr="00A438FA" w:rsidRDefault="00E85371" w:rsidP="00A438FA">
      <w:pPr>
        <w:spacing w:after="120" w:line="360" w:lineRule="auto"/>
        <w:jc w:val="both"/>
        <w:rPr>
          <w:rFonts w:ascii="Calibri" w:hAnsi="Calibri" w:cs="Calibri"/>
        </w:rPr>
      </w:pPr>
      <w:r w:rsidRPr="00E85371">
        <w:rPr>
          <w:rFonts w:ascii="Calibri" w:hAnsi="Calibri" w:cs="Calibri"/>
          <w:noProof/>
        </w:rPr>
        <w:lastRenderedPageBreak/>
        <w:drawing>
          <wp:inline distT="0" distB="0" distL="0" distR="0" wp14:anchorId="4F5F348F" wp14:editId="1D9AEF60">
            <wp:extent cx="5731510" cy="3536950"/>
            <wp:effectExtent l="0" t="0" r="0" b="6350"/>
            <wp:docPr id="1711935424"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5424" name="Picture 1" descr="A graph of a number of patients&#10;&#10;AI-generated content may be incorrect."/>
                    <pic:cNvPicPr/>
                  </pic:nvPicPr>
                  <pic:blipFill>
                    <a:blip r:embed="rId8"/>
                    <a:stretch>
                      <a:fillRect/>
                    </a:stretch>
                  </pic:blipFill>
                  <pic:spPr>
                    <a:xfrm>
                      <a:off x="0" y="0"/>
                      <a:ext cx="5731510" cy="3536950"/>
                    </a:xfrm>
                    <a:prstGeom prst="rect">
                      <a:avLst/>
                    </a:prstGeom>
                  </pic:spPr>
                </pic:pic>
              </a:graphicData>
            </a:graphic>
          </wp:inline>
        </w:drawing>
      </w:r>
    </w:p>
    <w:p w14:paraId="6D397D40" w14:textId="1F37016C" w:rsidR="0005615A" w:rsidRDefault="006F4AB1" w:rsidP="009F2C4F">
      <w:pPr>
        <w:spacing w:after="120" w:line="360" w:lineRule="auto"/>
        <w:jc w:val="both"/>
        <w:rPr>
          <w:rFonts w:ascii="Calibri" w:hAnsi="Calibri" w:cs="Calibri"/>
        </w:rPr>
      </w:pPr>
      <w:r w:rsidRPr="006F4AB1">
        <w:rPr>
          <w:rFonts w:ascii="Calibri" w:hAnsi="Calibri" w:cs="Calibri"/>
        </w:rPr>
        <w:t>This was also confirmed by a one-way analysis of variance (ANOVA), which showed that mean liver radiodensity differed significantly between hospitals (F = 12.1, p &lt; 0.001). Approximately one quarter of the variability in liver radiodensity was explained by hospital-level differences. Table 3 below presents the ANOVA test results.</w:t>
      </w:r>
    </w:p>
    <w:p w14:paraId="3E173175" w14:textId="222E5D73" w:rsidR="00CB52DA" w:rsidRDefault="00CB52DA" w:rsidP="009F2C4F">
      <w:pPr>
        <w:spacing w:after="120" w:line="360" w:lineRule="auto"/>
        <w:jc w:val="both"/>
        <w:rPr>
          <w:rFonts w:ascii="Calibri" w:hAnsi="Calibri" w:cs="Calibri"/>
        </w:rPr>
      </w:pPr>
      <w:r>
        <w:rPr>
          <w:rFonts w:ascii="Calibri" w:hAnsi="Calibri" w:cs="Calibri"/>
        </w:rPr>
        <w:t xml:space="preserve">Table </w:t>
      </w:r>
      <w:r w:rsidR="00010C61">
        <w:rPr>
          <w:rFonts w:ascii="Calibri" w:hAnsi="Calibri" w:cs="Calibri"/>
        </w:rPr>
        <w:t>3</w:t>
      </w:r>
      <w:r>
        <w:rPr>
          <w:rFonts w:ascii="Calibri" w:hAnsi="Calibri" w:cs="Calibri"/>
        </w:rPr>
        <w:t xml:space="preserve">: ANOVA </w:t>
      </w:r>
      <w:r w:rsidR="00010C61">
        <w:rPr>
          <w:rFonts w:ascii="Calibri" w:hAnsi="Calibri" w:cs="Calibri"/>
        </w:rPr>
        <w:t>T</w:t>
      </w:r>
      <w:r>
        <w:rPr>
          <w:rFonts w:ascii="Calibri" w:hAnsi="Calibri" w:cs="Calibri"/>
        </w:rPr>
        <w:t>est</w:t>
      </w:r>
      <w:r w:rsidR="00010C61">
        <w:rPr>
          <w:rFonts w:ascii="Calibri" w:hAnsi="Calibri" w:cs="Calibri"/>
        </w:rPr>
        <w:t xml:space="preserve"> Results</w:t>
      </w:r>
    </w:p>
    <w:tbl>
      <w:tblPr>
        <w:tblStyle w:val="TableGrid"/>
        <w:tblW w:w="9186" w:type="dxa"/>
        <w:tblLook w:val="04A0" w:firstRow="1" w:lastRow="0" w:firstColumn="1" w:lastColumn="0" w:noHBand="0" w:noVBand="1"/>
      </w:tblPr>
      <w:tblGrid>
        <w:gridCol w:w="1507"/>
        <w:gridCol w:w="1524"/>
        <w:gridCol w:w="1524"/>
        <w:gridCol w:w="1524"/>
        <w:gridCol w:w="1524"/>
        <w:gridCol w:w="1583"/>
      </w:tblGrid>
      <w:tr w:rsidR="0006375F" w:rsidRPr="00962137" w14:paraId="13746DB3" w14:textId="01EB8BB5" w:rsidTr="00C607B1">
        <w:tc>
          <w:tcPr>
            <w:tcW w:w="1507" w:type="dxa"/>
            <w:shd w:val="clear" w:color="auto" w:fill="DAE9F7" w:themeFill="text2" w:themeFillTint="1A"/>
          </w:tcPr>
          <w:p w14:paraId="60BBC0AA" w14:textId="1DA2ECE8" w:rsidR="0006375F" w:rsidRPr="00962137" w:rsidRDefault="0006375F" w:rsidP="0006375F">
            <w:pPr>
              <w:jc w:val="center"/>
              <w:rPr>
                <w:rFonts w:ascii="Calibri" w:eastAsia="Times New Roman" w:hAnsi="Calibri" w:cs="Calibri"/>
                <w:b/>
                <w:bCs/>
                <w:kern w:val="0"/>
                <w:lang w:eastAsia="en-GB"/>
                <w14:ligatures w14:val="none"/>
              </w:rPr>
            </w:pPr>
          </w:p>
        </w:tc>
        <w:tc>
          <w:tcPr>
            <w:tcW w:w="1524" w:type="dxa"/>
            <w:shd w:val="clear" w:color="auto" w:fill="DAE9F7" w:themeFill="text2" w:themeFillTint="1A"/>
          </w:tcPr>
          <w:p w14:paraId="1DDB3012" w14:textId="7EAAD063" w:rsidR="0006375F" w:rsidRPr="00962137" w:rsidRDefault="0006375F" w:rsidP="0006375F">
            <w:pPr>
              <w:jc w:val="center"/>
              <w:rPr>
                <w:rFonts w:ascii="Calibri" w:eastAsia="Times New Roman" w:hAnsi="Calibri" w:cs="Calibri"/>
                <w:b/>
                <w:bCs/>
                <w:kern w:val="0"/>
                <w:lang w:eastAsia="en-GB"/>
                <w14:ligatures w14:val="none"/>
              </w:rPr>
            </w:pPr>
            <w:proofErr w:type="spellStart"/>
            <w:r w:rsidRPr="00962137">
              <w:rPr>
                <w:rFonts w:ascii="Calibri" w:eastAsia="Times New Roman" w:hAnsi="Calibri" w:cs="Calibri"/>
                <w:b/>
                <w:bCs/>
                <w:kern w:val="0"/>
                <w:lang w:eastAsia="en-GB"/>
                <w14:ligatures w14:val="none"/>
              </w:rPr>
              <w:t>Df</w:t>
            </w:r>
            <w:proofErr w:type="spellEnd"/>
          </w:p>
        </w:tc>
        <w:tc>
          <w:tcPr>
            <w:tcW w:w="1524" w:type="dxa"/>
            <w:shd w:val="clear" w:color="auto" w:fill="DAE9F7" w:themeFill="text2" w:themeFillTint="1A"/>
          </w:tcPr>
          <w:p w14:paraId="7CCFF51B" w14:textId="68955EAB" w:rsidR="0006375F" w:rsidRPr="00962137" w:rsidRDefault="0006375F" w:rsidP="0006375F">
            <w:pPr>
              <w:jc w:val="center"/>
              <w:rPr>
                <w:rFonts w:ascii="Calibri" w:eastAsia="Times New Roman" w:hAnsi="Calibri" w:cs="Calibri"/>
                <w:b/>
                <w:bCs/>
                <w:kern w:val="0"/>
                <w:lang w:eastAsia="en-GB"/>
                <w14:ligatures w14:val="none"/>
              </w:rPr>
            </w:pPr>
            <w:r w:rsidRPr="00962137">
              <w:rPr>
                <w:rFonts w:ascii="Calibri" w:eastAsia="Times New Roman" w:hAnsi="Calibri" w:cs="Calibri"/>
                <w:b/>
                <w:bCs/>
                <w:kern w:val="0"/>
                <w:lang w:eastAsia="en-GB"/>
                <w14:ligatures w14:val="none"/>
              </w:rPr>
              <w:t xml:space="preserve">Sum </w:t>
            </w:r>
            <w:proofErr w:type="spellStart"/>
            <w:r w:rsidRPr="00962137">
              <w:rPr>
                <w:rFonts w:ascii="Calibri" w:eastAsia="Times New Roman" w:hAnsi="Calibri" w:cs="Calibri"/>
                <w:b/>
                <w:bCs/>
                <w:kern w:val="0"/>
                <w:lang w:eastAsia="en-GB"/>
                <w14:ligatures w14:val="none"/>
              </w:rPr>
              <w:t>Sq</w:t>
            </w:r>
            <w:proofErr w:type="spellEnd"/>
          </w:p>
        </w:tc>
        <w:tc>
          <w:tcPr>
            <w:tcW w:w="1524" w:type="dxa"/>
            <w:shd w:val="clear" w:color="auto" w:fill="DAE9F7" w:themeFill="text2" w:themeFillTint="1A"/>
          </w:tcPr>
          <w:p w14:paraId="50FB1374" w14:textId="455DC3A0" w:rsidR="0006375F" w:rsidRPr="00962137" w:rsidRDefault="0006375F" w:rsidP="0006375F">
            <w:pPr>
              <w:jc w:val="center"/>
              <w:rPr>
                <w:rFonts w:ascii="Calibri" w:eastAsia="Times New Roman" w:hAnsi="Calibri" w:cs="Calibri"/>
                <w:b/>
                <w:bCs/>
                <w:kern w:val="0"/>
                <w:lang w:eastAsia="en-GB"/>
                <w14:ligatures w14:val="none"/>
              </w:rPr>
            </w:pPr>
            <w:r w:rsidRPr="00962137">
              <w:rPr>
                <w:rFonts w:ascii="Calibri" w:eastAsia="Times New Roman" w:hAnsi="Calibri" w:cs="Calibri"/>
                <w:b/>
                <w:bCs/>
                <w:kern w:val="0"/>
                <w:lang w:eastAsia="en-GB"/>
                <w14:ligatures w14:val="none"/>
              </w:rPr>
              <w:t xml:space="preserve">Mean </w:t>
            </w:r>
            <w:proofErr w:type="spellStart"/>
            <w:r w:rsidRPr="00962137">
              <w:rPr>
                <w:rFonts w:ascii="Calibri" w:eastAsia="Times New Roman" w:hAnsi="Calibri" w:cs="Calibri"/>
                <w:b/>
                <w:bCs/>
                <w:kern w:val="0"/>
                <w:lang w:eastAsia="en-GB"/>
                <w14:ligatures w14:val="none"/>
              </w:rPr>
              <w:t>Sq</w:t>
            </w:r>
            <w:proofErr w:type="spellEnd"/>
          </w:p>
        </w:tc>
        <w:tc>
          <w:tcPr>
            <w:tcW w:w="1524" w:type="dxa"/>
            <w:shd w:val="clear" w:color="auto" w:fill="DAE9F7" w:themeFill="text2" w:themeFillTint="1A"/>
          </w:tcPr>
          <w:p w14:paraId="4B2632B7" w14:textId="3926B47B" w:rsidR="0006375F" w:rsidRPr="00962137" w:rsidRDefault="0006375F" w:rsidP="0006375F">
            <w:pPr>
              <w:jc w:val="center"/>
              <w:rPr>
                <w:rFonts w:ascii="Calibri" w:eastAsia="Times New Roman" w:hAnsi="Calibri" w:cs="Calibri"/>
                <w:b/>
                <w:bCs/>
                <w:kern w:val="0"/>
                <w:lang w:eastAsia="en-GB"/>
                <w14:ligatures w14:val="none"/>
              </w:rPr>
            </w:pPr>
            <w:r w:rsidRPr="00962137">
              <w:rPr>
                <w:rFonts w:ascii="Calibri" w:eastAsia="Times New Roman" w:hAnsi="Calibri" w:cs="Calibri"/>
                <w:b/>
                <w:bCs/>
                <w:kern w:val="0"/>
                <w:lang w:eastAsia="en-GB"/>
                <w14:ligatures w14:val="none"/>
              </w:rPr>
              <w:t>F value</w:t>
            </w:r>
          </w:p>
        </w:tc>
        <w:tc>
          <w:tcPr>
            <w:tcW w:w="1583" w:type="dxa"/>
            <w:shd w:val="clear" w:color="auto" w:fill="DAE9F7" w:themeFill="text2" w:themeFillTint="1A"/>
          </w:tcPr>
          <w:p w14:paraId="445B53CE" w14:textId="1CE6A6FB" w:rsidR="0006375F" w:rsidRPr="00962137" w:rsidRDefault="0006375F" w:rsidP="0006375F">
            <w:pPr>
              <w:jc w:val="center"/>
              <w:rPr>
                <w:rFonts w:ascii="Calibri" w:eastAsia="Times New Roman" w:hAnsi="Calibri" w:cs="Calibri"/>
                <w:kern w:val="0"/>
                <w:sz w:val="20"/>
                <w:szCs w:val="20"/>
                <w:lang w:eastAsia="en-GB"/>
                <w14:ligatures w14:val="none"/>
              </w:rPr>
            </w:pPr>
            <w:proofErr w:type="spellStart"/>
            <w:r w:rsidRPr="00962137">
              <w:rPr>
                <w:rFonts w:ascii="Calibri" w:eastAsia="Times New Roman" w:hAnsi="Calibri" w:cs="Calibri"/>
                <w:b/>
                <w:bCs/>
                <w:kern w:val="0"/>
                <w:lang w:eastAsia="en-GB"/>
                <w14:ligatures w14:val="none"/>
              </w:rPr>
              <w:t>Pr</w:t>
            </w:r>
            <w:proofErr w:type="spellEnd"/>
            <w:r w:rsidRPr="00962137">
              <w:rPr>
                <w:rFonts w:ascii="Calibri" w:eastAsia="Times New Roman" w:hAnsi="Calibri" w:cs="Calibri"/>
                <w:b/>
                <w:bCs/>
                <w:kern w:val="0"/>
                <w:lang w:eastAsia="en-GB"/>
                <w14:ligatures w14:val="none"/>
              </w:rPr>
              <w:t>(&gt;F)</w:t>
            </w:r>
          </w:p>
        </w:tc>
      </w:tr>
      <w:tr w:rsidR="0006375F" w:rsidRPr="00962137" w14:paraId="69020DD2" w14:textId="77777777" w:rsidTr="0006375F">
        <w:tc>
          <w:tcPr>
            <w:tcW w:w="1507" w:type="dxa"/>
            <w:hideMark/>
          </w:tcPr>
          <w:p w14:paraId="74A12FFC"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hospital</w:t>
            </w:r>
          </w:p>
        </w:tc>
        <w:tc>
          <w:tcPr>
            <w:tcW w:w="1524" w:type="dxa"/>
            <w:hideMark/>
          </w:tcPr>
          <w:p w14:paraId="66BACD15"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10</w:t>
            </w:r>
          </w:p>
        </w:tc>
        <w:tc>
          <w:tcPr>
            <w:tcW w:w="1524" w:type="dxa"/>
            <w:hideMark/>
          </w:tcPr>
          <w:p w14:paraId="275A861B"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32418.09</w:t>
            </w:r>
          </w:p>
        </w:tc>
        <w:tc>
          <w:tcPr>
            <w:tcW w:w="1524" w:type="dxa"/>
            <w:hideMark/>
          </w:tcPr>
          <w:p w14:paraId="56D78DBA"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3241.8086</w:t>
            </w:r>
          </w:p>
        </w:tc>
        <w:tc>
          <w:tcPr>
            <w:tcW w:w="1524" w:type="dxa"/>
            <w:hideMark/>
          </w:tcPr>
          <w:p w14:paraId="26650332"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12.06797</w:t>
            </w:r>
          </w:p>
        </w:tc>
        <w:tc>
          <w:tcPr>
            <w:tcW w:w="1583" w:type="dxa"/>
            <w:hideMark/>
          </w:tcPr>
          <w:p w14:paraId="0C385ADA"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0</w:t>
            </w:r>
          </w:p>
        </w:tc>
      </w:tr>
      <w:tr w:rsidR="0006375F" w:rsidRPr="00962137" w14:paraId="57ECF470" w14:textId="77777777" w:rsidTr="0006375F">
        <w:tc>
          <w:tcPr>
            <w:tcW w:w="1507" w:type="dxa"/>
            <w:hideMark/>
          </w:tcPr>
          <w:p w14:paraId="0ED92D13"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Residuals</w:t>
            </w:r>
          </w:p>
        </w:tc>
        <w:tc>
          <w:tcPr>
            <w:tcW w:w="1524" w:type="dxa"/>
            <w:hideMark/>
          </w:tcPr>
          <w:p w14:paraId="3CA2E813"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348</w:t>
            </w:r>
          </w:p>
        </w:tc>
        <w:tc>
          <w:tcPr>
            <w:tcW w:w="1524" w:type="dxa"/>
            <w:hideMark/>
          </w:tcPr>
          <w:p w14:paraId="50AE0741"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93482.95</w:t>
            </w:r>
          </w:p>
        </w:tc>
        <w:tc>
          <w:tcPr>
            <w:tcW w:w="1524" w:type="dxa"/>
            <w:hideMark/>
          </w:tcPr>
          <w:p w14:paraId="3F592719" w14:textId="77777777" w:rsidR="0006375F" w:rsidRPr="00962137" w:rsidRDefault="0006375F" w:rsidP="0006375F">
            <w:pPr>
              <w:jc w:val="center"/>
              <w:rPr>
                <w:rFonts w:ascii="Calibri" w:eastAsia="Times New Roman" w:hAnsi="Calibri" w:cs="Calibri"/>
                <w:kern w:val="0"/>
                <w:lang w:eastAsia="en-GB"/>
                <w14:ligatures w14:val="none"/>
              </w:rPr>
            </w:pPr>
            <w:r w:rsidRPr="00962137">
              <w:rPr>
                <w:rFonts w:ascii="Calibri" w:eastAsia="Times New Roman" w:hAnsi="Calibri" w:cs="Calibri"/>
                <w:kern w:val="0"/>
                <w:lang w:eastAsia="en-GB"/>
                <w14:ligatures w14:val="none"/>
              </w:rPr>
              <w:t>268.6292</w:t>
            </w:r>
          </w:p>
        </w:tc>
        <w:tc>
          <w:tcPr>
            <w:tcW w:w="1524" w:type="dxa"/>
            <w:hideMark/>
          </w:tcPr>
          <w:p w14:paraId="5A3DC5CB" w14:textId="1AD36E67" w:rsidR="0006375F" w:rsidRPr="00962137" w:rsidRDefault="0006375F" w:rsidP="0006375F">
            <w:pPr>
              <w:jc w:val="center"/>
              <w:rPr>
                <w:rFonts w:ascii="Calibri" w:eastAsia="Times New Roman" w:hAnsi="Calibri" w:cs="Calibri"/>
                <w:kern w:val="0"/>
                <w:lang w:eastAsia="en-GB"/>
                <w14:ligatures w14:val="none"/>
              </w:rPr>
            </w:pPr>
          </w:p>
        </w:tc>
        <w:tc>
          <w:tcPr>
            <w:tcW w:w="1583" w:type="dxa"/>
            <w:hideMark/>
          </w:tcPr>
          <w:p w14:paraId="0ED9E32D" w14:textId="5BC1D9D4" w:rsidR="0006375F" w:rsidRPr="00962137" w:rsidRDefault="0006375F" w:rsidP="0006375F">
            <w:pPr>
              <w:jc w:val="center"/>
              <w:rPr>
                <w:rFonts w:ascii="Calibri" w:eastAsia="Times New Roman" w:hAnsi="Calibri" w:cs="Calibri"/>
                <w:kern w:val="0"/>
                <w:lang w:eastAsia="en-GB"/>
                <w14:ligatures w14:val="none"/>
              </w:rPr>
            </w:pPr>
          </w:p>
        </w:tc>
      </w:tr>
    </w:tbl>
    <w:p w14:paraId="50446A60" w14:textId="77777777" w:rsidR="00CB52DA" w:rsidRPr="009F2C4F" w:rsidRDefault="00CB52DA" w:rsidP="0006375F">
      <w:pPr>
        <w:spacing w:after="0" w:line="360" w:lineRule="auto"/>
        <w:jc w:val="both"/>
        <w:rPr>
          <w:rFonts w:ascii="Calibri" w:hAnsi="Calibri" w:cs="Calibri"/>
        </w:rPr>
      </w:pPr>
    </w:p>
    <w:p w14:paraId="6766919B" w14:textId="77777777" w:rsidR="002B2B0A" w:rsidRPr="002B2B0A" w:rsidRDefault="002B2B0A" w:rsidP="002B2B0A">
      <w:pPr>
        <w:spacing w:after="120" w:line="360" w:lineRule="auto"/>
        <w:jc w:val="both"/>
        <w:rPr>
          <w:rFonts w:ascii="Calibri" w:hAnsi="Calibri" w:cs="Calibri"/>
        </w:rPr>
      </w:pPr>
      <w:r w:rsidRPr="002B2B0A">
        <w:rPr>
          <w:rFonts w:ascii="Calibri" w:hAnsi="Calibri" w:cs="Calibri"/>
        </w:rPr>
        <w:t>These findings indicate that liver radiodensity measurements are not directly comparable across hospitals and may be influenced by differences in imaging procedures or patient populations. This suggests that hospital may act as a confounding factor in the association between liver radiodensity and toxicity.</w:t>
      </w:r>
    </w:p>
    <w:p w14:paraId="01A45593" w14:textId="77777777" w:rsidR="00AA4A98" w:rsidRDefault="00AA4A98" w:rsidP="00AA4A98">
      <w:pPr>
        <w:spacing w:after="120" w:line="360" w:lineRule="auto"/>
        <w:jc w:val="both"/>
        <w:rPr>
          <w:rFonts w:ascii="Calibri" w:hAnsi="Calibri" w:cs="Calibri"/>
          <w:b/>
          <w:bCs/>
        </w:rPr>
      </w:pPr>
      <w:r w:rsidRPr="00AA4A98">
        <w:rPr>
          <w:rFonts w:ascii="Calibri" w:hAnsi="Calibri" w:cs="Calibri"/>
          <w:b/>
          <w:bCs/>
        </w:rPr>
        <w:t>Time to Toxicity</w:t>
      </w:r>
    </w:p>
    <w:p w14:paraId="26F49F2C" w14:textId="7504910A" w:rsidR="00A449E9" w:rsidRDefault="00A449E9" w:rsidP="00EF7CE4">
      <w:pPr>
        <w:spacing w:after="120" w:line="360" w:lineRule="auto"/>
        <w:jc w:val="both"/>
        <w:rPr>
          <w:rFonts w:ascii="Calibri" w:hAnsi="Calibri" w:cs="Calibri"/>
        </w:rPr>
      </w:pPr>
      <w:r w:rsidRPr="00A449E9">
        <w:rPr>
          <w:rFonts w:ascii="Calibri" w:hAnsi="Calibri" w:cs="Calibri"/>
        </w:rPr>
        <w:t>Kaplan</w:t>
      </w:r>
      <w:r w:rsidR="00EF7CE4">
        <w:rPr>
          <w:rFonts w:ascii="Calibri" w:hAnsi="Calibri" w:cs="Calibri"/>
        </w:rPr>
        <w:t>-</w:t>
      </w:r>
      <w:r w:rsidRPr="00A449E9">
        <w:rPr>
          <w:rFonts w:ascii="Calibri" w:hAnsi="Calibri" w:cs="Calibri"/>
        </w:rPr>
        <w:t>Meier curves were used to describe the unadjusted time to dose-limiting toxicity across chemotherapy cycles. Across all endpoints, the probability of remaining free from toxicity declined rapidly during the early treatment cycles, indicating that most toxicities occurred early in treatment.</w:t>
      </w:r>
      <w:r w:rsidR="00EF7CE4">
        <w:rPr>
          <w:rFonts w:ascii="Calibri" w:hAnsi="Calibri" w:cs="Calibri"/>
        </w:rPr>
        <w:t xml:space="preserve"> </w:t>
      </w:r>
      <w:r w:rsidRPr="00A449E9">
        <w:rPr>
          <w:rFonts w:ascii="Calibri" w:hAnsi="Calibri" w:cs="Calibri"/>
        </w:rPr>
        <w:t xml:space="preserve">In later cycles, estimates became less stable due to the smaller </w:t>
      </w:r>
      <w:r w:rsidRPr="00A449E9">
        <w:rPr>
          <w:rFonts w:ascii="Calibri" w:hAnsi="Calibri" w:cs="Calibri"/>
        </w:rPr>
        <w:lastRenderedPageBreak/>
        <w:t>number of patients remaining at risk. These patterns support the use of survival analysis methods and highlight the clinical relevance of early treatment tolerance.</w:t>
      </w:r>
      <w:r w:rsidR="00EF7CE4">
        <w:rPr>
          <w:rFonts w:ascii="Calibri" w:hAnsi="Calibri" w:cs="Calibri"/>
        </w:rPr>
        <w:t xml:space="preserve"> These Kaplan-Meier curves for each endpoint are present in the figure below.</w:t>
      </w:r>
    </w:p>
    <w:p w14:paraId="7F873D06" w14:textId="19628654" w:rsidR="00EF7CE4" w:rsidRDefault="00EF7CE4" w:rsidP="00EF7CE4">
      <w:pPr>
        <w:spacing w:after="120" w:line="360" w:lineRule="auto"/>
        <w:jc w:val="both"/>
        <w:rPr>
          <w:rFonts w:ascii="Calibri" w:hAnsi="Calibri" w:cs="Calibri"/>
        </w:rPr>
      </w:pPr>
      <w:r>
        <w:rPr>
          <w:rFonts w:ascii="Calibri" w:hAnsi="Calibri" w:cs="Calibri"/>
        </w:rPr>
        <w:t xml:space="preserve">Figure 2: </w:t>
      </w:r>
      <w:r w:rsidRPr="00A449E9">
        <w:rPr>
          <w:rFonts w:ascii="Calibri" w:hAnsi="Calibri" w:cs="Calibri"/>
        </w:rPr>
        <w:t>Kaplan</w:t>
      </w:r>
      <w:r>
        <w:rPr>
          <w:rFonts w:ascii="Calibri" w:hAnsi="Calibri" w:cs="Calibri"/>
        </w:rPr>
        <w:t>-</w:t>
      </w:r>
      <w:r w:rsidRPr="00A449E9">
        <w:rPr>
          <w:rFonts w:ascii="Calibri" w:hAnsi="Calibri" w:cs="Calibri"/>
        </w:rPr>
        <w:t>Meier curves</w:t>
      </w:r>
      <w:r>
        <w:rPr>
          <w:rFonts w:ascii="Calibri" w:hAnsi="Calibri" w:cs="Calibri"/>
        </w:rPr>
        <w:t xml:space="preserve"> for Time to Toxicity</w:t>
      </w:r>
    </w:p>
    <w:p w14:paraId="5E866A1A" w14:textId="4C5DF84A" w:rsidR="00EF7CE4" w:rsidRDefault="00EF7CE4" w:rsidP="00EF7CE4">
      <w:pPr>
        <w:spacing w:after="120" w:line="360" w:lineRule="auto"/>
        <w:jc w:val="both"/>
        <w:rPr>
          <w:rFonts w:ascii="Calibri" w:hAnsi="Calibri" w:cs="Calibri"/>
        </w:rPr>
      </w:pPr>
      <w:r w:rsidRPr="00EF7CE4">
        <w:rPr>
          <w:rFonts w:ascii="Calibri" w:hAnsi="Calibri" w:cs="Calibri"/>
          <w:noProof/>
        </w:rPr>
        <w:drawing>
          <wp:inline distT="0" distB="0" distL="0" distR="0" wp14:anchorId="4C0AFAEF" wp14:editId="3B38CD91">
            <wp:extent cx="5731510" cy="3536950"/>
            <wp:effectExtent l="0" t="0" r="0" b="6350"/>
            <wp:docPr id="7743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9932" name=""/>
                    <pic:cNvPicPr/>
                  </pic:nvPicPr>
                  <pic:blipFill>
                    <a:blip r:embed="rId9"/>
                    <a:stretch>
                      <a:fillRect/>
                    </a:stretch>
                  </pic:blipFill>
                  <pic:spPr>
                    <a:xfrm>
                      <a:off x="0" y="0"/>
                      <a:ext cx="5731510" cy="3536950"/>
                    </a:xfrm>
                    <a:prstGeom prst="rect">
                      <a:avLst/>
                    </a:prstGeom>
                  </pic:spPr>
                </pic:pic>
              </a:graphicData>
            </a:graphic>
          </wp:inline>
        </w:drawing>
      </w:r>
    </w:p>
    <w:p w14:paraId="76695E27" w14:textId="17A6CA43" w:rsidR="00EF7CE4" w:rsidRDefault="00EF7CE4" w:rsidP="00EF7CE4">
      <w:pPr>
        <w:spacing w:after="120" w:line="360" w:lineRule="auto"/>
        <w:jc w:val="both"/>
        <w:rPr>
          <w:rFonts w:ascii="Calibri" w:hAnsi="Calibri" w:cs="Calibri"/>
        </w:rPr>
      </w:pPr>
      <w:r w:rsidRPr="00EF7CE4">
        <w:rPr>
          <w:rFonts w:ascii="Calibri" w:hAnsi="Calibri" w:cs="Calibri"/>
          <w:noProof/>
        </w:rPr>
        <w:drawing>
          <wp:inline distT="0" distB="0" distL="0" distR="0" wp14:anchorId="74AA32C5" wp14:editId="0FA35507">
            <wp:extent cx="5731510" cy="3536950"/>
            <wp:effectExtent l="0" t="0" r="0" b="6350"/>
            <wp:docPr id="139606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6009" name=""/>
                    <pic:cNvPicPr/>
                  </pic:nvPicPr>
                  <pic:blipFill>
                    <a:blip r:embed="rId10"/>
                    <a:stretch>
                      <a:fillRect/>
                    </a:stretch>
                  </pic:blipFill>
                  <pic:spPr>
                    <a:xfrm>
                      <a:off x="0" y="0"/>
                      <a:ext cx="5731510" cy="3536950"/>
                    </a:xfrm>
                    <a:prstGeom prst="rect">
                      <a:avLst/>
                    </a:prstGeom>
                  </pic:spPr>
                </pic:pic>
              </a:graphicData>
            </a:graphic>
          </wp:inline>
        </w:drawing>
      </w:r>
    </w:p>
    <w:p w14:paraId="22E20BBA" w14:textId="010E2948" w:rsidR="00EF7CE4" w:rsidRDefault="00EF7CE4" w:rsidP="00EF7CE4">
      <w:pPr>
        <w:spacing w:after="120" w:line="360" w:lineRule="auto"/>
        <w:jc w:val="both"/>
        <w:rPr>
          <w:rFonts w:ascii="Calibri" w:hAnsi="Calibri" w:cs="Calibri"/>
        </w:rPr>
      </w:pPr>
      <w:r w:rsidRPr="00EF7CE4">
        <w:rPr>
          <w:rFonts w:ascii="Calibri" w:hAnsi="Calibri" w:cs="Calibri"/>
          <w:noProof/>
        </w:rPr>
        <w:lastRenderedPageBreak/>
        <w:drawing>
          <wp:inline distT="0" distB="0" distL="0" distR="0" wp14:anchorId="1752627C" wp14:editId="01C5033E">
            <wp:extent cx="5731510" cy="3536950"/>
            <wp:effectExtent l="0" t="0" r="0" b="6350"/>
            <wp:docPr id="142513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39818" name=""/>
                    <pic:cNvPicPr/>
                  </pic:nvPicPr>
                  <pic:blipFill>
                    <a:blip r:embed="rId11"/>
                    <a:stretch>
                      <a:fillRect/>
                    </a:stretch>
                  </pic:blipFill>
                  <pic:spPr>
                    <a:xfrm>
                      <a:off x="0" y="0"/>
                      <a:ext cx="5731510" cy="3536950"/>
                    </a:xfrm>
                    <a:prstGeom prst="rect">
                      <a:avLst/>
                    </a:prstGeom>
                  </pic:spPr>
                </pic:pic>
              </a:graphicData>
            </a:graphic>
          </wp:inline>
        </w:drawing>
      </w:r>
    </w:p>
    <w:p w14:paraId="121F0B69" w14:textId="6450C4FB" w:rsidR="00B60208" w:rsidRPr="00B60208" w:rsidRDefault="004D1C87" w:rsidP="00B60208">
      <w:pPr>
        <w:spacing w:after="120" w:line="360" w:lineRule="auto"/>
        <w:jc w:val="both"/>
        <w:rPr>
          <w:rFonts w:ascii="Calibri" w:hAnsi="Calibri" w:cs="Calibri"/>
          <w:b/>
          <w:bCs/>
        </w:rPr>
      </w:pPr>
      <w:r>
        <w:rPr>
          <w:rFonts w:ascii="Calibri" w:hAnsi="Calibri" w:cs="Calibri"/>
          <w:b/>
          <w:bCs/>
        </w:rPr>
        <w:t>Association</w:t>
      </w:r>
      <w:r w:rsidR="00B60208" w:rsidRPr="00B60208">
        <w:rPr>
          <w:rFonts w:ascii="Calibri" w:hAnsi="Calibri" w:cs="Calibri"/>
          <w:b/>
          <w:bCs/>
        </w:rPr>
        <w:t xml:space="preserve"> </w:t>
      </w:r>
      <w:r w:rsidR="000B258A">
        <w:rPr>
          <w:rFonts w:ascii="Calibri" w:hAnsi="Calibri" w:cs="Calibri"/>
          <w:b/>
          <w:bCs/>
        </w:rPr>
        <w:t>b</w:t>
      </w:r>
      <w:r w:rsidR="000B258A" w:rsidRPr="006B22B2">
        <w:rPr>
          <w:rFonts w:ascii="Calibri" w:hAnsi="Calibri" w:cs="Calibri"/>
          <w:b/>
          <w:bCs/>
        </w:rPr>
        <w:t>etween Liver Radiodensity and Toxicity</w:t>
      </w:r>
    </w:p>
    <w:p w14:paraId="6A0BECCD" w14:textId="620DC9D9" w:rsidR="009C3B7E" w:rsidRDefault="009C3B7E" w:rsidP="00946E52">
      <w:pPr>
        <w:spacing w:after="120" w:line="360" w:lineRule="auto"/>
        <w:jc w:val="both"/>
        <w:rPr>
          <w:rFonts w:ascii="Calibri" w:hAnsi="Calibri" w:cs="Calibri"/>
        </w:rPr>
      </w:pPr>
      <w:r w:rsidRPr="009C3B7E">
        <w:rPr>
          <w:rFonts w:ascii="Calibri" w:hAnsi="Calibri" w:cs="Calibri"/>
        </w:rPr>
        <w:t>As shown in the descriptive analysis, both liver radiodensity and toxicity rates varied across hospitals, suggesting potential differences in measurement procedures, patient populations, or clinical practices. These differences could confound the association between liver radiodensity and toxicity if not properly accounted for.</w:t>
      </w:r>
      <w:r>
        <w:rPr>
          <w:rFonts w:ascii="Calibri" w:hAnsi="Calibri" w:cs="Calibri"/>
        </w:rPr>
        <w:t xml:space="preserve"> </w:t>
      </w:r>
      <w:r w:rsidR="00E13262" w:rsidRPr="006B22B2">
        <w:rPr>
          <w:rFonts w:ascii="Calibri" w:hAnsi="Calibri" w:cs="Calibri"/>
        </w:rPr>
        <w:t xml:space="preserve">The association between liver radiodensity and time to toxicity was assessed using Cox proportional hazards models, adjusted for age, sex, body mass index, smoking status, and treatment-specific starting dose. </w:t>
      </w:r>
      <w:r w:rsidRPr="009C3B7E">
        <w:rPr>
          <w:rFonts w:ascii="Calibri" w:hAnsi="Calibri" w:cs="Calibri"/>
        </w:rPr>
        <w:t>To address this, Cox proportional hazards models were stratified by hospital. Stratification allows each hospital to have its own baseline hazard function, meaning that comparisons are made within hospitals rather than between hospitals. In this way, the estimated effects (e.g., liver radiodensity) are not influenced by systematic differences across centres.</w:t>
      </w:r>
      <w:r w:rsidR="00946E52">
        <w:rPr>
          <w:rFonts w:ascii="Calibri" w:hAnsi="Calibri" w:cs="Calibri"/>
        </w:rPr>
        <w:t xml:space="preserve"> </w:t>
      </w:r>
      <w:r w:rsidRPr="009C3B7E">
        <w:rPr>
          <w:rFonts w:ascii="Calibri" w:hAnsi="Calibri" w:cs="Calibri"/>
        </w:rPr>
        <w:t xml:space="preserve">Table </w:t>
      </w:r>
      <w:r>
        <w:rPr>
          <w:rFonts w:ascii="Calibri" w:hAnsi="Calibri" w:cs="Calibri"/>
        </w:rPr>
        <w:t>4</w:t>
      </w:r>
      <w:r w:rsidRPr="009C3B7E">
        <w:rPr>
          <w:rFonts w:ascii="Calibri" w:hAnsi="Calibri" w:cs="Calibri"/>
        </w:rPr>
        <w:t xml:space="preserve"> presents the estimated hazard ratios for liver radiodensity.</w:t>
      </w:r>
    </w:p>
    <w:p w14:paraId="422AC371" w14:textId="02B35019" w:rsidR="00BB3ADA" w:rsidRDefault="00BB3ADA" w:rsidP="00BB3ADA">
      <w:pPr>
        <w:spacing w:after="120" w:line="360" w:lineRule="auto"/>
        <w:jc w:val="both"/>
        <w:rPr>
          <w:rFonts w:ascii="Calibri" w:hAnsi="Calibri" w:cs="Calibri"/>
        </w:rPr>
      </w:pPr>
      <w:r w:rsidRPr="00BB3ADA">
        <w:rPr>
          <w:rFonts w:ascii="Calibri" w:hAnsi="Calibri" w:cs="Calibri"/>
        </w:rPr>
        <w:t xml:space="preserve">Table </w:t>
      </w:r>
      <w:r>
        <w:rPr>
          <w:rFonts w:ascii="Calibri" w:hAnsi="Calibri" w:cs="Calibri"/>
        </w:rPr>
        <w:t>4</w:t>
      </w:r>
      <w:r w:rsidRPr="00BB3ADA">
        <w:rPr>
          <w:rFonts w:ascii="Calibri" w:hAnsi="Calibri" w:cs="Calibri"/>
        </w:rPr>
        <w:t xml:space="preserve">: </w:t>
      </w:r>
      <w:r w:rsidR="00B00896">
        <w:rPr>
          <w:rFonts w:ascii="Calibri" w:hAnsi="Calibri" w:cs="Calibri"/>
        </w:rPr>
        <w:t>Adjusted Association between</w:t>
      </w:r>
      <w:r w:rsidRPr="00BB3ADA">
        <w:rPr>
          <w:rFonts w:ascii="Calibri" w:hAnsi="Calibri" w:cs="Calibri"/>
        </w:rPr>
        <w:t xml:space="preserve"> Liver Radiodensity </w:t>
      </w:r>
      <w:r w:rsidR="00B00896">
        <w:rPr>
          <w:rFonts w:ascii="Calibri" w:hAnsi="Calibri" w:cs="Calibri"/>
        </w:rPr>
        <w:t>and Time to Toxicity</w:t>
      </w:r>
    </w:p>
    <w:tbl>
      <w:tblPr>
        <w:tblStyle w:val="TableGrid"/>
        <w:tblW w:w="8931" w:type="dxa"/>
        <w:jc w:val="center"/>
        <w:tblLook w:val="04A0" w:firstRow="1" w:lastRow="0" w:firstColumn="1" w:lastColumn="0" w:noHBand="0" w:noVBand="1"/>
      </w:tblPr>
      <w:tblGrid>
        <w:gridCol w:w="1555"/>
        <w:gridCol w:w="3260"/>
        <w:gridCol w:w="2551"/>
        <w:gridCol w:w="1565"/>
      </w:tblGrid>
      <w:tr w:rsidR="00D10842" w:rsidRPr="00962137" w14:paraId="71A793C9" w14:textId="77777777" w:rsidTr="006D6F63">
        <w:trPr>
          <w:jc w:val="center"/>
        </w:trPr>
        <w:tc>
          <w:tcPr>
            <w:tcW w:w="1555" w:type="dxa"/>
            <w:shd w:val="clear" w:color="auto" w:fill="DAE9F7" w:themeFill="text2" w:themeFillTint="1A"/>
            <w:vAlign w:val="center"/>
          </w:tcPr>
          <w:p w14:paraId="3DFC5E5D" w14:textId="1564B4C1" w:rsidR="00D10842" w:rsidRPr="00962137" w:rsidRDefault="00D10842" w:rsidP="00D10842">
            <w:pPr>
              <w:jc w:val="center"/>
              <w:rPr>
                <w:rFonts w:ascii="Calibri" w:eastAsia="Times New Roman" w:hAnsi="Calibri" w:cs="Calibri"/>
                <w:b/>
                <w:bCs/>
                <w:kern w:val="0"/>
                <w:lang w:eastAsia="en-GB"/>
                <w14:ligatures w14:val="none"/>
              </w:rPr>
            </w:pPr>
            <w:r w:rsidRPr="00D10842">
              <w:rPr>
                <w:rFonts w:ascii="Calibri" w:eastAsia="Times New Roman" w:hAnsi="Calibri" w:cs="Calibri"/>
                <w:b/>
                <w:bCs/>
                <w:kern w:val="0"/>
                <w:lang w:eastAsia="en-GB"/>
                <w14:ligatures w14:val="none"/>
              </w:rPr>
              <w:t>Endpoint</w:t>
            </w:r>
          </w:p>
        </w:tc>
        <w:tc>
          <w:tcPr>
            <w:tcW w:w="3260" w:type="dxa"/>
            <w:shd w:val="clear" w:color="auto" w:fill="DAE9F7" w:themeFill="text2" w:themeFillTint="1A"/>
            <w:vAlign w:val="center"/>
          </w:tcPr>
          <w:p w14:paraId="15BCDBB2" w14:textId="18BD3EED" w:rsidR="00D10842" w:rsidRPr="00962137" w:rsidRDefault="00D10842" w:rsidP="00D10842">
            <w:pPr>
              <w:jc w:val="center"/>
              <w:rPr>
                <w:rFonts w:ascii="Calibri" w:eastAsia="Times New Roman" w:hAnsi="Calibri" w:cs="Calibri"/>
                <w:b/>
                <w:bCs/>
                <w:kern w:val="0"/>
                <w:lang w:eastAsia="en-GB"/>
                <w14:ligatures w14:val="none"/>
              </w:rPr>
            </w:pPr>
            <w:r w:rsidRPr="00D10842">
              <w:rPr>
                <w:rFonts w:ascii="Calibri" w:eastAsia="Times New Roman" w:hAnsi="Calibri" w:cs="Calibri"/>
                <w:b/>
                <w:bCs/>
                <w:kern w:val="0"/>
                <w:lang w:eastAsia="en-GB"/>
                <w14:ligatures w14:val="none"/>
              </w:rPr>
              <w:t>Model Specification</w:t>
            </w:r>
          </w:p>
        </w:tc>
        <w:tc>
          <w:tcPr>
            <w:tcW w:w="2551" w:type="dxa"/>
            <w:shd w:val="clear" w:color="auto" w:fill="DAE9F7" w:themeFill="text2" w:themeFillTint="1A"/>
            <w:vAlign w:val="center"/>
          </w:tcPr>
          <w:p w14:paraId="09450134" w14:textId="0A34F62E" w:rsidR="00D10842" w:rsidRPr="00962137" w:rsidRDefault="00D10842" w:rsidP="00D10842">
            <w:pPr>
              <w:jc w:val="center"/>
              <w:rPr>
                <w:rFonts w:ascii="Calibri" w:eastAsia="Times New Roman" w:hAnsi="Calibri" w:cs="Calibri"/>
                <w:b/>
                <w:bCs/>
                <w:kern w:val="0"/>
                <w:lang w:eastAsia="en-GB"/>
                <w14:ligatures w14:val="none"/>
              </w:rPr>
            </w:pPr>
            <w:r w:rsidRPr="00D10842">
              <w:rPr>
                <w:rFonts w:ascii="Calibri" w:eastAsia="Times New Roman" w:hAnsi="Calibri" w:cs="Calibri"/>
                <w:b/>
                <w:bCs/>
                <w:kern w:val="0"/>
                <w:lang w:eastAsia="en-GB"/>
                <w14:ligatures w14:val="none"/>
              </w:rPr>
              <w:t>Hazard Ratio (95% CI)</w:t>
            </w:r>
          </w:p>
        </w:tc>
        <w:tc>
          <w:tcPr>
            <w:tcW w:w="1565" w:type="dxa"/>
            <w:shd w:val="clear" w:color="auto" w:fill="DAE9F7" w:themeFill="text2" w:themeFillTint="1A"/>
            <w:vAlign w:val="center"/>
          </w:tcPr>
          <w:p w14:paraId="374BCA95" w14:textId="01909A21" w:rsidR="00D10842" w:rsidRPr="00962137" w:rsidRDefault="00D10842" w:rsidP="00D10842">
            <w:pPr>
              <w:jc w:val="center"/>
              <w:rPr>
                <w:rFonts w:ascii="Calibri" w:eastAsia="Times New Roman" w:hAnsi="Calibri" w:cs="Calibri"/>
                <w:b/>
                <w:bCs/>
                <w:kern w:val="0"/>
                <w:lang w:eastAsia="en-GB"/>
                <w14:ligatures w14:val="none"/>
              </w:rPr>
            </w:pPr>
            <w:r w:rsidRPr="00D10842">
              <w:rPr>
                <w:rFonts w:ascii="Calibri" w:eastAsia="Times New Roman" w:hAnsi="Calibri" w:cs="Calibri"/>
                <w:b/>
                <w:bCs/>
                <w:kern w:val="0"/>
                <w:lang w:eastAsia="en-GB"/>
                <w14:ligatures w14:val="none"/>
              </w:rPr>
              <w:t>p-value</w:t>
            </w:r>
          </w:p>
        </w:tc>
      </w:tr>
      <w:tr w:rsidR="00D10842" w:rsidRPr="00962137" w14:paraId="057F9CF3" w14:textId="77777777" w:rsidTr="006D6F63">
        <w:trPr>
          <w:jc w:val="center"/>
        </w:trPr>
        <w:tc>
          <w:tcPr>
            <w:tcW w:w="1555" w:type="dxa"/>
            <w:vAlign w:val="center"/>
            <w:hideMark/>
          </w:tcPr>
          <w:p w14:paraId="65372F01" w14:textId="619D6F0A" w:rsidR="00D10842" w:rsidRPr="00962137"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CAP</w:t>
            </w:r>
          </w:p>
        </w:tc>
        <w:tc>
          <w:tcPr>
            <w:tcW w:w="3260" w:type="dxa"/>
            <w:vAlign w:val="center"/>
            <w:hideMark/>
          </w:tcPr>
          <w:p w14:paraId="1113372C" w14:textId="42314316" w:rsidR="00D10842" w:rsidRPr="00962137"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Stratified by hospital</w:t>
            </w:r>
          </w:p>
        </w:tc>
        <w:tc>
          <w:tcPr>
            <w:tcW w:w="2551" w:type="dxa"/>
            <w:vAlign w:val="center"/>
            <w:hideMark/>
          </w:tcPr>
          <w:p w14:paraId="2938457D" w14:textId="7170D583" w:rsidR="00D10842" w:rsidRPr="00962137"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1.00 (0.99</w:t>
            </w:r>
            <w:r>
              <w:rPr>
                <w:rFonts w:ascii="Calibri" w:eastAsia="Times New Roman" w:hAnsi="Calibri" w:cs="Calibri"/>
                <w:kern w:val="0"/>
                <w:lang w:eastAsia="en-GB"/>
                <w14:ligatures w14:val="none"/>
              </w:rPr>
              <w:t xml:space="preserve"> - </w:t>
            </w:r>
            <w:r w:rsidRPr="00D10842">
              <w:rPr>
                <w:rFonts w:ascii="Calibri" w:eastAsia="Times New Roman" w:hAnsi="Calibri" w:cs="Calibri"/>
                <w:kern w:val="0"/>
                <w:lang w:eastAsia="en-GB"/>
                <w14:ligatures w14:val="none"/>
              </w:rPr>
              <w:t>1.02)</w:t>
            </w:r>
          </w:p>
        </w:tc>
        <w:tc>
          <w:tcPr>
            <w:tcW w:w="1565" w:type="dxa"/>
            <w:vAlign w:val="center"/>
            <w:hideMark/>
          </w:tcPr>
          <w:p w14:paraId="6ECE9038" w14:textId="0C332728" w:rsidR="00D10842" w:rsidRPr="00962137"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0.38</w:t>
            </w:r>
          </w:p>
        </w:tc>
      </w:tr>
      <w:tr w:rsidR="00D10842" w:rsidRPr="00962137" w14:paraId="6156B752" w14:textId="77777777" w:rsidTr="006D6F63">
        <w:trPr>
          <w:jc w:val="center"/>
        </w:trPr>
        <w:tc>
          <w:tcPr>
            <w:tcW w:w="1555" w:type="dxa"/>
            <w:vAlign w:val="center"/>
          </w:tcPr>
          <w:p w14:paraId="6230F943" w14:textId="7CF824D0"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OXA</w:t>
            </w:r>
          </w:p>
        </w:tc>
        <w:tc>
          <w:tcPr>
            <w:tcW w:w="3260" w:type="dxa"/>
            <w:vAlign w:val="center"/>
          </w:tcPr>
          <w:p w14:paraId="0BD76A1E" w14:textId="35C0D6CC"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Stratified by hospital</w:t>
            </w:r>
          </w:p>
        </w:tc>
        <w:tc>
          <w:tcPr>
            <w:tcW w:w="2551" w:type="dxa"/>
            <w:vAlign w:val="center"/>
          </w:tcPr>
          <w:p w14:paraId="620EAE27" w14:textId="31E76934"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1.01 (1.00</w:t>
            </w:r>
            <w:r>
              <w:rPr>
                <w:rFonts w:ascii="Calibri" w:eastAsia="Times New Roman" w:hAnsi="Calibri" w:cs="Calibri"/>
                <w:kern w:val="0"/>
                <w:lang w:eastAsia="en-GB"/>
                <w14:ligatures w14:val="none"/>
              </w:rPr>
              <w:t xml:space="preserve"> - </w:t>
            </w:r>
            <w:r w:rsidRPr="00D10842">
              <w:rPr>
                <w:rFonts w:ascii="Calibri" w:eastAsia="Times New Roman" w:hAnsi="Calibri" w:cs="Calibri"/>
                <w:kern w:val="0"/>
                <w:lang w:eastAsia="en-GB"/>
                <w14:ligatures w14:val="none"/>
              </w:rPr>
              <w:t>1.02)</w:t>
            </w:r>
          </w:p>
        </w:tc>
        <w:tc>
          <w:tcPr>
            <w:tcW w:w="1565" w:type="dxa"/>
            <w:vAlign w:val="center"/>
          </w:tcPr>
          <w:p w14:paraId="683C0347" w14:textId="4BEF04E2"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0.06</w:t>
            </w:r>
          </w:p>
        </w:tc>
      </w:tr>
      <w:tr w:rsidR="00D10842" w:rsidRPr="00962137" w14:paraId="72EAD87E" w14:textId="77777777" w:rsidTr="006D6F63">
        <w:trPr>
          <w:jc w:val="center"/>
        </w:trPr>
        <w:tc>
          <w:tcPr>
            <w:tcW w:w="1555" w:type="dxa"/>
            <w:vAlign w:val="center"/>
          </w:tcPr>
          <w:p w14:paraId="70BCB3A7" w14:textId="26A5E8A6"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CAPOX</w:t>
            </w:r>
          </w:p>
        </w:tc>
        <w:tc>
          <w:tcPr>
            <w:tcW w:w="3260" w:type="dxa"/>
            <w:vAlign w:val="center"/>
          </w:tcPr>
          <w:p w14:paraId="1244FBF7" w14:textId="7B955224"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Stratified by hospital</w:t>
            </w:r>
          </w:p>
        </w:tc>
        <w:tc>
          <w:tcPr>
            <w:tcW w:w="2551" w:type="dxa"/>
            <w:vAlign w:val="center"/>
          </w:tcPr>
          <w:p w14:paraId="7B82F497" w14:textId="0BCC14F1"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1.01 (1.00</w:t>
            </w:r>
            <w:r>
              <w:rPr>
                <w:rFonts w:ascii="Calibri" w:eastAsia="Times New Roman" w:hAnsi="Calibri" w:cs="Calibri"/>
                <w:kern w:val="0"/>
                <w:lang w:eastAsia="en-GB"/>
                <w14:ligatures w14:val="none"/>
              </w:rPr>
              <w:t xml:space="preserve"> - </w:t>
            </w:r>
            <w:r w:rsidRPr="00D10842">
              <w:rPr>
                <w:rFonts w:ascii="Calibri" w:eastAsia="Times New Roman" w:hAnsi="Calibri" w:cs="Calibri"/>
                <w:kern w:val="0"/>
                <w:lang w:eastAsia="en-GB"/>
                <w14:ligatures w14:val="none"/>
              </w:rPr>
              <w:t>1.02)</w:t>
            </w:r>
          </w:p>
        </w:tc>
        <w:tc>
          <w:tcPr>
            <w:tcW w:w="1565" w:type="dxa"/>
            <w:vAlign w:val="center"/>
          </w:tcPr>
          <w:p w14:paraId="69EE3818" w14:textId="1D597DD1" w:rsidR="00D10842" w:rsidRDefault="00D10842" w:rsidP="00D10842">
            <w:pPr>
              <w:jc w:val="center"/>
              <w:rPr>
                <w:rFonts w:ascii="Calibri" w:eastAsia="Times New Roman" w:hAnsi="Calibri" w:cs="Calibri"/>
                <w:kern w:val="0"/>
                <w:lang w:eastAsia="en-GB"/>
                <w14:ligatures w14:val="none"/>
              </w:rPr>
            </w:pPr>
            <w:r w:rsidRPr="00D10842">
              <w:rPr>
                <w:rFonts w:ascii="Calibri" w:eastAsia="Times New Roman" w:hAnsi="Calibri" w:cs="Calibri"/>
                <w:kern w:val="0"/>
                <w:lang w:eastAsia="en-GB"/>
                <w14:ligatures w14:val="none"/>
              </w:rPr>
              <w:t>0.22</w:t>
            </w:r>
          </w:p>
        </w:tc>
      </w:tr>
    </w:tbl>
    <w:p w14:paraId="366A5EB4" w14:textId="77777777" w:rsidR="00552B37" w:rsidRDefault="00552B37" w:rsidP="00552B37">
      <w:pPr>
        <w:spacing w:after="0" w:line="240" w:lineRule="auto"/>
        <w:jc w:val="both"/>
        <w:rPr>
          <w:rFonts w:ascii="Calibri" w:hAnsi="Calibri" w:cs="Calibri"/>
        </w:rPr>
      </w:pPr>
    </w:p>
    <w:p w14:paraId="2213EA37" w14:textId="249C7CEF" w:rsidR="009C3B7E" w:rsidRDefault="00552B37" w:rsidP="004D1C87">
      <w:pPr>
        <w:spacing w:after="120" w:line="360" w:lineRule="auto"/>
        <w:jc w:val="both"/>
        <w:rPr>
          <w:rFonts w:ascii="Calibri" w:hAnsi="Calibri" w:cs="Calibri"/>
        </w:rPr>
      </w:pPr>
      <w:r w:rsidRPr="00552B37">
        <w:rPr>
          <w:rFonts w:ascii="Calibri" w:hAnsi="Calibri" w:cs="Calibri"/>
        </w:rPr>
        <w:lastRenderedPageBreak/>
        <w:t xml:space="preserve">The results show that </w:t>
      </w:r>
      <w:r w:rsidR="00C915FD">
        <w:rPr>
          <w:rFonts w:ascii="Calibri" w:hAnsi="Calibri" w:cs="Calibri"/>
        </w:rPr>
        <w:t>a</w:t>
      </w:r>
      <w:r w:rsidRPr="00552B37">
        <w:rPr>
          <w:rFonts w:ascii="Calibri" w:hAnsi="Calibri" w:cs="Calibri"/>
        </w:rPr>
        <w:t>cross all endpoints, hazard ratios</w:t>
      </w:r>
      <w:r w:rsidR="00864381">
        <w:rPr>
          <w:rFonts w:ascii="Calibri" w:hAnsi="Calibri" w:cs="Calibri"/>
        </w:rPr>
        <w:t xml:space="preserve"> for liver radiodensity</w:t>
      </w:r>
      <w:r w:rsidRPr="00552B37">
        <w:rPr>
          <w:rFonts w:ascii="Calibri" w:hAnsi="Calibri" w:cs="Calibri"/>
        </w:rPr>
        <w:t xml:space="preserve"> </w:t>
      </w:r>
      <w:r w:rsidR="00864381">
        <w:rPr>
          <w:rFonts w:ascii="Calibri" w:hAnsi="Calibri" w:cs="Calibri"/>
        </w:rPr>
        <w:t>were</w:t>
      </w:r>
      <w:r w:rsidRPr="00552B37">
        <w:rPr>
          <w:rFonts w:ascii="Calibri" w:hAnsi="Calibri" w:cs="Calibri"/>
        </w:rPr>
        <w:t xml:space="preserve"> close to 1 and are not statistically significant.</w:t>
      </w:r>
      <w:r w:rsidR="004D1C87">
        <w:rPr>
          <w:rFonts w:ascii="Calibri" w:hAnsi="Calibri" w:cs="Calibri"/>
        </w:rPr>
        <w:t xml:space="preserve"> </w:t>
      </w:r>
      <w:r w:rsidRPr="00552B37">
        <w:rPr>
          <w:rFonts w:ascii="Calibri" w:hAnsi="Calibri" w:cs="Calibri"/>
        </w:rPr>
        <w:t>These findings suggest that although hospitals differ in terms of liver radiodensity measurements and baseline toxicity risk, these differences do not meaningfully influence the association between liver radiodensity and toxicity. In other words, the absence of a clear relationship between liver radiodensity and toxicity is consistent within hospitals and is not driven by differences between centres.</w:t>
      </w:r>
    </w:p>
    <w:p w14:paraId="00FC226B" w14:textId="77777777" w:rsidR="00666D17" w:rsidRPr="00666D17" w:rsidRDefault="00666D17" w:rsidP="00666D17">
      <w:pPr>
        <w:spacing w:after="120" w:line="360" w:lineRule="auto"/>
        <w:jc w:val="both"/>
        <w:rPr>
          <w:rFonts w:ascii="Calibri" w:hAnsi="Calibri" w:cs="Calibri"/>
          <w:b/>
          <w:bCs/>
        </w:rPr>
      </w:pPr>
      <w:r w:rsidRPr="00666D17">
        <w:rPr>
          <w:rFonts w:ascii="Calibri" w:hAnsi="Calibri" w:cs="Calibri"/>
          <w:b/>
          <w:bCs/>
        </w:rPr>
        <w:t>Model Diagnostics</w:t>
      </w:r>
    </w:p>
    <w:p w14:paraId="3407ABF3" w14:textId="77777777" w:rsidR="000E21A6" w:rsidRPr="000E21A6" w:rsidRDefault="000E21A6" w:rsidP="000E21A6">
      <w:pPr>
        <w:spacing w:after="120" w:line="360" w:lineRule="auto"/>
        <w:jc w:val="both"/>
        <w:rPr>
          <w:rFonts w:ascii="Calibri" w:hAnsi="Calibri" w:cs="Calibri"/>
        </w:rPr>
      </w:pPr>
      <w:r w:rsidRPr="000E21A6">
        <w:rPr>
          <w:rFonts w:ascii="Calibri" w:hAnsi="Calibri" w:cs="Calibri"/>
        </w:rPr>
        <w:t>The proportional hazards assumption of the Cox regression model was assessed using Schoenfeld residual tests. This assumption implies that the effect of each predictor on the risk of toxicity remains constant over time. In addition, visual inspection of the residual plots did not indicate any systematic patterns over the course of treatment.</w:t>
      </w:r>
    </w:p>
    <w:p w14:paraId="03769E59" w14:textId="2D688810" w:rsidR="000E21A6" w:rsidRDefault="000E21A6" w:rsidP="000E21A6">
      <w:pPr>
        <w:spacing w:after="120" w:line="360" w:lineRule="auto"/>
        <w:jc w:val="both"/>
        <w:rPr>
          <w:rFonts w:ascii="Calibri" w:hAnsi="Calibri" w:cs="Calibri"/>
        </w:rPr>
      </w:pPr>
      <w:r w:rsidRPr="000E21A6">
        <w:rPr>
          <w:rFonts w:ascii="Calibri" w:hAnsi="Calibri" w:cs="Calibri"/>
        </w:rPr>
        <w:t xml:space="preserve">Table </w:t>
      </w:r>
      <w:r w:rsidR="009C3B7E">
        <w:rPr>
          <w:rFonts w:ascii="Calibri" w:hAnsi="Calibri" w:cs="Calibri"/>
        </w:rPr>
        <w:t>5</w:t>
      </w:r>
      <w:r w:rsidRPr="000E21A6">
        <w:rPr>
          <w:rFonts w:ascii="Calibri" w:hAnsi="Calibri" w:cs="Calibri"/>
        </w:rPr>
        <w:t xml:space="preserve"> presents the results of the Schoenfeld residual tests for each variable included in the model. The table reports the test statistic (</w:t>
      </w:r>
      <w:proofErr w:type="spellStart"/>
      <w:r w:rsidRPr="000E21A6">
        <w:rPr>
          <w:rFonts w:ascii="Calibri" w:hAnsi="Calibri" w:cs="Calibri"/>
        </w:rPr>
        <w:t>chisq</w:t>
      </w:r>
      <w:proofErr w:type="spellEnd"/>
      <w:r w:rsidRPr="000E21A6">
        <w:rPr>
          <w:rFonts w:ascii="Calibri" w:hAnsi="Calibri" w:cs="Calibri"/>
        </w:rPr>
        <w:t>), degrees of freedom (</w:t>
      </w:r>
      <w:proofErr w:type="spellStart"/>
      <w:r w:rsidRPr="000E21A6">
        <w:rPr>
          <w:rFonts w:ascii="Calibri" w:hAnsi="Calibri" w:cs="Calibri"/>
        </w:rPr>
        <w:t>df</w:t>
      </w:r>
      <w:proofErr w:type="spellEnd"/>
      <w:r w:rsidRPr="000E21A6">
        <w:rPr>
          <w:rFonts w:ascii="Calibri" w:hAnsi="Calibri" w:cs="Calibri"/>
        </w:rPr>
        <w:t xml:space="preserve">), and corresponding p-values. A non-significant p-value (typically p &gt; 0.05) indicates no evidence against the proportional </w:t>
      </w:r>
      <w:proofErr w:type="gramStart"/>
      <w:r w:rsidRPr="000E21A6">
        <w:rPr>
          <w:rFonts w:ascii="Calibri" w:hAnsi="Calibri" w:cs="Calibri"/>
        </w:rPr>
        <w:t>hazards</w:t>
      </w:r>
      <w:proofErr w:type="gramEnd"/>
      <w:r w:rsidRPr="000E21A6">
        <w:rPr>
          <w:rFonts w:ascii="Calibri" w:hAnsi="Calibri" w:cs="Calibri"/>
        </w:rPr>
        <w:t xml:space="preserve"> assumption.</w:t>
      </w:r>
    </w:p>
    <w:p w14:paraId="2052AA00" w14:textId="7DDDCAD6" w:rsidR="0049337C" w:rsidRDefault="0049337C" w:rsidP="00666D17">
      <w:pPr>
        <w:spacing w:after="120" w:line="360" w:lineRule="auto"/>
        <w:jc w:val="both"/>
        <w:rPr>
          <w:rFonts w:ascii="Calibri" w:hAnsi="Calibri" w:cs="Calibri"/>
        </w:rPr>
      </w:pPr>
      <w:r>
        <w:rPr>
          <w:rFonts w:ascii="Calibri" w:hAnsi="Calibri" w:cs="Calibri"/>
        </w:rPr>
        <w:t xml:space="preserve">Table </w:t>
      </w:r>
      <w:r w:rsidR="009C3B7E">
        <w:rPr>
          <w:rFonts w:ascii="Calibri" w:hAnsi="Calibri" w:cs="Calibri"/>
        </w:rPr>
        <w:t>5</w:t>
      </w:r>
      <w:r>
        <w:rPr>
          <w:rFonts w:ascii="Calibri" w:hAnsi="Calibri" w:cs="Calibri"/>
        </w:rPr>
        <w:t>: Checking the Proportional Hazards Model Assumptions</w:t>
      </w:r>
    </w:p>
    <w:tbl>
      <w:tblPr>
        <w:tblStyle w:val="TableGrid"/>
        <w:tblW w:w="8931" w:type="dxa"/>
        <w:jc w:val="center"/>
        <w:tblLook w:val="04A0" w:firstRow="1" w:lastRow="0" w:firstColumn="1" w:lastColumn="0" w:noHBand="0" w:noVBand="1"/>
      </w:tblPr>
      <w:tblGrid>
        <w:gridCol w:w="2830"/>
        <w:gridCol w:w="1985"/>
        <w:gridCol w:w="2131"/>
        <w:gridCol w:w="1985"/>
      </w:tblGrid>
      <w:tr w:rsidR="001A2E90" w:rsidRPr="00962137" w14:paraId="6C795278" w14:textId="77777777" w:rsidTr="001A342E">
        <w:trPr>
          <w:jc w:val="center"/>
        </w:trPr>
        <w:tc>
          <w:tcPr>
            <w:tcW w:w="2830" w:type="dxa"/>
            <w:shd w:val="clear" w:color="auto" w:fill="DAE9F7" w:themeFill="text2" w:themeFillTint="1A"/>
          </w:tcPr>
          <w:p w14:paraId="62A1796F" w14:textId="30AB2943" w:rsidR="001A2E90" w:rsidRPr="00962137" w:rsidRDefault="001A2E90" w:rsidP="001A342E">
            <w:pPr>
              <w:jc w:val="center"/>
              <w:rPr>
                <w:rFonts w:ascii="Calibri" w:eastAsia="Times New Roman" w:hAnsi="Calibri" w:cs="Calibri"/>
                <w:b/>
                <w:bCs/>
                <w:kern w:val="0"/>
                <w:lang w:eastAsia="en-GB"/>
                <w14:ligatures w14:val="none"/>
              </w:rPr>
            </w:pPr>
          </w:p>
        </w:tc>
        <w:tc>
          <w:tcPr>
            <w:tcW w:w="1985" w:type="dxa"/>
            <w:shd w:val="clear" w:color="auto" w:fill="DAE9F7" w:themeFill="text2" w:themeFillTint="1A"/>
          </w:tcPr>
          <w:p w14:paraId="67BC7D60" w14:textId="7940DE08" w:rsidR="001A2E90" w:rsidRPr="00962137" w:rsidRDefault="00BD7244" w:rsidP="001A342E">
            <w:pPr>
              <w:jc w:val="center"/>
              <w:rPr>
                <w:rFonts w:ascii="Calibri" w:eastAsia="Times New Roman" w:hAnsi="Calibri" w:cs="Calibri"/>
                <w:b/>
                <w:bCs/>
                <w:kern w:val="0"/>
                <w:lang w:eastAsia="en-GB"/>
                <w14:ligatures w14:val="none"/>
              </w:rPr>
            </w:pPr>
            <w:proofErr w:type="spellStart"/>
            <w:r>
              <w:rPr>
                <w:rFonts w:ascii="Calibri" w:eastAsia="Times New Roman" w:hAnsi="Calibri" w:cs="Calibri"/>
                <w:b/>
                <w:bCs/>
                <w:kern w:val="0"/>
                <w:lang w:eastAsia="en-GB"/>
                <w14:ligatures w14:val="none"/>
              </w:rPr>
              <w:t>chisq</w:t>
            </w:r>
            <w:proofErr w:type="spellEnd"/>
          </w:p>
        </w:tc>
        <w:tc>
          <w:tcPr>
            <w:tcW w:w="2131" w:type="dxa"/>
            <w:shd w:val="clear" w:color="auto" w:fill="DAE9F7" w:themeFill="text2" w:themeFillTint="1A"/>
          </w:tcPr>
          <w:p w14:paraId="4522B4D9" w14:textId="7300FFA1" w:rsidR="001A2E90" w:rsidRPr="00962137" w:rsidRDefault="00BD7244" w:rsidP="001A342E">
            <w:pPr>
              <w:jc w:val="center"/>
              <w:rPr>
                <w:rFonts w:ascii="Calibri" w:eastAsia="Times New Roman" w:hAnsi="Calibri" w:cs="Calibri"/>
                <w:b/>
                <w:bCs/>
                <w:kern w:val="0"/>
                <w:lang w:eastAsia="en-GB"/>
                <w14:ligatures w14:val="none"/>
              </w:rPr>
            </w:pPr>
            <w:proofErr w:type="spellStart"/>
            <w:r>
              <w:rPr>
                <w:rFonts w:ascii="Calibri" w:eastAsia="Times New Roman" w:hAnsi="Calibri" w:cs="Calibri"/>
                <w:b/>
                <w:bCs/>
                <w:kern w:val="0"/>
                <w:lang w:eastAsia="en-GB"/>
                <w14:ligatures w14:val="none"/>
              </w:rPr>
              <w:t>df</w:t>
            </w:r>
            <w:proofErr w:type="spellEnd"/>
          </w:p>
        </w:tc>
        <w:tc>
          <w:tcPr>
            <w:tcW w:w="1985" w:type="dxa"/>
            <w:shd w:val="clear" w:color="auto" w:fill="DAE9F7" w:themeFill="text2" w:themeFillTint="1A"/>
          </w:tcPr>
          <w:p w14:paraId="5F80D507" w14:textId="0C09D473" w:rsidR="001A2E90" w:rsidRPr="00962137" w:rsidRDefault="00BD7244" w:rsidP="001A342E">
            <w:pPr>
              <w:jc w:val="center"/>
              <w:rPr>
                <w:rFonts w:ascii="Calibri" w:eastAsia="Times New Roman" w:hAnsi="Calibri" w:cs="Calibri"/>
                <w:b/>
                <w:bCs/>
                <w:kern w:val="0"/>
                <w:lang w:eastAsia="en-GB"/>
                <w14:ligatures w14:val="none"/>
              </w:rPr>
            </w:pPr>
            <w:r>
              <w:rPr>
                <w:rFonts w:ascii="Calibri" w:eastAsia="Times New Roman" w:hAnsi="Calibri" w:cs="Calibri"/>
                <w:b/>
                <w:bCs/>
                <w:kern w:val="0"/>
                <w:lang w:eastAsia="en-GB"/>
                <w14:ligatures w14:val="none"/>
              </w:rPr>
              <w:t>p</w:t>
            </w:r>
          </w:p>
        </w:tc>
      </w:tr>
      <w:tr w:rsidR="001A2E90" w:rsidRPr="00962137" w14:paraId="1BC9B0E3" w14:textId="77777777" w:rsidTr="001A342E">
        <w:trPr>
          <w:jc w:val="center"/>
        </w:trPr>
        <w:tc>
          <w:tcPr>
            <w:tcW w:w="2830" w:type="dxa"/>
            <w:hideMark/>
          </w:tcPr>
          <w:p w14:paraId="055DB923" w14:textId="683B6690" w:rsidR="001A2E90" w:rsidRPr="00962137" w:rsidRDefault="00BD7244" w:rsidP="001A342E">
            <w:pPr>
              <w:jc w:val="center"/>
              <w:rPr>
                <w:rFonts w:ascii="Calibri" w:eastAsia="Times New Roman" w:hAnsi="Calibri" w:cs="Calibri"/>
                <w:kern w:val="0"/>
                <w:lang w:eastAsia="en-GB"/>
                <w14:ligatures w14:val="none"/>
              </w:rPr>
            </w:pPr>
            <w:proofErr w:type="spellStart"/>
            <w:r>
              <w:rPr>
                <w:rFonts w:ascii="Calibri" w:eastAsia="Times New Roman" w:hAnsi="Calibri" w:cs="Calibri"/>
                <w:kern w:val="0"/>
                <w:lang w:eastAsia="en-GB"/>
                <w14:ligatures w14:val="none"/>
              </w:rPr>
              <w:t>liverHU_manual</w:t>
            </w:r>
            <w:proofErr w:type="spellEnd"/>
          </w:p>
        </w:tc>
        <w:tc>
          <w:tcPr>
            <w:tcW w:w="1985" w:type="dxa"/>
            <w:hideMark/>
          </w:tcPr>
          <w:p w14:paraId="77942AA2" w14:textId="4C877D0E"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0.2255962</w:t>
            </w:r>
          </w:p>
        </w:tc>
        <w:tc>
          <w:tcPr>
            <w:tcW w:w="2131" w:type="dxa"/>
            <w:hideMark/>
          </w:tcPr>
          <w:p w14:paraId="0A348E87" w14:textId="1A54BE26" w:rsidR="001A2E90" w:rsidRPr="00962137" w:rsidRDefault="001A2E90"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w:t>
            </w:r>
          </w:p>
        </w:tc>
        <w:tc>
          <w:tcPr>
            <w:tcW w:w="1985" w:type="dxa"/>
            <w:hideMark/>
          </w:tcPr>
          <w:p w14:paraId="1D4C8652" w14:textId="78174322"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0.6348086</w:t>
            </w:r>
          </w:p>
        </w:tc>
      </w:tr>
      <w:tr w:rsidR="001A2E90" w:rsidRPr="00962137" w14:paraId="1305ECD1" w14:textId="77777777" w:rsidTr="001A342E">
        <w:trPr>
          <w:jc w:val="center"/>
        </w:trPr>
        <w:tc>
          <w:tcPr>
            <w:tcW w:w="2830" w:type="dxa"/>
            <w:hideMark/>
          </w:tcPr>
          <w:p w14:paraId="2393B7AD" w14:textId="13E0D013" w:rsidR="001A2E90" w:rsidRPr="00962137"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Age</w:t>
            </w:r>
          </w:p>
        </w:tc>
        <w:tc>
          <w:tcPr>
            <w:tcW w:w="1985" w:type="dxa"/>
            <w:hideMark/>
          </w:tcPr>
          <w:p w14:paraId="74FA3F10" w14:textId="5C37508F"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0.2120542</w:t>
            </w:r>
          </w:p>
        </w:tc>
        <w:tc>
          <w:tcPr>
            <w:tcW w:w="2131" w:type="dxa"/>
            <w:hideMark/>
          </w:tcPr>
          <w:p w14:paraId="3F523323" w14:textId="728F1C1D" w:rsidR="001A2E90" w:rsidRPr="00962137"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w:t>
            </w:r>
          </w:p>
        </w:tc>
        <w:tc>
          <w:tcPr>
            <w:tcW w:w="1985" w:type="dxa"/>
            <w:hideMark/>
          </w:tcPr>
          <w:p w14:paraId="4F8095F6" w14:textId="1E47BCAB"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0.6451621</w:t>
            </w:r>
          </w:p>
        </w:tc>
      </w:tr>
      <w:tr w:rsidR="001A2E90" w:rsidRPr="00962137" w14:paraId="736BE957" w14:textId="77777777" w:rsidTr="001A342E">
        <w:trPr>
          <w:jc w:val="center"/>
        </w:trPr>
        <w:tc>
          <w:tcPr>
            <w:tcW w:w="2830" w:type="dxa"/>
          </w:tcPr>
          <w:p w14:paraId="655AB75C" w14:textId="401FA6C2" w:rsidR="001A2E90" w:rsidRPr="00962137" w:rsidRDefault="000E21A6"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S</w:t>
            </w:r>
            <w:r w:rsidR="00BD7244">
              <w:rPr>
                <w:rFonts w:ascii="Calibri" w:eastAsia="Times New Roman" w:hAnsi="Calibri" w:cs="Calibri"/>
                <w:kern w:val="0"/>
                <w:lang w:eastAsia="en-GB"/>
                <w14:ligatures w14:val="none"/>
              </w:rPr>
              <w:t>ex</w:t>
            </w:r>
          </w:p>
        </w:tc>
        <w:tc>
          <w:tcPr>
            <w:tcW w:w="1985" w:type="dxa"/>
          </w:tcPr>
          <w:p w14:paraId="64392F6B" w14:textId="4C595DC8"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0.7255615</w:t>
            </w:r>
          </w:p>
        </w:tc>
        <w:tc>
          <w:tcPr>
            <w:tcW w:w="2131" w:type="dxa"/>
          </w:tcPr>
          <w:p w14:paraId="00DD0466" w14:textId="320B8100" w:rsidR="001A2E90" w:rsidRPr="00962137"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w:t>
            </w:r>
          </w:p>
        </w:tc>
        <w:tc>
          <w:tcPr>
            <w:tcW w:w="1985" w:type="dxa"/>
          </w:tcPr>
          <w:p w14:paraId="39FE7F71" w14:textId="0109FD77" w:rsidR="001A2E90" w:rsidRPr="00962137"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0.3943257</w:t>
            </w:r>
          </w:p>
        </w:tc>
      </w:tr>
      <w:tr w:rsidR="00BD7244" w:rsidRPr="00962137" w14:paraId="42FCAC97" w14:textId="77777777" w:rsidTr="001A342E">
        <w:trPr>
          <w:jc w:val="center"/>
        </w:trPr>
        <w:tc>
          <w:tcPr>
            <w:tcW w:w="2830" w:type="dxa"/>
          </w:tcPr>
          <w:p w14:paraId="1D5F7C8D" w14:textId="5BF859B9"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BBMI</w:t>
            </w:r>
          </w:p>
        </w:tc>
        <w:tc>
          <w:tcPr>
            <w:tcW w:w="1985" w:type="dxa"/>
          </w:tcPr>
          <w:p w14:paraId="7339E8A3" w14:textId="449173CB"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0.7826862</w:t>
            </w:r>
          </w:p>
        </w:tc>
        <w:tc>
          <w:tcPr>
            <w:tcW w:w="2131" w:type="dxa"/>
          </w:tcPr>
          <w:p w14:paraId="0F9EB6FE" w14:textId="7E60AA2C"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1</w:t>
            </w:r>
          </w:p>
        </w:tc>
        <w:tc>
          <w:tcPr>
            <w:tcW w:w="1985" w:type="dxa"/>
          </w:tcPr>
          <w:p w14:paraId="56DEF8D3" w14:textId="55ED7D47"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0.3763209</w:t>
            </w:r>
          </w:p>
        </w:tc>
      </w:tr>
      <w:tr w:rsidR="00BD7244" w:rsidRPr="00962137" w14:paraId="1CBA4392" w14:textId="77777777" w:rsidTr="001A342E">
        <w:trPr>
          <w:jc w:val="center"/>
        </w:trPr>
        <w:tc>
          <w:tcPr>
            <w:tcW w:w="2830" w:type="dxa"/>
          </w:tcPr>
          <w:p w14:paraId="7275F2F2" w14:textId="2F23CF8A"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BSMOKER</w:t>
            </w:r>
          </w:p>
        </w:tc>
        <w:tc>
          <w:tcPr>
            <w:tcW w:w="1985" w:type="dxa"/>
          </w:tcPr>
          <w:p w14:paraId="31F622CE" w14:textId="7E64293C"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0.1230178</w:t>
            </w:r>
          </w:p>
        </w:tc>
        <w:tc>
          <w:tcPr>
            <w:tcW w:w="2131" w:type="dxa"/>
          </w:tcPr>
          <w:p w14:paraId="4AA1FA19" w14:textId="5D6D5DA2"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2</w:t>
            </w:r>
          </w:p>
        </w:tc>
        <w:tc>
          <w:tcPr>
            <w:tcW w:w="1985" w:type="dxa"/>
          </w:tcPr>
          <w:p w14:paraId="430472F0" w14:textId="7A75DF1B"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0.9403446</w:t>
            </w:r>
          </w:p>
        </w:tc>
      </w:tr>
      <w:tr w:rsidR="00BD7244" w:rsidRPr="00962137" w14:paraId="5C6989D1" w14:textId="77777777" w:rsidTr="001A342E">
        <w:trPr>
          <w:jc w:val="center"/>
        </w:trPr>
        <w:tc>
          <w:tcPr>
            <w:tcW w:w="2830" w:type="dxa"/>
          </w:tcPr>
          <w:p w14:paraId="30BEFE79" w14:textId="3A293036"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GLOBAL</w:t>
            </w:r>
          </w:p>
        </w:tc>
        <w:tc>
          <w:tcPr>
            <w:tcW w:w="1985" w:type="dxa"/>
          </w:tcPr>
          <w:p w14:paraId="2A3537E8" w14:textId="0B762710"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2.0444171</w:t>
            </w:r>
          </w:p>
        </w:tc>
        <w:tc>
          <w:tcPr>
            <w:tcW w:w="2131" w:type="dxa"/>
          </w:tcPr>
          <w:p w14:paraId="56AE91DA" w14:textId="47ADEF3C" w:rsidR="00BD7244" w:rsidRDefault="00BD7244" w:rsidP="001A342E">
            <w:pPr>
              <w:jc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6</w:t>
            </w:r>
          </w:p>
        </w:tc>
        <w:tc>
          <w:tcPr>
            <w:tcW w:w="1985" w:type="dxa"/>
          </w:tcPr>
          <w:p w14:paraId="021E387B" w14:textId="43D92390" w:rsidR="00BD7244" w:rsidRDefault="00BD7244" w:rsidP="001A342E">
            <w:pPr>
              <w:jc w:val="center"/>
              <w:rPr>
                <w:rFonts w:ascii="Calibri" w:eastAsia="Times New Roman" w:hAnsi="Calibri" w:cs="Calibri"/>
                <w:kern w:val="0"/>
                <w:lang w:eastAsia="en-GB"/>
                <w14:ligatures w14:val="none"/>
              </w:rPr>
            </w:pPr>
            <w:r w:rsidRPr="00BD7244">
              <w:rPr>
                <w:rFonts w:ascii="Calibri" w:eastAsia="Times New Roman" w:hAnsi="Calibri" w:cs="Calibri"/>
                <w:kern w:val="0"/>
                <w:lang w:eastAsia="en-GB"/>
                <w14:ligatures w14:val="none"/>
              </w:rPr>
              <w:t>0.9155685</w:t>
            </w:r>
          </w:p>
        </w:tc>
      </w:tr>
    </w:tbl>
    <w:p w14:paraId="7088D8C8" w14:textId="4D31D68A" w:rsidR="000E21A6" w:rsidRPr="008A499F" w:rsidRDefault="000E21A6" w:rsidP="000E21A6">
      <w:pPr>
        <w:spacing w:after="120" w:line="240" w:lineRule="auto"/>
        <w:jc w:val="both"/>
        <w:rPr>
          <w:rFonts w:ascii="Calibri" w:hAnsi="Calibri" w:cs="Calibri"/>
          <w:sz w:val="20"/>
          <w:szCs w:val="20"/>
        </w:rPr>
      </w:pPr>
      <w:r w:rsidRPr="008A499F">
        <w:rPr>
          <w:rFonts w:ascii="Calibri" w:hAnsi="Calibri" w:cs="Calibri"/>
          <w:sz w:val="20"/>
          <w:szCs w:val="20"/>
        </w:rPr>
        <w:t xml:space="preserve">Notes: </w:t>
      </w:r>
      <w:proofErr w:type="spellStart"/>
      <w:r w:rsidRPr="008A499F">
        <w:rPr>
          <w:rFonts w:ascii="Calibri" w:hAnsi="Calibri" w:cs="Calibri"/>
          <w:sz w:val="20"/>
          <w:szCs w:val="20"/>
        </w:rPr>
        <w:t>liverHU_manual</w:t>
      </w:r>
      <w:proofErr w:type="spellEnd"/>
      <w:r w:rsidRPr="008A499F">
        <w:rPr>
          <w:rFonts w:ascii="Calibri" w:hAnsi="Calibri" w:cs="Calibri"/>
          <w:sz w:val="20"/>
          <w:szCs w:val="20"/>
        </w:rPr>
        <w:t xml:space="preserve"> = liver radiodensity measured from CT scans (used as a proxy for liver fat), Age = age of the patient at diagnosis, Sex = biological sex of the patient, BBMI = body mass index (BMI) at baseline, BSMOKER = smoking status at baseline (categorised variable), and GLOBAL = an overall test assessing the proportional hazards assumption for the full model</w:t>
      </w:r>
    </w:p>
    <w:p w14:paraId="4E2F61B0" w14:textId="77777777" w:rsidR="000E21A6" w:rsidRDefault="000E21A6" w:rsidP="001A2E90">
      <w:pPr>
        <w:spacing w:after="0" w:line="240" w:lineRule="auto"/>
        <w:jc w:val="both"/>
        <w:rPr>
          <w:rFonts w:ascii="Calibri" w:hAnsi="Calibri" w:cs="Calibri"/>
        </w:rPr>
      </w:pPr>
    </w:p>
    <w:p w14:paraId="3C34CB21" w14:textId="19186FAC" w:rsidR="00063A6C" w:rsidRPr="00666D17" w:rsidRDefault="00063A6C" w:rsidP="00063A6C">
      <w:pPr>
        <w:spacing w:after="120" w:line="360" w:lineRule="auto"/>
        <w:jc w:val="both"/>
        <w:rPr>
          <w:rFonts w:ascii="Calibri" w:hAnsi="Calibri" w:cs="Calibri"/>
        </w:rPr>
      </w:pPr>
      <w:r w:rsidRPr="00063A6C">
        <w:rPr>
          <w:rFonts w:ascii="Calibri" w:hAnsi="Calibri" w:cs="Calibri"/>
        </w:rPr>
        <w:t xml:space="preserve">All p-values are well above the conventional threshold of 0.05, indicating no evidence that the proportional hazards assumption is violated for any of the variables or for the </w:t>
      </w:r>
      <w:proofErr w:type="gramStart"/>
      <w:r w:rsidRPr="00063A6C">
        <w:rPr>
          <w:rFonts w:ascii="Calibri" w:hAnsi="Calibri" w:cs="Calibri"/>
        </w:rPr>
        <w:t>model as a whole</w:t>
      </w:r>
      <w:proofErr w:type="gramEnd"/>
      <w:r w:rsidRPr="00063A6C">
        <w:rPr>
          <w:rFonts w:ascii="Calibri" w:hAnsi="Calibri" w:cs="Calibri"/>
        </w:rPr>
        <w:t>.</w:t>
      </w:r>
      <w:r>
        <w:rPr>
          <w:rFonts w:ascii="Calibri" w:hAnsi="Calibri" w:cs="Calibri"/>
        </w:rPr>
        <w:t xml:space="preserve"> </w:t>
      </w:r>
      <w:r w:rsidRPr="00063A6C">
        <w:rPr>
          <w:rFonts w:ascii="Calibri" w:hAnsi="Calibri" w:cs="Calibri"/>
        </w:rPr>
        <w:t>These findings support the validity of the Cox model and suggest that the estimated hazard ratios can be interpreted as constant over the treatment period.</w:t>
      </w:r>
    </w:p>
    <w:p w14:paraId="78AB9870" w14:textId="77777777" w:rsidR="00970D0F" w:rsidRPr="009C726D" w:rsidRDefault="00970D0F" w:rsidP="009C726D">
      <w:pPr>
        <w:spacing w:before="120" w:after="120" w:line="360" w:lineRule="auto"/>
        <w:rPr>
          <w:rFonts w:ascii="Calibri" w:hAnsi="Calibri" w:cs="Calibri"/>
          <w:b/>
          <w:bCs/>
          <w:color w:val="0070C0"/>
        </w:rPr>
      </w:pPr>
      <w:r w:rsidRPr="009C726D">
        <w:rPr>
          <w:rFonts w:ascii="Calibri" w:hAnsi="Calibri" w:cs="Calibri"/>
          <w:b/>
          <w:bCs/>
          <w:color w:val="0070C0"/>
        </w:rPr>
        <w:t>Summary of Findings</w:t>
      </w:r>
    </w:p>
    <w:p w14:paraId="6A03EF5B" w14:textId="77777777" w:rsidR="00970D0F" w:rsidRPr="00970D0F" w:rsidRDefault="00970D0F" w:rsidP="00970D0F">
      <w:pPr>
        <w:spacing w:after="120" w:line="360" w:lineRule="auto"/>
        <w:jc w:val="both"/>
        <w:rPr>
          <w:rFonts w:ascii="Calibri" w:hAnsi="Calibri" w:cs="Calibri"/>
        </w:rPr>
      </w:pPr>
      <w:r w:rsidRPr="00970D0F">
        <w:rPr>
          <w:rFonts w:ascii="Calibri" w:hAnsi="Calibri" w:cs="Calibri"/>
        </w:rPr>
        <w:lastRenderedPageBreak/>
        <w:t>Taken together, the results show that while both liver radiodensity and toxicity rates vary across hospitals, liver radiodensity itself is not a strong predictor of chemotherapy-induced toxicity. After accounting for patient characteristics and hospital-level differences, the estimated effects of liver radiodensity were small and not clinically meaningful. Other clinical factors, such as age, smoking status, and treatment dose, showed stronger and more consistent associations with toxicity outcomes.</w:t>
      </w:r>
    </w:p>
    <w:p w14:paraId="79AD82BA" w14:textId="77777777" w:rsidR="00EF7CE4" w:rsidRPr="00A449E9" w:rsidRDefault="00EF7CE4" w:rsidP="00EF7CE4">
      <w:pPr>
        <w:spacing w:after="120" w:line="360" w:lineRule="auto"/>
        <w:jc w:val="both"/>
        <w:rPr>
          <w:rFonts w:ascii="Calibri" w:hAnsi="Calibri" w:cs="Calibri"/>
        </w:rPr>
      </w:pPr>
    </w:p>
    <w:p w14:paraId="5A240805" w14:textId="77777777" w:rsidR="00AA4A98" w:rsidRDefault="00AA4A98" w:rsidP="00AA4A98">
      <w:pPr>
        <w:spacing w:after="120" w:line="360" w:lineRule="auto"/>
        <w:jc w:val="both"/>
        <w:rPr>
          <w:rFonts w:ascii="Calibri" w:hAnsi="Calibri" w:cs="Calibri"/>
        </w:rPr>
      </w:pPr>
    </w:p>
    <w:p w14:paraId="4C71D688" w14:textId="77777777" w:rsidR="00AA4A98" w:rsidRDefault="00AA4A98" w:rsidP="00AA4A98">
      <w:pPr>
        <w:spacing w:after="120" w:line="360" w:lineRule="auto"/>
        <w:jc w:val="both"/>
        <w:rPr>
          <w:rFonts w:ascii="Calibri" w:hAnsi="Calibri" w:cs="Calibri"/>
        </w:rPr>
      </w:pPr>
    </w:p>
    <w:p w14:paraId="1D838BFF" w14:textId="77777777" w:rsidR="00AA4A98" w:rsidRDefault="00AA4A98" w:rsidP="00AA4A98">
      <w:pPr>
        <w:spacing w:after="120" w:line="360" w:lineRule="auto"/>
        <w:jc w:val="both"/>
        <w:rPr>
          <w:rFonts w:ascii="Calibri" w:hAnsi="Calibri" w:cs="Calibri"/>
        </w:rPr>
      </w:pPr>
    </w:p>
    <w:p w14:paraId="09F9D1CC" w14:textId="77777777" w:rsidR="00AA4A98" w:rsidRDefault="00AA4A98" w:rsidP="00AA4A98">
      <w:pPr>
        <w:spacing w:after="120" w:line="360" w:lineRule="auto"/>
        <w:jc w:val="both"/>
        <w:rPr>
          <w:rFonts w:ascii="Calibri" w:hAnsi="Calibri" w:cs="Calibri"/>
        </w:rPr>
      </w:pPr>
    </w:p>
    <w:p w14:paraId="1A54AD1D" w14:textId="77777777" w:rsidR="00AA4A98" w:rsidRDefault="00AA4A98" w:rsidP="00AA4A98">
      <w:pPr>
        <w:spacing w:after="120" w:line="360" w:lineRule="auto"/>
        <w:jc w:val="both"/>
        <w:rPr>
          <w:rFonts w:ascii="Calibri" w:hAnsi="Calibri" w:cs="Calibri"/>
        </w:rPr>
      </w:pPr>
    </w:p>
    <w:p w14:paraId="3DED56B9" w14:textId="77777777" w:rsidR="00AA4A98" w:rsidRPr="00AA4A98" w:rsidRDefault="00AA4A98" w:rsidP="00AA4A98">
      <w:pPr>
        <w:spacing w:after="120" w:line="360" w:lineRule="auto"/>
        <w:jc w:val="both"/>
        <w:rPr>
          <w:rFonts w:ascii="Calibri" w:hAnsi="Calibri" w:cs="Calibri"/>
        </w:rPr>
      </w:pPr>
    </w:p>
    <w:p w14:paraId="108DA1AD" w14:textId="77777777" w:rsidR="0006375F" w:rsidRDefault="0006375F">
      <w:pPr>
        <w:rPr>
          <w:rFonts w:ascii="Calibri" w:hAnsi="Calibri" w:cs="Calibri"/>
          <w:b/>
          <w:bCs/>
          <w:color w:val="0070C0"/>
        </w:rPr>
      </w:pPr>
      <w:r>
        <w:rPr>
          <w:rFonts w:ascii="Calibri" w:hAnsi="Calibri" w:cs="Calibri"/>
          <w:b/>
          <w:bCs/>
          <w:color w:val="0070C0"/>
        </w:rPr>
        <w:br w:type="page"/>
      </w:r>
    </w:p>
    <w:p w14:paraId="0EC13FB6" w14:textId="2A8D79FD" w:rsidR="00D700BF" w:rsidRPr="00962137" w:rsidRDefault="00D700BF" w:rsidP="00962137">
      <w:pPr>
        <w:spacing w:before="120" w:after="120" w:line="360" w:lineRule="auto"/>
        <w:rPr>
          <w:rFonts w:ascii="Calibri" w:hAnsi="Calibri" w:cs="Calibri"/>
          <w:b/>
          <w:bCs/>
          <w:color w:val="0070C0"/>
        </w:rPr>
      </w:pPr>
      <w:r w:rsidRPr="00962137">
        <w:rPr>
          <w:rFonts w:ascii="Calibri" w:hAnsi="Calibri" w:cs="Calibri"/>
          <w:b/>
          <w:bCs/>
          <w:color w:val="0070C0"/>
        </w:rPr>
        <w:lastRenderedPageBreak/>
        <w:t>References</w:t>
      </w:r>
    </w:p>
    <w:p w14:paraId="08773ECA" w14:textId="2B0B31C5" w:rsidR="001F5EA7" w:rsidRPr="005A34B9" w:rsidRDefault="001F5EA7" w:rsidP="001F5EA7">
      <w:pPr>
        <w:pStyle w:val="p1"/>
        <w:jc w:val="both"/>
        <w:rPr>
          <w:rFonts w:ascii="Calibri" w:hAnsi="Calibri" w:cs="Calibri"/>
          <w:lang w:val="nl-NL"/>
        </w:rPr>
      </w:pPr>
      <w:r w:rsidRPr="001F5EA7">
        <w:rPr>
          <w:rFonts w:ascii="Calibri" w:hAnsi="Calibri" w:cs="Calibri"/>
        </w:rPr>
        <w:t xml:space="preserve">Iacovelli, R., Pietrantonio, F., Palazzo, A., Maggi, C., Ricchini, F., de Braud, F., et al. (2014). Incidence and relative risk of grade 3 and 4 diarrhoea in patients treated with capecitabine or 5-fluorouracil: A meta-analysis of published trials. </w:t>
      </w:r>
      <w:r w:rsidRPr="005A34B9">
        <w:rPr>
          <w:rFonts w:ascii="Calibri" w:hAnsi="Calibri" w:cs="Calibri"/>
          <w:i/>
          <w:iCs/>
          <w:lang w:val="nl-NL"/>
        </w:rPr>
        <w:t>British Journal of Clinical Pharmacology, 78</w:t>
      </w:r>
      <w:r w:rsidRPr="005A34B9">
        <w:rPr>
          <w:rFonts w:ascii="Calibri" w:hAnsi="Calibri" w:cs="Calibri"/>
          <w:lang w:val="nl-NL"/>
        </w:rPr>
        <w:t>(6), 1228-1237.</w:t>
      </w:r>
    </w:p>
    <w:p w14:paraId="3CC64D3B" w14:textId="5989274E" w:rsidR="001F5EA7" w:rsidRPr="00991A0C" w:rsidRDefault="001F5EA7" w:rsidP="001F5EA7">
      <w:pPr>
        <w:pStyle w:val="p1"/>
        <w:jc w:val="both"/>
        <w:rPr>
          <w:rFonts w:ascii="Calibri" w:hAnsi="Calibri" w:cs="Calibri"/>
          <w:lang w:val="nl-NL"/>
        </w:rPr>
      </w:pPr>
      <w:r w:rsidRPr="005A34B9">
        <w:rPr>
          <w:rFonts w:ascii="Calibri" w:hAnsi="Calibri" w:cs="Calibri"/>
          <w:lang w:val="nl-NL"/>
        </w:rPr>
        <w:t xml:space="preserve">Kok, D. E., van Duijnhoven, F. J. B., Lubberman, F. J. E., McKay, J. A., van Lanen, A., Winkels, R. M., et al. </w:t>
      </w:r>
      <w:r w:rsidRPr="001F5EA7">
        <w:rPr>
          <w:rFonts w:ascii="Calibri" w:hAnsi="Calibri" w:cs="Calibri"/>
        </w:rPr>
        <w:t xml:space="preserve">(2024). Intake and biomarkers of folate and folic acid as determinants of chemotherapy-induced toxicities in patients with colorectal cancer: A cohort study. </w:t>
      </w:r>
      <w:r w:rsidRPr="00991A0C">
        <w:rPr>
          <w:rFonts w:ascii="Calibri" w:hAnsi="Calibri" w:cs="Calibri"/>
          <w:i/>
          <w:iCs/>
          <w:lang w:val="nl-NL"/>
        </w:rPr>
        <w:t>The American Journal of Clinical Nutrition, 119</w:t>
      </w:r>
      <w:r w:rsidRPr="00991A0C">
        <w:rPr>
          <w:rFonts w:ascii="Calibri" w:hAnsi="Calibri" w:cs="Calibri"/>
          <w:lang w:val="nl-NL"/>
        </w:rPr>
        <w:t>, 294-301.</w:t>
      </w:r>
    </w:p>
    <w:p w14:paraId="400D0900" w14:textId="285CCDE9" w:rsidR="00743461" w:rsidRPr="00743461" w:rsidRDefault="00743461" w:rsidP="00743461">
      <w:pPr>
        <w:pStyle w:val="p1"/>
        <w:jc w:val="both"/>
        <w:rPr>
          <w:rFonts w:ascii="Calibri" w:hAnsi="Calibri" w:cs="Calibri"/>
        </w:rPr>
      </w:pPr>
      <w:r w:rsidRPr="00991A0C">
        <w:rPr>
          <w:rFonts w:ascii="Calibri" w:hAnsi="Calibri" w:cs="Calibri"/>
          <w:lang w:val="nl-NL"/>
        </w:rPr>
        <w:t xml:space="preserve">Renting, L., Zwart, N. R. K., Ueland, P. M., McCann, A., Ulvik, A., van Halteren, H. K., Lubberman, F. J. E., Winkels, R. M., Kampman, E., &amp; Kok, D. E. (2024). </w:t>
      </w:r>
      <w:r w:rsidRPr="00743461">
        <w:rPr>
          <w:rFonts w:ascii="Calibri" w:hAnsi="Calibri" w:cs="Calibri"/>
        </w:rPr>
        <w:t>Vitamin B6 status and chronic chemotherapy-induced peripheral neuropathy: a prospective cohort study among patients with non-metastatic colorectal cancer receiving oxaliplatin-based chemotherapy.</w:t>
      </w:r>
      <w:r w:rsidR="00A964F6">
        <w:rPr>
          <w:rFonts w:ascii="Calibri" w:hAnsi="Calibri" w:cs="Calibri"/>
        </w:rPr>
        <w:t xml:space="preserve"> </w:t>
      </w:r>
      <w:r w:rsidR="00A964F6" w:rsidRPr="00A964F6">
        <w:rPr>
          <w:rFonts w:ascii="Calibri" w:hAnsi="Calibri" w:cs="Calibri"/>
          <w:i/>
          <w:iCs/>
        </w:rPr>
        <w:t>BMJ Oncology, 3</w:t>
      </w:r>
      <w:r w:rsidR="00A964F6">
        <w:rPr>
          <w:rFonts w:ascii="Calibri" w:hAnsi="Calibri" w:cs="Calibri"/>
        </w:rPr>
        <w:t>: e000462.</w:t>
      </w:r>
    </w:p>
    <w:p w14:paraId="51FD14C9" w14:textId="5C7E1DE8" w:rsidR="001F5EA7" w:rsidRPr="00991A0C" w:rsidRDefault="001F5EA7" w:rsidP="001F5EA7">
      <w:pPr>
        <w:pStyle w:val="p1"/>
        <w:jc w:val="both"/>
        <w:rPr>
          <w:rFonts w:ascii="Calibri" w:hAnsi="Calibri" w:cs="Calibri"/>
          <w:lang w:val="nl-NL"/>
        </w:rPr>
      </w:pPr>
      <w:r w:rsidRPr="00743461">
        <w:rPr>
          <w:rFonts w:ascii="Calibri" w:hAnsi="Calibri" w:cs="Calibri"/>
        </w:rPr>
        <w:t xml:space="preserve">Scheithauer, W., McKendrick, J., Begbie, S., Borner, M., Burns, W. I., Burris, H. A., et al. (2003). Oral capecitabine as an alternative to intravenous 5-fluorouracil-based adjuvant therapy for colon cancer: Safety results of a randomized phase III trial. </w:t>
      </w:r>
      <w:r w:rsidRPr="00991A0C">
        <w:rPr>
          <w:rFonts w:ascii="Calibri" w:hAnsi="Calibri" w:cs="Calibri"/>
          <w:i/>
          <w:iCs/>
          <w:lang w:val="nl-NL"/>
        </w:rPr>
        <w:t>Annals of Oncology, 14</w:t>
      </w:r>
      <w:r w:rsidRPr="00991A0C">
        <w:rPr>
          <w:rFonts w:ascii="Calibri" w:hAnsi="Calibri" w:cs="Calibri"/>
          <w:lang w:val="nl-NL"/>
        </w:rPr>
        <w:t>(12), 1735-1743.</w:t>
      </w:r>
    </w:p>
    <w:p w14:paraId="474BBB19" w14:textId="77777777" w:rsidR="001F5EA7" w:rsidRPr="001F5EA7" w:rsidRDefault="001F5EA7" w:rsidP="001F5EA7">
      <w:pPr>
        <w:pStyle w:val="p1"/>
        <w:jc w:val="both"/>
        <w:rPr>
          <w:rFonts w:ascii="Calibri" w:hAnsi="Calibri" w:cs="Calibri"/>
        </w:rPr>
      </w:pPr>
      <w:r w:rsidRPr="005A34B9">
        <w:rPr>
          <w:rFonts w:ascii="Calibri" w:hAnsi="Calibri" w:cs="Calibri"/>
          <w:lang w:val="nl-NL"/>
        </w:rPr>
        <w:t xml:space="preserve">Winkels, R. M., Heine-Bröring, R. C., van Zutphen, M., van Harten-Gerritsen, S., Kok, D. E., van Duijnhoven, F. J. B., et al. </w:t>
      </w:r>
      <w:r w:rsidRPr="001F5EA7">
        <w:rPr>
          <w:rFonts w:ascii="Calibri" w:hAnsi="Calibri" w:cs="Calibri"/>
        </w:rPr>
        <w:t xml:space="preserve">(2014). The COLON study: Colorectal cancer: Longitudinal, Observational study on Nutritional and lifestyle factors that may influence colorectal tumour recurrence, survival and quality of life. </w:t>
      </w:r>
      <w:r w:rsidRPr="001F5EA7">
        <w:rPr>
          <w:rFonts w:ascii="Calibri" w:hAnsi="Calibri" w:cs="Calibri"/>
          <w:i/>
          <w:iCs/>
        </w:rPr>
        <w:t>BMC Cancer, 14</w:t>
      </w:r>
      <w:r w:rsidRPr="001F5EA7">
        <w:rPr>
          <w:rFonts w:ascii="Calibri" w:hAnsi="Calibri" w:cs="Calibri"/>
        </w:rPr>
        <w:t>, 374.</w:t>
      </w:r>
    </w:p>
    <w:p w14:paraId="6F05AFC8" w14:textId="77777777" w:rsidR="00D700BF" w:rsidRPr="00D700BF" w:rsidRDefault="00D700BF" w:rsidP="00D700BF">
      <w:pPr>
        <w:spacing w:after="0" w:line="360" w:lineRule="auto"/>
        <w:jc w:val="both"/>
        <w:rPr>
          <w:rFonts w:ascii="Calibri" w:hAnsi="Calibri" w:cs="Calibri"/>
          <w:b/>
          <w:bCs/>
        </w:rPr>
      </w:pPr>
    </w:p>
    <w:sectPr w:rsidR="00D700BF" w:rsidRPr="00D700BF">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74855" w14:textId="77777777" w:rsidR="00B21268" w:rsidRDefault="00B21268" w:rsidP="00B336BD">
      <w:pPr>
        <w:spacing w:after="0" w:line="240" w:lineRule="auto"/>
      </w:pPr>
      <w:r>
        <w:separator/>
      </w:r>
    </w:p>
  </w:endnote>
  <w:endnote w:type="continuationSeparator" w:id="0">
    <w:p w14:paraId="63742F5F" w14:textId="77777777" w:rsidR="00B21268" w:rsidRDefault="00B21268" w:rsidP="00B33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6010644"/>
      <w:docPartObj>
        <w:docPartGallery w:val="Page Numbers (Bottom of Page)"/>
        <w:docPartUnique/>
      </w:docPartObj>
    </w:sdtPr>
    <w:sdtContent>
      <w:p w14:paraId="71499274" w14:textId="29F53571" w:rsidR="00B336BD" w:rsidRDefault="00B336BD" w:rsidP="00E30C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B2E6B6" w14:textId="77777777" w:rsidR="00B336BD" w:rsidRDefault="00B336BD" w:rsidP="00B336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libri" w:hAnsi="Calibri" w:cs="Calibri"/>
        <w:sz w:val="22"/>
        <w:szCs w:val="22"/>
      </w:rPr>
      <w:id w:val="744923513"/>
      <w:docPartObj>
        <w:docPartGallery w:val="Page Numbers (Bottom of Page)"/>
        <w:docPartUnique/>
      </w:docPartObj>
    </w:sdtPr>
    <w:sdtContent>
      <w:p w14:paraId="461769A2" w14:textId="09AB3162" w:rsidR="00B336BD" w:rsidRPr="00B336BD" w:rsidRDefault="00B336BD" w:rsidP="00E30C1A">
        <w:pPr>
          <w:pStyle w:val="Footer"/>
          <w:framePr w:wrap="none" w:vAnchor="text" w:hAnchor="margin" w:xAlign="right" w:y="1"/>
          <w:rPr>
            <w:rStyle w:val="PageNumber"/>
            <w:rFonts w:ascii="Calibri" w:hAnsi="Calibri" w:cs="Calibri"/>
            <w:sz w:val="22"/>
            <w:szCs w:val="22"/>
          </w:rPr>
        </w:pPr>
        <w:r w:rsidRPr="00B336BD">
          <w:rPr>
            <w:rStyle w:val="PageNumber"/>
            <w:rFonts w:ascii="Calibri" w:hAnsi="Calibri" w:cs="Calibri"/>
            <w:sz w:val="22"/>
            <w:szCs w:val="22"/>
          </w:rPr>
          <w:fldChar w:fldCharType="begin"/>
        </w:r>
        <w:r w:rsidRPr="00B336BD">
          <w:rPr>
            <w:rStyle w:val="PageNumber"/>
            <w:rFonts w:ascii="Calibri" w:hAnsi="Calibri" w:cs="Calibri"/>
            <w:sz w:val="22"/>
            <w:szCs w:val="22"/>
          </w:rPr>
          <w:instrText xml:space="preserve"> PAGE </w:instrText>
        </w:r>
        <w:r w:rsidRPr="00B336BD">
          <w:rPr>
            <w:rStyle w:val="PageNumber"/>
            <w:rFonts w:ascii="Calibri" w:hAnsi="Calibri" w:cs="Calibri"/>
            <w:sz w:val="22"/>
            <w:szCs w:val="22"/>
          </w:rPr>
          <w:fldChar w:fldCharType="separate"/>
        </w:r>
        <w:r w:rsidRPr="00B336BD">
          <w:rPr>
            <w:rStyle w:val="PageNumber"/>
            <w:rFonts w:ascii="Calibri" w:hAnsi="Calibri" w:cs="Calibri"/>
            <w:noProof/>
            <w:sz w:val="22"/>
            <w:szCs w:val="22"/>
          </w:rPr>
          <w:t>1</w:t>
        </w:r>
        <w:r w:rsidRPr="00B336BD">
          <w:rPr>
            <w:rStyle w:val="PageNumber"/>
            <w:rFonts w:ascii="Calibri" w:hAnsi="Calibri" w:cs="Calibri"/>
            <w:sz w:val="22"/>
            <w:szCs w:val="22"/>
          </w:rPr>
          <w:fldChar w:fldCharType="end"/>
        </w:r>
      </w:p>
    </w:sdtContent>
  </w:sdt>
  <w:p w14:paraId="498673DB" w14:textId="77777777" w:rsidR="00B336BD" w:rsidRPr="00B336BD" w:rsidRDefault="00B336BD" w:rsidP="00B336BD">
    <w:pPr>
      <w:pStyle w:val="Footer"/>
      <w:ind w:right="360"/>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16426" w14:textId="77777777" w:rsidR="00B21268" w:rsidRDefault="00B21268" w:rsidP="00B336BD">
      <w:pPr>
        <w:spacing w:after="0" w:line="240" w:lineRule="auto"/>
      </w:pPr>
      <w:r>
        <w:separator/>
      </w:r>
    </w:p>
  </w:footnote>
  <w:footnote w:type="continuationSeparator" w:id="0">
    <w:p w14:paraId="1D2EA043" w14:textId="77777777" w:rsidR="00B21268" w:rsidRDefault="00B21268" w:rsidP="00B336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057C"/>
    <w:multiLevelType w:val="multilevel"/>
    <w:tmpl w:val="4E1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F7E75"/>
    <w:multiLevelType w:val="hybridMultilevel"/>
    <w:tmpl w:val="598A9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5085160">
    <w:abstractNumId w:val="1"/>
  </w:num>
  <w:num w:numId="2" w16cid:durableId="53385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E6"/>
    <w:rsid w:val="00010C61"/>
    <w:rsid w:val="00015762"/>
    <w:rsid w:val="000365F5"/>
    <w:rsid w:val="000545BF"/>
    <w:rsid w:val="0005615A"/>
    <w:rsid w:val="0006375F"/>
    <w:rsid w:val="00063A6C"/>
    <w:rsid w:val="0006622A"/>
    <w:rsid w:val="000B258A"/>
    <w:rsid w:val="000E21A6"/>
    <w:rsid w:val="00110529"/>
    <w:rsid w:val="00126588"/>
    <w:rsid w:val="001A2E90"/>
    <w:rsid w:val="001B2AC6"/>
    <w:rsid w:val="001B429B"/>
    <w:rsid w:val="001C3668"/>
    <w:rsid w:val="001D194E"/>
    <w:rsid w:val="001F5EA7"/>
    <w:rsid w:val="00216B73"/>
    <w:rsid w:val="00282BBC"/>
    <w:rsid w:val="002B2B0A"/>
    <w:rsid w:val="002D7BD3"/>
    <w:rsid w:val="00311971"/>
    <w:rsid w:val="00314032"/>
    <w:rsid w:val="003322F9"/>
    <w:rsid w:val="00367990"/>
    <w:rsid w:val="003858D4"/>
    <w:rsid w:val="003A1CA2"/>
    <w:rsid w:val="003A412B"/>
    <w:rsid w:val="003A564F"/>
    <w:rsid w:val="003B5879"/>
    <w:rsid w:val="004571CF"/>
    <w:rsid w:val="0049337C"/>
    <w:rsid w:val="004C70FB"/>
    <w:rsid w:val="004D1C87"/>
    <w:rsid w:val="00503BFE"/>
    <w:rsid w:val="005342FB"/>
    <w:rsid w:val="00552B37"/>
    <w:rsid w:val="00560AEC"/>
    <w:rsid w:val="005A34B9"/>
    <w:rsid w:val="005E3865"/>
    <w:rsid w:val="005E5814"/>
    <w:rsid w:val="005F4539"/>
    <w:rsid w:val="00623BB7"/>
    <w:rsid w:val="00666D17"/>
    <w:rsid w:val="006743D4"/>
    <w:rsid w:val="006909D5"/>
    <w:rsid w:val="006B22B2"/>
    <w:rsid w:val="006D6F63"/>
    <w:rsid w:val="006F0F8F"/>
    <w:rsid w:val="006F4AB1"/>
    <w:rsid w:val="007033D8"/>
    <w:rsid w:val="00716980"/>
    <w:rsid w:val="00743461"/>
    <w:rsid w:val="007878A0"/>
    <w:rsid w:val="00795A37"/>
    <w:rsid w:val="007D129E"/>
    <w:rsid w:val="008148C4"/>
    <w:rsid w:val="00864381"/>
    <w:rsid w:val="008674DE"/>
    <w:rsid w:val="00877750"/>
    <w:rsid w:val="008800AD"/>
    <w:rsid w:val="008A499F"/>
    <w:rsid w:val="008E1807"/>
    <w:rsid w:val="00903078"/>
    <w:rsid w:val="00933271"/>
    <w:rsid w:val="00946E52"/>
    <w:rsid w:val="00962137"/>
    <w:rsid w:val="00970D0F"/>
    <w:rsid w:val="00991A0C"/>
    <w:rsid w:val="009A37A1"/>
    <w:rsid w:val="009A3AF0"/>
    <w:rsid w:val="009C3B7E"/>
    <w:rsid w:val="009C726D"/>
    <w:rsid w:val="009F2C4F"/>
    <w:rsid w:val="009F7278"/>
    <w:rsid w:val="00A438FA"/>
    <w:rsid w:val="00A449E9"/>
    <w:rsid w:val="00A45266"/>
    <w:rsid w:val="00A83484"/>
    <w:rsid w:val="00A95837"/>
    <w:rsid w:val="00A964F6"/>
    <w:rsid w:val="00AA4A98"/>
    <w:rsid w:val="00AD0354"/>
    <w:rsid w:val="00B00896"/>
    <w:rsid w:val="00B21268"/>
    <w:rsid w:val="00B336BD"/>
    <w:rsid w:val="00B42540"/>
    <w:rsid w:val="00B45160"/>
    <w:rsid w:val="00B60208"/>
    <w:rsid w:val="00BB029F"/>
    <w:rsid w:val="00BB3ADA"/>
    <w:rsid w:val="00BD0D32"/>
    <w:rsid w:val="00BD2979"/>
    <w:rsid w:val="00BD7244"/>
    <w:rsid w:val="00C25A29"/>
    <w:rsid w:val="00C3638C"/>
    <w:rsid w:val="00C607B1"/>
    <w:rsid w:val="00C915FD"/>
    <w:rsid w:val="00CB52DA"/>
    <w:rsid w:val="00D10842"/>
    <w:rsid w:val="00D2481D"/>
    <w:rsid w:val="00D700BF"/>
    <w:rsid w:val="00E13262"/>
    <w:rsid w:val="00E53EE6"/>
    <w:rsid w:val="00E7321D"/>
    <w:rsid w:val="00E85371"/>
    <w:rsid w:val="00EB0461"/>
    <w:rsid w:val="00EE6640"/>
    <w:rsid w:val="00EF7CE4"/>
    <w:rsid w:val="00F013C4"/>
    <w:rsid w:val="00F32683"/>
    <w:rsid w:val="00F37B3E"/>
    <w:rsid w:val="00F927A2"/>
    <w:rsid w:val="00FB3F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B321"/>
  <w15:chartTrackingRefBased/>
  <w15:docId w15:val="{2E3E9DEA-AE8F-3245-9A64-0AC48154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EE6"/>
    <w:rPr>
      <w:rFonts w:eastAsiaTheme="majorEastAsia" w:cstheme="majorBidi"/>
      <w:color w:val="272727" w:themeColor="text1" w:themeTint="D8"/>
    </w:rPr>
  </w:style>
  <w:style w:type="paragraph" w:styleId="Title">
    <w:name w:val="Title"/>
    <w:basedOn w:val="Normal"/>
    <w:next w:val="Normal"/>
    <w:link w:val="TitleChar"/>
    <w:uiPriority w:val="10"/>
    <w:qFormat/>
    <w:rsid w:val="00E53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EE6"/>
    <w:pPr>
      <w:spacing w:before="160"/>
      <w:jc w:val="center"/>
    </w:pPr>
    <w:rPr>
      <w:i/>
      <w:iCs/>
      <w:color w:val="404040" w:themeColor="text1" w:themeTint="BF"/>
    </w:rPr>
  </w:style>
  <w:style w:type="character" w:customStyle="1" w:styleId="QuoteChar">
    <w:name w:val="Quote Char"/>
    <w:basedOn w:val="DefaultParagraphFont"/>
    <w:link w:val="Quote"/>
    <w:uiPriority w:val="29"/>
    <w:rsid w:val="00E53EE6"/>
    <w:rPr>
      <w:i/>
      <w:iCs/>
      <w:color w:val="404040" w:themeColor="text1" w:themeTint="BF"/>
    </w:rPr>
  </w:style>
  <w:style w:type="paragraph" w:styleId="ListParagraph">
    <w:name w:val="List Paragraph"/>
    <w:basedOn w:val="Normal"/>
    <w:uiPriority w:val="34"/>
    <w:qFormat/>
    <w:rsid w:val="00E53EE6"/>
    <w:pPr>
      <w:ind w:left="720"/>
      <w:contextualSpacing/>
    </w:pPr>
  </w:style>
  <w:style w:type="character" w:styleId="IntenseEmphasis">
    <w:name w:val="Intense Emphasis"/>
    <w:basedOn w:val="DefaultParagraphFont"/>
    <w:uiPriority w:val="21"/>
    <w:qFormat/>
    <w:rsid w:val="00E53EE6"/>
    <w:rPr>
      <w:i/>
      <w:iCs/>
      <w:color w:val="0F4761" w:themeColor="accent1" w:themeShade="BF"/>
    </w:rPr>
  </w:style>
  <w:style w:type="paragraph" w:styleId="IntenseQuote">
    <w:name w:val="Intense Quote"/>
    <w:basedOn w:val="Normal"/>
    <w:next w:val="Normal"/>
    <w:link w:val="IntenseQuoteChar"/>
    <w:uiPriority w:val="30"/>
    <w:qFormat/>
    <w:rsid w:val="00E53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EE6"/>
    <w:rPr>
      <w:i/>
      <w:iCs/>
      <w:color w:val="0F4761" w:themeColor="accent1" w:themeShade="BF"/>
    </w:rPr>
  </w:style>
  <w:style w:type="character" w:styleId="IntenseReference">
    <w:name w:val="Intense Reference"/>
    <w:basedOn w:val="DefaultParagraphFont"/>
    <w:uiPriority w:val="32"/>
    <w:qFormat/>
    <w:rsid w:val="00E53EE6"/>
    <w:rPr>
      <w:b/>
      <w:bCs/>
      <w:smallCaps/>
      <w:color w:val="0F4761" w:themeColor="accent1" w:themeShade="BF"/>
      <w:spacing w:val="5"/>
    </w:rPr>
  </w:style>
  <w:style w:type="paragraph" w:styleId="Footer">
    <w:name w:val="footer"/>
    <w:basedOn w:val="Normal"/>
    <w:link w:val="FooterChar"/>
    <w:uiPriority w:val="99"/>
    <w:unhideWhenUsed/>
    <w:rsid w:val="00B336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6BD"/>
  </w:style>
  <w:style w:type="character" w:styleId="PageNumber">
    <w:name w:val="page number"/>
    <w:basedOn w:val="DefaultParagraphFont"/>
    <w:uiPriority w:val="99"/>
    <w:semiHidden/>
    <w:unhideWhenUsed/>
    <w:rsid w:val="00B336BD"/>
  </w:style>
  <w:style w:type="paragraph" w:styleId="Header">
    <w:name w:val="header"/>
    <w:basedOn w:val="Normal"/>
    <w:link w:val="HeaderChar"/>
    <w:uiPriority w:val="99"/>
    <w:unhideWhenUsed/>
    <w:rsid w:val="00B336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6BD"/>
  </w:style>
  <w:style w:type="paragraph" w:customStyle="1" w:styleId="p1">
    <w:name w:val="p1"/>
    <w:basedOn w:val="Normal"/>
    <w:rsid w:val="003A41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5A34B9"/>
    <w:rPr>
      <w:sz w:val="16"/>
      <w:szCs w:val="16"/>
    </w:rPr>
  </w:style>
  <w:style w:type="paragraph" w:styleId="CommentText">
    <w:name w:val="annotation text"/>
    <w:basedOn w:val="Normal"/>
    <w:link w:val="CommentTextChar"/>
    <w:uiPriority w:val="99"/>
    <w:unhideWhenUsed/>
    <w:rsid w:val="005A34B9"/>
    <w:pPr>
      <w:spacing w:line="240" w:lineRule="auto"/>
    </w:pPr>
    <w:rPr>
      <w:sz w:val="20"/>
      <w:szCs w:val="20"/>
    </w:rPr>
  </w:style>
  <w:style w:type="character" w:customStyle="1" w:styleId="CommentTextChar">
    <w:name w:val="Comment Text Char"/>
    <w:basedOn w:val="DefaultParagraphFont"/>
    <w:link w:val="CommentText"/>
    <w:uiPriority w:val="99"/>
    <w:rsid w:val="005A34B9"/>
    <w:rPr>
      <w:sz w:val="20"/>
      <w:szCs w:val="20"/>
    </w:rPr>
  </w:style>
  <w:style w:type="paragraph" w:styleId="CommentSubject">
    <w:name w:val="annotation subject"/>
    <w:basedOn w:val="CommentText"/>
    <w:next w:val="CommentText"/>
    <w:link w:val="CommentSubjectChar"/>
    <w:uiPriority w:val="99"/>
    <w:semiHidden/>
    <w:unhideWhenUsed/>
    <w:rsid w:val="005A34B9"/>
    <w:rPr>
      <w:b/>
      <w:bCs/>
    </w:rPr>
  </w:style>
  <w:style w:type="character" w:customStyle="1" w:styleId="CommentSubjectChar">
    <w:name w:val="Comment Subject Char"/>
    <w:basedOn w:val="CommentTextChar"/>
    <w:link w:val="CommentSubject"/>
    <w:uiPriority w:val="99"/>
    <w:semiHidden/>
    <w:rsid w:val="005A34B9"/>
    <w:rPr>
      <w:b/>
      <w:bCs/>
      <w:sz w:val="20"/>
      <w:szCs w:val="20"/>
    </w:rPr>
  </w:style>
  <w:style w:type="character" w:styleId="Hyperlink">
    <w:name w:val="Hyperlink"/>
    <w:basedOn w:val="DefaultParagraphFont"/>
    <w:uiPriority w:val="99"/>
    <w:unhideWhenUsed/>
    <w:rsid w:val="005A34B9"/>
    <w:rPr>
      <w:color w:val="467886" w:themeColor="hyperlink"/>
      <w:u w:val="single"/>
    </w:rPr>
  </w:style>
  <w:style w:type="character" w:styleId="UnresolvedMention">
    <w:name w:val="Unresolved Mention"/>
    <w:basedOn w:val="DefaultParagraphFont"/>
    <w:uiPriority w:val="99"/>
    <w:semiHidden/>
    <w:unhideWhenUsed/>
    <w:rsid w:val="005A34B9"/>
    <w:rPr>
      <w:color w:val="605E5C"/>
      <w:shd w:val="clear" w:color="auto" w:fill="E1DFDD"/>
    </w:rPr>
  </w:style>
  <w:style w:type="paragraph" w:styleId="Revision">
    <w:name w:val="Revision"/>
    <w:hidden/>
    <w:uiPriority w:val="99"/>
    <w:semiHidden/>
    <w:rsid w:val="00BD0D32"/>
    <w:pPr>
      <w:spacing w:after="0" w:line="240" w:lineRule="auto"/>
    </w:pPr>
  </w:style>
  <w:style w:type="paragraph" w:customStyle="1" w:styleId="p2">
    <w:name w:val="p2"/>
    <w:basedOn w:val="Normal"/>
    <w:rsid w:val="0074346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878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342FB"/>
  </w:style>
  <w:style w:type="table" w:styleId="TableGrid">
    <w:name w:val="Table Grid"/>
    <w:basedOn w:val="TableNormal"/>
    <w:uiPriority w:val="39"/>
    <w:rsid w:val="00962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89BE1-466A-B54C-9A08-DB9169544AD4}">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25</TotalTime>
  <Pages>12</Pages>
  <Words>2635</Words>
  <Characters>16019</Characters>
  <Application>Microsoft Office Word</Application>
  <DocSecurity>0</DocSecurity>
  <Lines>390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Alam</dc:creator>
  <cp:keywords/>
  <dc:description/>
  <cp:lastModifiedBy>Bos, Noah</cp:lastModifiedBy>
  <cp:revision>15</cp:revision>
  <dcterms:created xsi:type="dcterms:W3CDTF">2026-04-19T15:22:00Z</dcterms:created>
  <dcterms:modified xsi:type="dcterms:W3CDTF">2026-04-28T09:39:00Z</dcterms:modified>
</cp:coreProperties>
</file>