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B064" w14:textId="77777777" w:rsidR="00AA5991" w:rsidRDefault="00000000">
      <w:pPr>
        <w:pStyle w:val="Heading1"/>
      </w:pPr>
      <w:r>
        <w:t>Accounting Management – Budget Planning Canvas</w:t>
      </w:r>
    </w:p>
    <w:p w14:paraId="7C5CB395" w14:textId="77777777" w:rsidR="00AA5991" w:rsidRDefault="00000000">
      <w:r>
        <w:t>Purpose: Plan and allocate budgets effectively across the business.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A5991" w14:paraId="6657BFE5" w14:textId="77777777" w:rsidTr="00DB21EC">
        <w:tc>
          <w:tcPr>
            <w:tcW w:w="4320" w:type="dxa"/>
          </w:tcPr>
          <w:p w14:paraId="0B62515F" w14:textId="77777777" w:rsidR="00AA5991" w:rsidRDefault="00000000">
            <w:r>
              <w:t>Canvas Element</w:t>
            </w:r>
          </w:p>
        </w:tc>
        <w:tc>
          <w:tcPr>
            <w:tcW w:w="4320" w:type="dxa"/>
          </w:tcPr>
          <w:p w14:paraId="55D84EE6" w14:textId="77777777" w:rsidR="00AA5991" w:rsidRDefault="00000000">
            <w:r>
              <w:t>Notes / Input</w:t>
            </w:r>
          </w:p>
        </w:tc>
      </w:tr>
      <w:tr w:rsidR="00AA5991" w14:paraId="3B63DAE1" w14:textId="77777777" w:rsidTr="00DB21EC">
        <w:tc>
          <w:tcPr>
            <w:tcW w:w="4320" w:type="dxa"/>
          </w:tcPr>
          <w:p w14:paraId="4F699513" w14:textId="77777777" w:rsidR="00AA5991" w:rsidRDefault="00000000">
            <w:r>
              <w:t>Budget Period</w:t>
            </w:r>
          </w:p>
        </w:tc>
        <w:tc>
          <w:tcPr>
            <w:tcW w:w="4320" w:type="dxa"/>
          </w:tcPr>
          <w:p w14:paraId="2088CE6C" w14:textId="77777777" w:rsidR="00AA5991" w:rsidRDefault="00AA5991"/>
        </w:tc>
      </w:tr>
      <w:tr w:rsidR="00AA5991" w14:paraId="0D5EE39F" w14:textId="77777777" w:rsidTr="00DB21EC">
        <w:tc>
          <w:tcPr>
            <w:tcW w:w="4320" w:type="dxa"/>
          </w:tcPr>
          <w:p w14:paraId="00D0B4D2" w14:textId="77777777" w:rsidR="00AA5991" w:rsidRDefault="00000000">
            <w:r>
              <w:t>Total Available Budget</w:t>
            </w:r>
          </w:p>
        </w:tc>
        <w:tc>
          <w:tcPr>
            <w:tcW w:w="4320" w:type="dxa"/>
          </w:tcPr>
          <w:p w14:paraId="61B58FEA" w14:textId="77777777" w:rsidR="00AA5991" w:rsidRDefault="00AA5991"/>
        </w:tc>
      </w:tr>
      <w:tr w:rsidR="00AA5991" w14:paraId="223D81BA" w14:textId="77777777" w:rsidTr="00DB21EC">
        <w:tc>
          <w:tcPr>
            <w:tcW w:w="4320" w:type="dxa"/>
          </w:tcPr>
          <w:p w14:paraId="0C4F0103" w14:textId="77777777" w:rsidR="00AA5991" w:rsidRDefault="00000000">
            <w:r>
              <w:t>Department Allocations</w:t>
            </w:r>
          </w:p>
        </w:tc>
        <w:tc>
          <w:tcPr>
            <w:tcW w:w="4320" w:type="dxa"/>
          </w:tcPr>
          <w:p w14:paraId="4DE6970C" w14:textId="77777777" w:rsidR="00AA5991" w:rsidRDefault="00AA5991"/>
        </w:tc>
      </w:tr>
      <w:tr w:rsidR="00AA5991" w14:paraId="066FCB05" w14:textId="77777777" w:rsidTr="00DB21EC">
        <w:tc>
          <w:tcPr>
            <w:tcW w:w="4320" w:type="dxa"/>
          </w:tcPr>
          <w:p w14:paraId="2CA6724C" w14:textId="77777777" w:rsidR="00AA5991" w:rsidRDefault="00000000">
            <w:r>
              <w:t>Expected ROI per Allocation</w:t>
            </w:r>
          </w:p>
        </w:tc>
        <w:tc>
          <w:tcPr>
            <w:tcW w:w="4320" w:type="dxa"/>
          </w:tcPr>
          <w:p w14:paraId="087B8A28" w14:textId="77777777" w:rsidR="00AA5991" w:rsidRDefault="00AA5991"/>
        </w:tc>
      </w:tr>
      <w:tr w:rsidR="00AA5991" w14:paraId="1DDE574F" w14:textId="77777777" w:rsidTr="00DB21EC">
        <w:tc>
          <w:tcPr>
            <w:tcW w:w="4320" w:type="dxa"/>
          </w:tcPr>
          <w:p w14:paraId="09CC31EC" w14:textId="77777777" w:rsidR="00AA5991" w:rsidRDefault="00000000">
            <w:r>
              <w:t>Cost Control Measures</w:t>
            </w:r>
          </w:p>
        </w:tc>
        <w:tc>
          <w:tcPr>
            <w:tcW w:w="4320" w:type="dxa"/>
          </w:tcPr>
          <w:p w14:paraId="79A3D990" w14:textId="77777777" w:rsidR="00AA5991" w:rsidRDefault="00AA5991"/>
        </w:tc>
      </w:tr>
      <w:tr w:rsidR="00AA5991" w14:paraId="34504A0F" w14:textId="77777777" w:rsidTr="00DB21EC">
        <w:tc>
          <w:tcPr>
            <w:tcW w:w="4320" w:type="dxa"/>
          </w:tcPr>
          <w:p w14:paraId="75C83E0C" w14:textId="77777777" w:rsidR="00AA5991" w:rsidRDefault="00000000">
            <w:r>
              <w:t>Contingency Funds</w:t>
            </w:r>
          </w:p>
        </w:tc>
        <w:tc>
          <w:tcPr>
            <w:tcW w:w="4320" w:type="dxa"/>
          </w:tcPr>
          <w:p w14:paraId="1E015616" w14:textId="77777777" w:rsidR="00AA5991" w:rsidRDefault="00AA5991"/>
        </w:tc>
      </w:tr>
      <w:tr w:rsidR="00AA5991" w14:paraId="7FC0D101" w14:textId="77777777" w:rsidTr="00DB21EC">
        <w:tc>
          <w:tcPr>
            <w:tcW w:w="4320" w:type="dxa"/>
          </w:tcPr>
          <w:p w14:paraId="0735E08B" w14:textId="77777777" w:rsidR="00AA5991" w:rsidRDefault="00000000">
            <w:r>
              <w:t>Approval Owner</w:t>
            </w:r>
          </w:p>
        </w:tc>
        <w:tc>
          <w:tcPr>
            <w:tcW w:w="4320" w:type="dxa"/>
          </w:tcPr>
          <w:p w14:paraId="38F3E5BA" w14:textId="77777777" w:rsidR="00AA5991" w:rsidRDefault="00AA5991"/>
        </w:tc>
      </w:tr>
      <w:tr w:rsidR="00AA5991" w14:paraId="4E9382C9" w14:textId="77777777" w:rsidTr="00DB21EC">
        <w:tc>
          <w:tcPr>
            <w:tcW w:w="4320" w:type="dxa"/>
          </w:tcPr>
          <w:p w14:paraId="231F1BA9" w14:textId="77777777" w:rsidR="00AA5991" w:rsidRDefault="00000000">
            <w:r>
              <w:t>Review Frequency</w:t>
            </w:r>
          </w:p>
        </w:tc>
        <w:tc>
          <w:tcPr>
            <w:tcW w:w="4320" w:type="dxa"/>
          </w:tcPr>
          <w:p w14:paraId="7B74E574" w14:textId="77777777" w:rsidR="00AA5991" w:rsidRDefault="00AA5991"/>
        </w:tc>
      </w:tr>
    </w:tbl>
    <w:p w14:paraId="0C0D2560" w14:textId="77777777" w:rsidR="00D44103" w:rsidRDefault="00D44103"/>
    <w:sectPr w:rsidR="00D44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005384">
    <w:abstractNumId w:val="8"/>
  </w:num>
  <w:num w:numId="2" w16cid:durableId="1126505473">
    <w:abstractNumId w:val="6"/>
  </w:num>
  <w:num w:numId="3" w16cid:durableId="72050076">
    <w:abstractNumId w:val="5"/>
  </w:num>
  <w:num w:numId="4" w16cid:durableId="1085149081">
    <w:abstractNumId w:val="4"/>
  </w:num>
  <w:num w:numId="5" w16cid:durableId="830873727">
    <w:abstractNumId w:val="7"/>
  </w:num>
  <w:num w:numId="6" w16cid:durableId="1910115048">
    <w:abstractNumId w:val="3"/>
  </w:num>
  <w:num w:numId="7" w16cid:durableId="372850418">
    <w:abstractNumId w:val="2"/>
  </w:num>
  <w:num w:numId="8" w16cid:durableId="150029412">
    <w:abstractNumId w:val="1"/>
  </w:num>
  <w:num w:numId="9" w16cid:durableId="133453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2557"/>
    <w:rsid w:val="00AA1D8D"/>
    <w:rsid w:val="00AA5991"/>
    <w:rsid w:val="00B47730"/>
    <w:rsid w:val="00CB0664"/>
    <w:rsid w:val="00D44103"/>
    <w:rsid w:val="00DB2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CC9C3"/>
  <w14:defaultImageDpi w14:val="300"/>
  <w15:docId w15:val="{10EE902E-1B48-4528-8C87-FAB59A0F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My5starcourses Ltd</cp:lastModifiedBy>
  <cp:revision>2</cp:revision>
  <dcterms:created xsi:type="dcterms:W3CDTF">2013-12-23T23:15:00Z</dcterms:created>
  <dcterms:modified xsi:type="dcterms:W3CDTF">2026-01-15T13:01:00Z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3c1e5c6b-d94f-46e7-87ba-23bca1900999</vt:lpwstr>
  </property>
</Properties>
</file>