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8FAA6" w14:textId="4D755721" w:rsidR="00647599" w:rsidRPr="00647599" w:rsidRDefault="00647599" w:rsidP="00647599">
      <w:pPr>
        <w:jc w:val="both"/>
        <w:rPr>
          <w:rFonts w:ascii="Century Gothic" w:hAnsi="Century Gothic"/>
          <w:b/>
          <w:bCs/>
        </w:rPr>
      </w:pPr>
      <w:r w:rsidRPr="00647599">
        <w:rPr>
          <w:rFonts w:ascii="Century Gothic" w:hAnsi="Century Gothic"/>
          <w:b/>
          <w:bCs/>
        </w:rPr>
        <w:t xml:space="preserve">Introducción </w:t>
      </w:r>
    </w:p>
    <w:p w14:paraId="0A2C2412" w14:textId="630A8339" w:rsidR="00647599" w:rsidRPr="00647599" w:rsidRDefault="00647599" w:rsidP="00647599">
      <w:pPr>
        <w:jc w:val="both"/>
        <w:rPr>
          <w:rFonts w:ascii="Century Gothic" w:hAnsi="Century Gothic"/>
        </w:rPr>
      </w:pPr>
      <w:r w:rsidRPr="00647599">
        <w:rPr>
          <w:rFonts w:ascii="Century Gothic" w:hAnsi="Century Gothic"/>
        </w:rPr>
        <w:t>El presente documento tiene por objeto exponer de manera clara y técnica el procedimiento para la implementación y operación del programa, detallando sus principales componentes, alcances y mecanismos de ejecución. Asimismo, se describe la utilidad y los beneficios que su aplicación puede representar para el Estado de Aguascalientes, considerando las necesidades y áreas de oportunidad identificadas en la entidad.</w:t>
      </w:r>
    </w:p>
    <w:p w14:paraId="5A7073B8" w14:textId="77777777" w:rsidR="00647599" w:rsidRPr="00647599" w:rsidRDefault="00647599" w:rsidP="00647599">
      <w:pPr>
        <w:jc w:val="both"/>
        <w:rPr>
          <w:rFonts w:ascii="Century Gothic" w:hAnsi="Century Gothic"/>
        </w:rPr>
      </w:pPr>
      <w:r w:rsidRPr="00647599">
        <w:rPr>
          <w:rFonts w:ascii="Century Gothic" w:hAnsi="Century Gothic"/>
        </w:rPr>
        <w:t>Es importante señalar que el contenido del presente documento constituye una recomendación técnica respecto de la forma en que el programa puede desarrollarse e implementarse, con base en las mejores prácticas y criterios analizados. No obstante, las consideraciones aquí expuestas quedan sujetas a la valoración y mejor opinión de las autoridades y actores involucrados, quienes podrán realizar las adecuaciones que estimen pertinentes para su adecuada ejecución.</w:t>
      </w:r>
    </w:p>
    <w:p w14:paraId="271447FD" w14:textId="77777777" w:rsidR="00647599" w:rsidRPr="00647599" w:rsidRDefault="00647599" w:rsidP="00647599">
      <w:pPr>
        <w:jc w:val="both"/>
        <w:rPr>
          <w:rFonts w:ascii="Century Gothic" w:hAnsi="Century Gothic"/>
        </w:rPr>
      </w:pPr>
      <w:r w:rsidRPr="00647599">
        <w:rPr>
          <w:rFonts w:ascii="Century Gothic" w:hAnsi="Century Gothic"/>
        </w:rPr>
        <w:t>Finalmente, se pone a consideración este proyecto con la convicción de que su implementación puede representar un beneficio significativo para el Estado de Aguascalientes, contribuyendo al fortalecimiento de las acciones públicas y al desarrollo de iniciativas que generen un impacto positivo en la población.</w:t>
      </w:r>
    </w:p>
    <w:p w14:paraId="51FB5D14" w14:textId="77777777" w:rsidR="00550A8E" w:rsidRDefault="00550A8E" w:rsidP="00CD30B3">
      <w:pPr>
        <w:jc w:val="both"/>
        <w:rPr>
          <w:b/>
          <w:bCs/>
          <w:sz w:val="32"/>
          <w:szCs w:val="32"/>
        </w:rPr>
      </w:pPr>
    </w:p>
    <w:p w14:paraId="7EA41914" w14:textId="60C3C8CD" w:rsidR="00CD30B3" w:rsidRPr="00550A8E" w:rsidRDefault="00CD30B3" w:rsidP="00CD30B3">
      <w:pPr>
        <w:jc w:val="both"/>
        <w:rPr>
          <w:rFonts w:ascii="Century Gothic" w:hAnsi="Century Gothic"/>
          <w:b/>
          <w:bCs/>
          <w:sz w:val="32"/>
          <w:szCs w:val="32"/>
        </w:rPr>
      </w:pPr>
      <w:r w:rsidRPr="00AD154E">
        <w:rPr>
          <w:b/>
          <w:bCs/>
          <w:sz w:val="32"/>
          <w:szCs w:val="32"/>
        </w:rPr>
        <w:t>M</w:t>
      </w:r>
      <w:r w:rsidRPr="00550A8E">
        <w:rPr>
          <w:rFonts w:ascii="Century Gothic" w:hAnsi="Century Gothic"/>
          <w:b/>
          <w:bCs/>
          <w:sz w:val="32"/>
          <w:szCs w:val="32"/>
        </w:rPr>
        <w:t xml:space="preserve">arco teórico </w:t>
      </w:r>
    </w:p>
    <w:p w14:paraId="4EA5CD2E" w14:textId="6B73354D" w:rsidR="00CD30B3" w:rsidRPr="00550A8E" w:rsidRDefault="00CD30B3" w:rsidP="00CD30B3">
      <w:pPr>
        <w:jc w:val="both"/>
        <w:rPr>
          <w:rFonts w:ascii="Century Gothic" w:hAnsi="Century Gothic"/>
          <w:b/>
          <w:bCs/>
          <w:sz w:val="32"/>
          <w:szCs w:val="32"/>
        </w:rPr>
      </w:pPr>
      <w:r w:rsidRPr="00550A8E">
        <w:rPr>
          <w:rFonts w:ascii="Century Gothic" w:hAnsi="Century Gothic"/>
          <w:b/>
          <w:bCs/>
          <w:sz w:val="32"/>
          <w:szCs w:val="32"/>
        </w:rPr>
        <w:t xml:space="preserve">SALUD </w:t>
      </w:r>
    </w:p>
    <w:p w14:paraId="7862FE36"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Dimensión de Salud Mental, Psiquiatría Preventiva y Prevención del Suicidio</w:t>
      </w:r>
    </w:p>
    <w:p w14:paraId="45FFCD37" w14:textId="24752FCE" w:rsidR="000B2E2E" w:rsidRPr="00550A8E" w:rsidRDefault="00CD30B3" w:rsidP="000B2E2E">
      <w:pPr>
        <w:jc w:val="both"/>
        <w:rPr>
          <w:rFonts w:ascii="Century Gothic" w:hAnsi="Century Gothic" w:cs="Arial"/>
        </w:rPr>
      </w:pPr>
      <w:r w:rsidRPr="00550A8E">
        <w:rPr>
          <w:rFonts w:ascii="Century Gothic" w:hAnsi="Century Gothic" w:cs="Arial"/>
        </w:rPr>
        <w:t>El entorno construido de las zonas urbanas de alta densidad somete a los individuos a factores estresantes crónicos, como la contaminación acústica persistente, la congestión vehicular, el hacinamiento y la hiperestimulación sensorial. En este contexto, ha surgido el concepto de "ciudades ansiosas", un marco teórico que sugiere que el diseño urbano no es neutral, sino que impacta profundamente en cómo los ciudadanos se sienten, se conectan y prosperan. En contraposición a la arquitectura gris, los bosques urbanos actúan como amortiguadores neuropsicológicos vitales, ofreciendo beneficios agudos y crónicos en la salud mental de la población.</w:t>
      </w:r>
    </w:p>
    <w:p w14:paraId="18787711"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Atenuación de la Depresión, la Ansiedad y la Fatiga Cognitiva</w:t>
      </w:r>
    </w:p>
    <w:p w14:paraId="5647B85C" w14:textId="3EB7B366" w:rsidR="00CD30B3" w:rsidRPr="00550A8E" w:rsidRDefault="00CD30B3" w:rsidP="000B2E2E">
      <w:pPr>
        <w:jc w:val="both"/>
        <w:rPr>
          <w:rFonts w:ascii="Century Gothic" w:hAnsi="Century Gothic" w:cs="Arial"/>
        </w:rPr>
      </w:pPr>
      <w:r w:rsidRPr="00550A8E">
        <w:rPr>
          <w:rFonts w:ascii="Century Gothic" w:hAnsi="Century Gothic" w:cs="Arial"/>
        </w:rPr>
        <w:lastRenderedPageBreak/>
        <w:t xml:space="preserve">Las investigaciones epidemiológicas demuestran que el contacto regular con áreas verdes proporciona amplios beneficios preventivos e intervencionistas sobre un espectro diverso de resultados psiquiátricos. La exposición a entornos arbolados reduce significativamente la fatiga mental y atenúa la respuesta fisiológica al estrés del sistema nervioso parasimpático. Estudios proyectivos y simulaciones estadísticas han estimado que, si la cobertura vegetal se incrementara al 20% en todas las áreas residenciales, las ciudades podrían observar una reducción superior al 10% en los niveles de depresión general y una disminución de casi el 20% en los niveles de estrés y ansiedad poblacional. Esta mitigación de la carga psicológica se traduce en resultados clínicos tangibles que alivian la presión sobre los sistemas sanitarios. Un estudio longitudinal de 2015 en Londres evidenció </w:t>
      </w:r>
      <w:proofErr w:type="gramStart"/>
      <w:r w:rsidRPr="00550A8E">
        <w:rPr>
          <w:rFonts w:ascii="Century Gothic" w:hAnsi="Century Gothic" w:cs="Arial"/>
        </w:rPr>
        <w:t>que</w:t>
      </w:r>
      <w:proofErr w:type="gramEnd"/>
      <w:r w:rsidRPr="00550A8E">
        <w:rPr>
          <w:rFonts w:ascii="Century Gothic" w:hAnsi="Century Gothic" w:cs="Arial"/>
        </w:rPr>
        <w:t xml:space="preserve"> en los distritos con mayor densidad de árboles urbanos, los individuos diagnosticados con depresión clínica requirieron tasas significativamente más bajas de prescripción de fármacos antidepresivos.</w:t>
      </w:r>
    </w:p>
    <w:p w14:paraId="0534CE59" w14:textId="77777777" w:rsidR="00CD30B3" w:rsidRPr="00550A8E" w:rsidRDefault="00CD30B3" w:rsidP="00CD30B3">
      <w:pPr>
        <w:jc w:val="both"/>
        <w:rPr>
          <w:rFonts w:ascii="Century Gothic" w:hAnsi="Century Gothic" w:cs="Arial"/>
        </w:rPr>
      </w:pPr>
      <w:r w:rsidRPr="00550A8E">
        <w:rPr>
          <w:rFonts w:ascii="Century Gothic" w:hAnsi="Century Gothic" w:cs="Arial"/>
        </w:rPr>
        <w:t>El impacto de las terapias forestales y el diseño biofílico va más allá de la mera prevención comunitaria, operando también como una intervención clínica no farmacológica altamente eficaz. Experimentos controlados aleatorizados han demostrado que los pacientes con depresión diagnosticada que participaron en programas de terapia forestal asistidos por aplicaciones móviles en bosques urbanos mostraron reducciones drásticas y estadísticamente significativas en la Escala de Calificación de la Depresión de Montgomery-</w:t>
      </w:r>
      <w:proofErr w:type="spellStart"/>
      <w:r w:rsidRPr="00550A8E">
        <w:rPr>
          <w:rFonts w:ascii="Century Gothic" w:hAnsi="Century Gothic" w:cs="Arial"/>
        </w:rPr>
        <w:t>Åsberg</w:t>
      </w:r>
      <w:proofErr w:type="spellEnd"/>
      <w:r w:rsidRPr="00550A8E">
        <w:rPr>
          <w:rFonts w:ascii="Century Gothic" w:hAnsi="Century Gothic" w:cs="Arial"/>
        </w:rPr>
        <w:t xml:space="preserve"> (MADRS), cayendo de una media de 21.48 a 7.13. Además, se reportaron mejoras notables en la calidad del sueño, medidas por el Índice de Calidad del Sueño de Pittsburgh (PSQI), y en la reducción de síntomas físicos asociados a la somatización psiquiátrica, medidos por el Cuestionario de Salud del Paciente (PHQ-15).</w:t>
      </w:r>
    </w:p>
    <w:p w14:paraId="55DCCDF9" w14:textId="77777777" w:rsidR="00CD30B3" w:rsidRPr="00550A8E" w:rsidRDefault="00CD30B3" w:rsidP="00CD30B3">
      <w:pPr>
        <w:jc w:val="both"/>
        <w:rPr>
          <w:rFonts w:ascii="Century Gothic" w:hAnsi="Century Gothic" w:cs="Arial"/>
        </w:rPr>
      </w:pPr>
      <w:r w:rsidRPr="00550A8E">
        <w:rPr>
          <w:rFonts w:ascii="Century Gothic" w:hAnsi="Century Gothic" w:cs="Arial"/>
        </w:rPr>
        <w:t>Los teóricos de la psicología ambiental sugieren que el dosel arbóreo induce un estado de "fascinación suave" (</w:t>
      </w:r>
      <w:proofErr w:type="spellStart"/>
      <w:r w:rsidRPr="00550A8E">
        <w:rPr>
          <w:rFonts w:ascii="Century Gothic" w:hAnsi="Century Gothic" w:cs="Arial"/>
        </w:rPr>
        <w:t>gentle</w:t>
      </w:r>
      <w:proofErr w:type="spellEnd"/>
      <w:r w:rsidRPr="00550A8E">
        <w:rPr>
          <w:rFonts w:ascii="Century Gothic" w:hAnsi="Century Gothic" w:cs="Arial"/>
        </w:rPr>
        <w:t xml:space="preserve"> </w:t>
      </w:r>
      <w:proofErr w:type="spellStart"/>
      <w:r w:rsidRPr="00550A8E">
        <w:rPr>
          <w:rFonts w:ascii="Century Gothic" w:hAnsi="Century Gothic" w:cs="Arial"/>
        </w:rPr>
        <w:t>engagement</w:t>
      </w:r>
      <w:proofErr w:type="spellEnd"/>
      <w:r w:rsidRPr="00550A8E">
        <w:rPr>
          <w:rFonts w:ascii="Century Gothic" w:hAnsi="Century Gothic" w:cs="Arial"/>
        </w:rPr>
        <w:t>), un estado cognitivo y perceptivo que permite a la corteza prefrontal del cerebro recuperarse de la fatiga dirigida y restaurar las capacidades atencionales de manera análoga a los estados alcanzados durante la meditación clínica.</w:t>
      </w:r>
    </w:p>
    <w:p w14:paraId="2A24247B"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Mitigación del Riesgo de Suicidio y Análisis Espacial</w:t>
      </w:r>
    </w:p>
    <w:p w14:paraId="47985721"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Quizás una de las revelaciones más profundas de la epidemiología psiquiátrica contemporánea es la fuerte correlación inversa entre la proximidad a los espacios verdes y las tasas de mortalidad por suicidio. El </w:t>
      </w:r>
      <w:r w:rsidRPr="00550A8E">
        <w:rPr>
          <w:rFonts w:ascii="Century Gothic" w:hAnsi="Century Gothic" w:cs="Arial"/>
        </w:rPr>
        <w:lastRenderedPageBreak/>
        <w:t>aumento de las tasas de suicidio, a menudo exacerbado por el estrés urbano crónico, encuentra en la preservación de los bosques urbanos un factor protector sistémico cuantificable.</w:t>
      </w:r>
    </w:p>
    <w:p w14:paraId="3A535BAA" w14:textId="77777777" w:rsidR="00CD30B3" w:rsidRPr="00550A8E" w:rsidRDefault="00CD30B3" w:rsidP="00CD30B3">
      <w:pPr>
        <w:jc w:val="both"/>
        <w:rPr>
          <w:rFonts w:ascii="Century Gothic" w:hAnsi="Century Gothic" w:cs="Arial"/>
        </w:rPr>
      </w:pPr>
      <w:r w:rsidRPr="00550A8E">
        <w:rPr>
          <w:rFonts w:ascii="Century Gothic" w:hAnsi="Century Gothic" w:cs="Arial"/>
        </w:rPr>
        <w:t>Estudios a escala global que utilizan el Índice de Vegetación de Diferencia Normalizada (NDVI) administrado por sensores satelitales (como el Terra-MODIS de la NASA) han documentado una asociación negativa significativa entre la exposición a la vegetación y la mortalidad por suicidio. Un incremento equivalente al rango intercuartílico (IQR) en los niveles de NDVI disminuye significativamente el riesgo relativo de mortalidad por suicidio a nivel poblacional a un valor de 0.69. Este fenómeno protector ha demostrado ser independiente y estadísticamente robusto incluso después de aplicar ajustes covariables para aislar factores socioeconómicos como el nivel de ingresos, el grado de urbanización y las disparidades de género.</w:t>
      </w:r>
    </w:p>
    <w:p w14:paraId="2AF057F5" w14:textId="77777777" w:rsidR="00CD30B3" w:rsidRPr="00550A8E" w:rsidRDefault="00CD30B3" w:rsidP="00CD30B3">
      <w:pPr>
        <w:jc w:val="both"/>
        <w:rPr>
          <w:rFonts w:ascii="Century Gothic" w:hAnsi="Century Gothic" w:cs="Arial"/>
        </w:rPr>
      </w:pPr>
      <w:r w:rsidRPr="00550A8E">
        <w:rPr>
          <w:rFonts w:ascii="Century Gothic" w:hAnsi="Century Gothic" w:cs="Arial"/>
        </w:rPr>
        <w:t>Investigaciones geográficamente localizadas y longitudinales proporcionan estimaciones aún más granulares y precisas. Un exhaustivo estudio llevado a cabo por la Universidad Nacional Cheng Kung (NCKU) en Taiwán analizó datos de la base nacional de seguros de salud correspondientes a 368 municipios a lo largo de 18 años (2000-2018), integrando análisis de patrones espaciales mediante software avanzado. Los hallazgos cuantificaron que un aumento de apenas el 1% en la cobertura de espacios verdes en un área urbana o suburbana está directamente asociado con una caída del 0.2% en la tasa de suicidios. Es imperativo destacar que la métrica espacial revela que la eficacia no depende exclusivamente de la cantidad bruta de vegetación, sino de su morfología arquitectónica y proximidad a los centros poblacionales. Los espacios verdes que presentan dimensiones mayores, formas geométricas más simples y que están interconectados mediante corredores verdes son biológicamente más efectivos para disminuir el riesgo de suicidio que los parches de vegetación pequeños y altamente fragmentados.</w:t>
      </w:r>
    </w:p>
    <w:p w14:paraId="69376D0B" w14:textId="286A276C" w:rsidR="00CD30B3" w:rsidRPr="00550A8E" w:rsidRDefault="00CD30B3" w:rsidP="000B2E2E">
      <w:pPr>
        <w:jc w:val="both"/>
        <w:rPr>
          <w:rFonts w:ascii="Century Gothic" w:hAnsi="Century Gothic" w:cs="Arial"/>
        </w:rPr>
      </w:pPr>
      <w:r w:rsidRPr="00550A8E">
        <w:rPr>
          <w:rFonts w:ascii="Century Gothic" w:hAnsi="Century Gothic" w:cs="Arial"/>
        </w:rPr>
        <w:t xml:space="preserve">La evidencia científica también expone patrones espaciales complejos y matices demográficos que los planificadores urbanos deben considerar. Las variaciones en la vulnerabilidad social generan "clústeres" o agrupaciones espaciales de riesgo suicida en ciertos vecindarios. La exposición y cercanía a "espacios azules" (cuerpos de agua integrados en el paisaje) y áreas priorizadas para la plantación de árboles reduce el riesgo de suicidio en un 17.9% y 15.1% respectivamente. Paradójicamente, una excesiva diversidad </w:t>
      </w:r>
      <w:r w:rsidRPr="00550A8E">
        <w:rPr>
          <w:rFonts w:ascii="Century Gothic" w:hAnsi="Century Gothic" w:cs="Arial"/>
        </w:rPr>
        <w:lastRenderedPageBreak/>
        <w:t>de cobertura del suelo, a menudo indicativa de una urbanización caótica y fragmentada, se ha vinculado con un aumento del 32.1% en el riesgo de suicidio. Desde una perspectiva demográfica, una revisión sistemática global de 23 estudios observó que, aunque los beneficios son universales, los efectos protectores del arbolado sobre la mortalidad por suicidio, los comportamientos suicidas y la ideación autolítica tienden a presentar asociaciones estadísticamente más fuertes en la población femenina frente a la masculina.</w:t>
      </w:r>
    </w:p>
    <w:p w14:paraId="235F4DC1"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Amortiguación Psicológica Durante Crisis y Pandemias Globales</w:t>
      </w:r>
    </w:p>
    <w:p w14:paraId="1A36A4A8"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El valor del bosque urbano como infraestructura de soporte psicológico se vuelve crítico durante eventos de crisis sistémica que amenazan la salud mental colectiva, tales como emergencias económicas o pandemias virales. Un análisis empírico realizado en Seúl, Corea del Sur, contrastó las tasas de suicidio y el uso de parques durante diferentes crisis epidemiológicas. Los resultados demostraron que, durante la pandemia de H1N1 en 2009, en la cual el número de casos fue extremadamente alto y la difusión nacional provocó shocks económicos severos, la existencia de amplios parques urbanos redujo significativamente las tasas de suicidio tanto en hombres como en mujeres. El rol del bosque urbano como mitigador se intensifica en escenarios de restricción de movilidad, ya que provee los únicos espacios seguros donde las comunidades pueden mantener la interacción social indispensable, realizar actividad física restauradora y evadir el confinamiento </w:t>
      </w:r>
      <w:proofErr w:type="spellStart"/>
      <w:r w:rsidRPr="00550A8E">
        <w:rPr>
          <w:rFonts w:ascii="Century Gothic" w:hAnsi="Century Gothic" w:cs="Arial"/>
        </w:rPr>
        <w:t>intra-domiciliario</w:t>
      </w:r>
      <w:proofErr w:type="spellEnd"/>
      <w:r w:rsidRPr="00550A8E">
        <w:rPr>
          <w:rFonts w:ascii="Century Gothic" w:hAnsi="Century Gothic" w:cs="Arial"/>
        </w:rPr>
        <w:t xml:space="preserve"> garantizando simultáneamente el distanciamiento físico requerido por los protocolos sanitarios.</w:t>
      </w:r>
    </w:p>
    <w:tbl>
      <w:tblPr>
        <w:tblStyle w:val="Tablaconcuadrcula"/>
        <w:tblW w:w="0" w:type="auto"/>
        <w:tblLook w:val="04A0" w:firstRow="1" w:lastRow="0" w:firstColumn="1" w:lastColumn="0" w:noHBand="0" w:noVBand="1"/>
      </w:tblPr>
      <w:tblGrid>
        <w:gridCol w:w="4414"/>
        <w:gridCol w:w="4414"/>
      </w:tblGrid>
      <w:tr w:rsidR="00CD30B3" w:rsidRPr="00550A8E" w14:paraId="2FD31563" w14:textId="77777777" w:rsidTr="00DA1F13">
        <w:tc>
          <w:tcPr>
            <w:tcW w:w="4414" w:type="dxa"/>
          </w:tcPr>
          <w:p w14:paraId="3D5775B5" w14:textId="77777777" w:rsidR="00CD30B3" w:rsidRPr="00550A8E" w:rsidRDefault="00CD30B3" w:rsidP="00DA1F13">
            <w:pPr>
              <w:jc w:val="both"/>
              <w:rPr>
                <w:rFonts w:ascii="Century Gothic" w:hAnsi="Century Gothic" w:cs="Arial"/>
              </w:rPr>
            </w:pPr>
            <w:r w:rsidRPr="00550A8E">
              <w:rPr>
                <w:rStyle w:val="Fuerte"/>
                <w:rFonts w:ascii="Century Gothic" w:hAnsi="Century Gothic" w:cs="Arial"/>
              </w:rPr>
              <w:t>Indicador de Salud Mental y Suicidio</w:t>
            </w:r>
          </w:p>
          <w:p w14:paraId="5F4B6ED4" w14:textId="77777777" w:rsidR="00CD30B3" w:rsidRPr="00550A8E" w:rsidRDefault="00CD30B3" w:rsidP="00DA1F13">
            <w:pPr>
              <w:jc w:val="both"/>
              <w:rPr>
                <w:rFonts w:ascii="Century Gothic" w:hAnsi="Century Gothic" w:cs="Arial"/>
              </w:rPr>
            </w:pPr>
          </w:p>
        </w:tc>
        <w:tc>
          <w:tcPr>
            <w:tcW w:w="4414" w:type="dxa"/>
          </w:tcPr>
          <w:p w14:paraId="6BE79F31" w14:textId="77777777" w:rsidR="00CD30B3" w:rsidRPr="00550A8E" w:rsidRDefault="00CD30B3" w:rsidP="00DA1F13">
            <w:pPr>
              <w:jc w:val="both"/>
              <w:rPr>
                <w:rFonts w:ascii="Century Gothic" w:hAnsi="Century Gothic" w:cs="Arial"/>
              </w:rPr>
            </w:pPr>
            <w:r w:rsidRPr="00550A8E">
              <w:rPr>
                <w:rFonts w:ascii="Century Gothic" w:hAnsi="Century Gothic" w:cs="Arial"/>
              </w:rPr>
              <w:t>Magnitud del Impacto de la Infraestructura Verde</w:t>
            </w:r>
          </w:p>
        </w:tc>
      </w:tr>
      <w:tr w:rsidR="00CD30B3" w:rsidRPr="00550A8E" w14:paraId="08DD0B6A" w14:textId="77777777" w:rsidTr="00DA1F13">
        <w:tc>
          <w:tcPr>
            <w:tcW w:w="4414" w:type="dxa"/>
          </w:tcPr>
          <w:p w14:paraId="4FE830BC" w14:textId="77777777" w:rsidR="00CD30B3" w:rsidRPr="00550A8E" w:rsidRDefault="00CD30B3" w:rsidP="00DA1F13">
            <w:pPr>
              <w:jc w:val="both"/>
              <w:rPr>
                <w:rFonts w:ascii="Century Gothic" w:hAnsi="Century Gothic" w:cs="Arial"/>
              </w:rPr>
            </w:pPr>
            <w:r w:rsidRPr="00550A8E">
              <w:rPr>
                <w:rFonts w:ascii="Century Gothic" w:hAnsi="Century Gothic" w:cs="Arial"/>
                <w:b/>
                <w:bCs/>
              </w:rPr>
              <w:t>Depresión Poblacional</w:t>
            </w:r>
          </w:p>
        </w:tc>
        <w:tc>
          <w:tcPr>
            <w:tcW w:w="4414" w:type="dxa"/>
          </w:tcPr>
          <w:p w14:paraId="19A277DD" w14:textId="77777777" w:rsidR="00CD30B3" w:rsidRPr="00550A8E" w:rsidRDefault="00CD30B3" w:rsidP="00DA1F13">
            <w:pPr>
              <w:jc w:val="both"/>
              <w:rPr>
                <w:rFonts w:ascii="Century Gothic" w:hAnsi="Century Gothic" w:cs="Arial"/>
              </w:rPr>
            </w:pPr>
            <w:r w:rsidRPr="00550A8E">
              <w:rPr>
                <w:rFonts w:ascii="Century Gothic" w:hAnsi="Century Gothic" w:cs="Arial"/>
              </w:rPr>
              <w:t>Incremento de la cobertura verde al 20% estima una reducción &gt;10% en prevalencia.</w:t>
            </w:r>
          </w:p>
        </w:tc>
      </w:tr>
      <w:tr w:rsidR="00CD30B3" w:rsidRPr="00550A8E" w14:paraId="21D22FC3" w14:textId="77777777" w:rsidTr="00DA1F13">
        <w:tc>
          <w:tcPr>
            <w:tcW w:w="4414" w:type="dxa"/>
          </w:tcPr>
          <w:p w14:paraId="230BA8D7" w14:textId="77777777" w:rsidR="00CD30B3" w:rsidRPr="00550A8E" w:rsidRDefault="00CD30B3" w:rsidP="00DA1F13">
            <w:pPr>
              <w:jc w:val="both"/>
              <w:rPr>
                <w:rFonts w:ascii="Century Gothic" w:hAnsi="Century Gothic" w:cs="Arial"/>
              </w:rPr>
            </w:pPr>
            <w:r w:rsidRPr="00550A8E">
              <w:rPr>
                <w:rFonts w:ascii="Century Gothic" w:hAnsi="Century Gothic" w:cs="Arial"/>
                <w:b/>
                <w:bCs/>
              </w:rPr>
              <w:t>Cuadros Clínicos Depresivos</w:t>
            </w:r>
          </w:p>
        </w:tc>
        <w:tc>
          <w:tcPr>
            <w:tcW w:w="4414" w:type="dxa"/>
          </w:tcPr>
          <w:p w14:paraId="115916F3" w14:textId="77777777" w:rsidR="00CD30B3" w:rsidRPr="00550A8E" w:rsidRDefault="00CD30B3" w:rsidP="00DA1F13">
            <w:pPr>
              <w:jc w:val="both"/>
              <w:rPr>
                <w:rFonts w:ascii="Century Gothic" w:hAnsi="Century Gothic" w:cs="Arial"/>
              </w:rPr>
            </w:pPr>
            <w:r w:rsidRPr="00550A8E">
              <w:rPr>
                <w:rFonts w:ascii="Century Gothic" w:hAnsi="Century Gothic" w:cs="Arial"/>
              </w:rPr>
              <w:t>Reducción estadísticamente significativa en escalas clínicas (MADRS de 21.4 a 7.1).</w:t>
            </w:r>
          </w:p>
        </w:tc>
      </w:tr>
      <w:tr w:rsidR="00CD30B3" w:rsidRPr="00550A8E" w14:paraId="01A13483" w14:textId="77777777" w:rsidTr="00DA1F13">
        <w:tc>
          <w:tcPr>
            <w:tcW w:w="4414" w:type="dxa"/>
          </w:tcPr>
          <w:p w14:paraId="177F0A42" w14:textId="77777777" w:rsidR="00CD30B3" w:rsidRPr="00550A8E" w:rsidRDefault="00CD30B3" w:rsidP="00DA1F13">
            <w:pPr>
              <w:jc w:val="both"/>
              <w:rPr>
                <w:rFonts w:ascii="Century Gothic" w:hAnsi="Century Gothic" w:cs="Arial"/>
              </w:rPr>
            </w:pPr>
            <w:r w:rsidRPr="00550A8E">
              <w:rPr>
                <w:rFonts w:ascii="Century Gothic" w:hAnsi="Century Gothic" w:cs="Arial"/>
                <w:b/>
                <w:bCs/>
              </w:rPr>
              <w:t>Consumo de Antidepresivos</w:t>
            </w:r>
          </w:p>
        </w:tc>
        <w:tc>
          <w:tcPr>
            <w:tcW w:w="4414" w:type="dxa"/>
          </w:tcPr>
          <w:p w14:paraId="7FB94536" w14:textId="77777777" w:rsidR="00CD30B3" w:rsidRPr="00550A8E" w:rsidRDefault="00CD30B3" w:rsidP="00DA1F13">
            <w:pPr>
              <w:jc w:val="both"/>
              <w:rPr>
                <w:rFonts w:ascii="Century Gothic" w:hAnsi="Century Gothic" w:cs="Arial"/>
              </w:rPr>
            </w:pPr>
            <w:r w:rsidRPr="00550A8E">
              <w:rPr>
                <w:rFonts w:ascii="Century Gothic" w:hAnsi="Century Gothic" w:cs="Arial"/>
              </w:rPr>
              <w:t>Tasas de prescripción farmacológica más bajas en distritos con alta densidad arbórea.</w:t>
            </w:r>
          </w:p>
        </w:tc>
      </w:tr>
      <w:tr w:rsidR="00CD30B3" w:rsidRPr="00550A8E" w14:paraId="34146CBA" w14:textId="77777777" w:rsidTr="00DA1F13">
        <w:tc>
          <w:tcPr>
            <w:tcW w:w="4414" w:type="dxa"/>
          </w:tcPr>
          <w:p w14:paraId="20683DDD" w14:textId="77777777" w:rsidR="00CD30B3" w:rsidRPr="00550A8E" w:rsidRDefault="00CD30B3" w:rsidP="00DA1F13">
            <w:pPr>
              <w:jc w:val="both"/>
              <w:rPr>
                <w:rFonts w:ascii="Century Gothic" w:hAnsi="Century Gothic" w:cs="Arial"/>
              </w:rPr>
            </w:pPr>
            <w:r w:rsidRPr="00550A8E">
              <w:rPr>
                <w:rFonts w:ascii="Century Gothic" w:hAnsi="Century Gothic" w:cs="Arial"/>
                <w:b/>
                <w:bCs/>
              </w:rPr>
              <w:lastRenderedPageBreak/>
              <w:t>Riesgo Global de Suicidio</w:t>
            </w:r>
          </w:p>
        </w:tc>
        <w:tc>
          <w:tcPr>
            <w:tcW w:w="4414" w:type="dxa"/>
          </w:tcPr>
          <w:p w14:paraId="5A1A0A92" w14:textId="77777777" w:rsidR="00CD30B3" w:rsidRPr="00550A8E" w:rsidRDefault="00CD30B3" w:rsidP="00DA1F13">
            <w:pPr>
              <w:jc w:val="both"/>
              <w:rPr>
                <w:rFonts w:ascii="Century Gothic" w:hAnsi="Century Gothic" w:cs="Arial"/>
              </w:rPr>
            </w:pPr>
            <w:r w:rsidRPr="00550A8E">
              <w:rPr>
                <w:rFonts w:ascii="Century Gothic" w:hAnsi="Century Gothic" w:cs="Arial"/>
              </w:rPr>
              <w:t>Incremento de NDVI reduce el riesgo relativo global de suicidio a 0.69.</w:t>
            </w:r>
          </w:p>
        </w:tc>
      </w:tr>
      <w:tr w:rsidR="00CD30B3" w:rsidRPr="00550A8E" w14:paraId="0D454BD4" w14:textId="77777777" w:rsidTr="00DA1F13">
        <w:tc>
          <w:tcPr>
            <w:tcW w:w="4414" w:type="dxa"/>
          </w:tcPr>
          <w:p w14:paraId="0E9BEA19" w14:textId="77777777" w:rsidR="00CD30B3" w:rsidRPr="00550A8E" w:rsidRDefault="00CD30B3" w:rsidP="00DA1F13">
            <w:pPr>
              <w:jc w:val="both"/>
              <w:rPr>
                <w:rFonts w:ascii="Century Gothic" w:hAnsi="Century Gothic" w:cs="Arial"/>
              </w:rPr>
            </w:pPr>
            <w:r w:rsidRPr="00550A8E">
              <w:rPr>
                <w:rFonts w:ascii="Century Gothic" w:hAnsi="Century Gothic" w:cs="Arial"/>
                <w:b/>
                <w:bCs/>
              </w:rPr>
              <w:t>Tasa Local de Suicidio</w:t>
            </w:r>
          </w:p>
        </w:tc>
        <w:tc>
          <w:tcPr>
            <w:tcW w:w="4414" w:type="dxa"/>
          </w:tcPr>
          <w:p w14:paraId="0E708259" w14:textId="77777777" w:rsidR="00CD30B3" w:rsidRPr="00550A8E" w:rsidRDefault="00CD30B3" w:rsidP="00DA1F13">
            <w:pPr>
              <w:jc w:val="both"/>
              <w:rPr>
                <w:rFonts w:ascii="Century Gothic" w:hAnsi="Century Gothic" w:cs="Arial"/>
              </w:rPr>
            </w:pPr>
            <w:r w:rsidRPr="00550A8E">
              <w:rPr>
                <w:rFonts w:ascii="Century Gothic" w:hAnsi="Century Gothic" w:cs="Arial"/>
              </w:rPr>
              <w:t>Aumento del 1% en cobertura verde correlaciona con una disminución del 0.2% en suicidios.</w:t>
            </w:r>
          </w:p>
        </w:tc>
      </w:tr>
      <w:tr w:rsidR="00CD30B3" w:rsidRPr="00550A8E" w14:paraId="2E03CC57" w14:textId="77777777" w:rsidTr="00DA1F13">
        <w:tc>
          <w:tcPr>
            <w:tcW w:w="4414" w:type="dxa"/>
          </w:tcPr>
          <w:p w14:paraId="367AC009" w14:textId="77777777" w:rsidR="00CD30B3" w:rsidRPr="00550A8E" w:rsidRDefault="00CD30B3" w:rsidP="00DA1F13">
            <w:pPr>
              <w:jc w:val="both"/>
              <w:rPr>
                <w:rFonts w:ascii="Century Gothic" w:hAnsi="Century Gothic" w:cs="Arial"/>
              </w:rPr>
            </w:pPr>
            <w:r w:rsidRPr="00550A8E">
              <w:rPr>
                <w:rFonts w:ascii="Century Gothic" w:hAnsi="Century Gothic" w:cs="Arial"/>
                <w:b/>
                <w:bCs/>
              </w:rPr>
              <w:t>Proximidad a "Espacios Azules"</w:t>
            </w:r>
          </w:p>
        </w:tc>
        <w:tc>
          <w:tcPr>
            <w:tcW w:w="4414" w:type="dxa"/>
          </w:tcPr>
          <w:p w14:paraId="1E25DFB4" w14:textId="77777777" w:rsidR="00CD30B3" w:rsidRPr="00550A8E" w:rsidRDefault="00CD30B3" w:rsidP="00DA1F13">
            <w:pPr>
              <w:jc w:val="both"/>
              <w:rPr>
                <w:rFonts w:ascii="Century Gothic" w:hAnsi="Century Gothic" w:cs="Arial"/>
              </w:rPr>
            </w:pPr>
            <w:r w:rsidRPr="00550A8E">
              <w:rPr>
                <w:rFonts w:ascii="Century Gothic" w:hAnsi="Century Gothic" w:cs="Arial"/>
              </w:rPr>
              <w:t>Reducción del riesgo de suicidio en un 17.9% en áreas adyacentes a ecosistemas hídricos.</w:t>
            </w:r>
          </w:p>
        </w:tc>
      </w:tr>
    </w:tbl>
    <w:p w14:paraId="38E38FE0" w14:textId="77777777" w:rsidR="00CD30B3" w:rsidRPr="00550A8E" w:rsidRDefault="00CD30B3">
      <w:pPr>
        <w:rPr>
          <w:rFonts w:ascii="Century Gothic" w:hAnsi="Century Gothic"/>
        </w:rPr>
      </w:pPr>
    </w:p>
    <w:p w14:paraId="6FB9C3DB"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Fisiología Clínica, Morbilidad y Salud Pública General</w:t>
      </w:r>
    </w:p>
    <w:p w14:paraId="449BA83D" w14:textId="77777777" w:rsidR="00CD30B3" w:rsidRPr="00550A8E" w:rsidRDefault="00CD30B3" w:rsidP="00CD30B3">
      <w:pPr>
        <w:jc w:val="both"/>
        <w:rPr>
          <w:rFonts w:ascii="Century Gothic" w:hAnsi="Century Gothic" w:cs="Arial"/>
        </w:rPr>
      </w:pPr>
      <w:r w:rsidRPr="00550A8E">
        <w:rPr>
          <w:rFonts w:ascii="Century Gothic" w:hAnsi="Century Gothic" w:cs="Arial"/>
        </w:rPr>
        <w:t>La silvicultura urbana influye en la biología humana más allá de los mecanismos psicológicos, interviniendo de forma cuantificable en la fisiología clínica, la recuperación de traumas físicos y la longevidad general de las poblaciones.</w:t>
      </w:r>
    </w:p>
    <w:p w14:paraId="2291F36B" w14:textId="77777777" w:rsidR="00CD30B3" w:rsidRPr="00550A8E" w:rsidRDefault="00CD30B3" w:rsidP="00CD30B3">
      <w:pPr>
        <w:jc w:val="both"/>
        <w:rPr>
          <w:rFonts w:ascii="Century Gothic" w:hAnsi="Century Gothic" w:cs="Arial"/>
        </w:rPr>
      </w:pPr>
      <w:r w:rsidRPr="00550A8E">
        <w:rPr>
          <w:rFonts w:ascii="Century Gothic" w:hAnsi="Century Gothic" w:cs="Arial"/>
        </w:rPr>
        <w:t>Estudios médicos longitudinales han asociado el aumento en la plantación de árboles y la densidad de copa con una disminución significativa en las tasas de mortalidad por enfermedades cardiovasculares y respiratorias crónicas. Este efecto cardioprotector se intensifica progresivamente a medida que los árboles envejecen y desarrollan un dosel maduro. A nivel fisiológico, las actividades recreativas pasivas en entornos verdes fortalecen la respuesta del sistema inmunológico humano.</w:t>
      </w:r>
    </w:p>
    <w:p w14:paraId="54341FBE" w14:textId="77777777" w:rsidR="00CD30B3" w:rsidRPr="00550A8E" w:rsidRDefault="00CD30B3" w:rsidP="00CD30B3">
      <w:pPr>
        <w:jc w:val="both"/>
        <w:rPr>
          <w:rFonts w:ascii="Century Gothic" w:hAnsi="Century Gothic" w:cs="Arial"/>
        </w:rPr>
      </w:pPr>
      <w:r w:rsidRPr="00550A8E">
        <w:rPr>
          <w:rFonts w:ascii="Century Gothic" w:hAnsi="Century Gothic" w:cs="Arial"/>
        </w:rPr>
        <w:t>El entorno clínico en sí mismo se ve transformado por la presencia botánica. Investigaciones fundacionales en diseño hospitalario han demostrado inequívocamente que los pacientes quirúrgicos cuyas habitaciones ofrecen vistas a paisajes arbolados experimentan tiempos de recuperación más cortos, reportan umbrales de dolor más altos y requieren significativamente menos analgésicos narcóticos que aquellos cuyas ventanas enfrentan paredes de ladrillo o asfalto. En poblaciones geriátricas, los programas estructurados de terapia de naturaleza reportan beneficios fisiológicos profundos, incluyendo la estabilización de signos vitales, una menor dependencia de medicamentos de mantenimiento y, de manera crucial, una reducción en la incidencia de caídas físicas debido a la mejora general de las habilidades motoras y atencionales.</w:t>
      </w:r>
    </w:p>
    <w:p w14:paraId="6EB2ADFD" w14:textId="77777777" w:rsidR="00CD30B3" w:rsidRPr="00550A8E" w:rsidRDefault="00CD30B3" w:rsidP="00CD30B3">
      <w:pPr>
        <w:jc w:val="both"/>
        <w:rPr>
          <w:rFonts w:ascii="Century Gothic" w:hAnsi="Century Gothic" w:cs="Arial"/>
        </w:rPr>
      </w:pPr>
      <w:r w:rsidRPr="00550A8E">
        <w:rPr>
          <w:rFonts w:ascii="Century Gothic" w:hAnsi="Century Gothic" w:cs="Arial"/>
        </w:rPr>
        <w:lastRenderedPageBreak/>
        <w:t>El impacto abarca todas las etapas del desarrollo humano. La densidad arbórea se correlaciona con pesos promedio al nacer más altos en las comunidades urbanas. En la población pediátrica, específicamente en niños diagnosticados con Trastorno por Déficit de Atención e Hiperactividad (TDAH), la exposición a entornos verdes reduce de manera consistente la sintomatología clínica. Cuando los menores realizan actividades en espacios naturales, en contraposición a entornos al aire libre construidos (como estacionamientos o patios de cemento), experimentan mejoras notables en sus capacidades de concentración y una merma en los comportamientos hiperactivos.</w:t>
      </w:r>
    </w:p>
    <w:p w14:paraId="71939E31" w14:textId="762CCF4E" w:rsidR="00CD30B3" w:rsidRPr="00550A8E" w:rsidRDefault="00CD30B3" w:rsidP="00CD30B3">
      <w:pPr>
        <w:jc w:val="both"/>
        <w:rPr>
          <w:rFonts w:ascii="Century Gothic" w:hAnsi="Century Gothic" w:cs="Arial"/>
        </w:rPr>
      </w:pPr>
      <w:r w:rsidRPr="00550A8E">
        <w:rPr>
          <w:rFonts w:ascii="Century Gothic" w:hAnsi="Century Gothic" w:cs="Arial"/>
        </w:rPr>
        <w:t>A nivel epidemiológico global, la conservación de grandes masas de bosques periurbanos e intactos lejos de los centros urbanos funciona como una barrera profiláctica primaria contra enfermedades infecciosas emergentes. Al mantener la biodiversidad y reducir la degradación del hábitat, los bosques limitan las oportunidades de transmisión (</w:t>
      </w:r>
      <w:proofErr w:type="spellStart"/>
      <w:r w:rsidRPr="00550A8E">
        <w:rPr>
          <w:rFonts w:ascii="Century Gothic" w:hAnsi="Century Gothic" w:cs="Arial"/>
        </w:rPr>
        <w:t>spillover</w:t>
      </w:r>
      <w:proofErr w:type="spellEnd"/>
      <w:r w:rsidRPr="00550A8E">
        <w:rPr>
          <w:rFonts w:ascii="Century Gothic" w:hAnsi="Century Gothic" w:cs="Arial"/>
        </w:rPr>
        <w:t>) de patógenos virales y bacterianos desde los animales huéspedes hacia las poblaciones humanas, atenuando el riesgo de enfermedades infecciosas transmitidas por vectores como la malaria, el Zika o nuevos patógenos respiratorios.</w:t>
      </w:r>
    </w:p>
    <w:p w14:paraId="6D464AC6" w14:textId="77777777" w:rsidR="000B2E2E" w:rsidRDefault="000B2E2E" w:rsidP="00CD30B3">
      <w:pPr>
        <w:jc w:val="both"/>
        <w:rPr>
          <w:rFonts w:ascii="Century Gothic" w:hAnsi="Century Gothic" w:cs="Arial"/>
        </w:rPr>
      </w:pPr>
    </w:p>
    <w:p w14:paraId="4F07530B" w14:textId="77777777" w:rsidR="00550A8E" w:rsidRPr="00550A8E" w:rsidRDefault="00550A8E" w:rsidP="00CD30B3">
      <w:pPr>
        <w:jc w:val="both"/>
        <w:rPr>
          <w:rFonts w:ascii="Century Gothic" w:hAnsi="Century Gothic" w:cs="Arial"/>
        </w:rPr>
      </w:pPr>
    </w:p>
    <w:p w14:paraId="2EE8586A" w14:textId="31C37E51" w:rsidR="00CD30B3" w:rsidRPr="00550A8E" w:rsidRDefault="00CD30B3" w:rsidP="00CD30B3">
      <w:pPr>
        <w:jc w:val="both"/>
        <w:rPr>
          <w:rFonts w:ascii="Century Gothic" w:hAnsi="Century Gothic" w:cs="Arial"/>
          <w:b/>
          <w:bCs/>
        </w:rPr>
      </w:pPr>
      <w:r w:rsidRPr="00550A8E">
        <w:rPr>
          <w:rFonts w:ascii="Century Gothic" w:hAnsi="Century Gothic" w:cs="Arial"/>
          <w:b/>
          <w:bCs/>
        </w:rPr>
        <w:t>Agua</w:t>
      </w:r>
    </w:p>
    <w:p w14:paraId="7E2A2398" w14:textId="425E18C0" w:rsidR="00CD30B3" w:rsidRPr="00550A8E" w:rsidRDefault="00CD30B3" w:rsidP="00CD30B3">
      <w:pPr>
        <w:jc w:val="both"/>
        <w:rPr>
          <w:rFonts w:ascii="Century Gothic" w:hAnsi="Century Gothic" w:cs="Arial"/>
          <w:b/>
          <w:bCs/>
        </w:rPr>
      </w:pPr>
      <w:r w:rsidRPr="00550A8E">
        <w:rPr>
          <w:rFonts w:ascii="Century Gothic" w:hAnsi="Century Gothic" w:cs="Arial"/>
          <w:b/>
          <w:bCs/>
        </w:rPr>
        <w:t>Gestión Hídrica, Resiliencia de Cuencas y Ciclos Globales de Agua</w:t>
      </w:r>
    </w:p>
    <w:p w14:paraId="31A48C0F" w14:textId="77777777" w:rsidR="00CD30B3" w:rsidRPr="00550A8E" w:rsidRDefault="00CD30B3" w:rsidP="00CD30B3">
      <w:pPr>
        <w:jc w:val="both"/>
        <w:rPr>
          <w:rFonts w:ascii="Century Gothic" w:hAnsi="Century Gothic" w:cs="Arial"/>
        </w:rPr>
      </w:pPr>
      <w:r w:rsidRPr="00550A8E">
        <w:rPr>
          <w:rFonts w:ascii="Century Gothic" w:hAnsi="Century Gothic" w:cs="Arial"/>
        </w:rPr>
        <w:t>La metástasis de la urbanización se caracteriza fundamentalmente por la proliferación de superficies impermeables masivas, lo que perturba radicalmente el delicado equilibrio del ciclo hidrológico natural. El asfalto impide la infiltración del agua en los perfiles del suelo, provocando aumentos exponenciales en los volúmenes y velocidades de escorrentía superficial. Esto somete a las infraestructuras de alcantarillado gris a sobrecargas catastróficas durante tormentas, generando inundaciones urbanas destructivas y transportando toneladas de contaminantes hacia las cuencas acuíferas adyacentes. La gestión hídrica provista por la silvicultura urbana soluciona estas problemáticas a múltiples escalas concurrentes.</w:t>
      </w:r>
    </w:p>
    <w:p w14:paraId="109DEF72"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Intercepción Pluvial, Infiltración y Modulación del Escurrimiento</w:t>
      </w:r>
    </w:p>
    <w:p w14:paraId="15F7B3A5" w14:textId="77777777" w:rsidR="00CD30B3" w:rsidRPr="00550A8E" w:rsidRDefault="00CD30B3" w:rsidP="00CD30B3">
      <w:pPr>
        <w:jc w:val="both"/>
        <w:rPr>
          <w:rFonts w:ascii="Century Gothic" w:hAnsi="Century Gothic" w:cs="Arial"/>
        </w:rPr>
      </w:pPr>
      <w:r w:rsidRPr="00550A8E">
        <w:rPr>
          <w:rFonts w:ascii="Century Gothic" w:hAnsi="Century Gothic" w:cs="Arial"/>
        </w:rPr>
        <w:lastRenderedPageBreak/>
        <w:t xml:space="preserve">A nivel </w:t>
      </w:r>
      <w:proofErr w:type="spellStart"/>
      <w:r w:rsidRPr="00550A8E">
        <w:rPr>
          <w:rFonts w:ascii="Century Gothic" w:hAnsi="Century Gothic" w:cs="Arial"/>
        </w:rPr>
        <w:t>microhidrológico</w:t>
      </w:r>
      <w:proofErr w:type="spellEnd"/>
      <w:r w:rsidRPr="00550A8E">
        <w:rPr>
          <w:rFonts w:ascii="Century Gothic" w:hAnsi="Century Gothic" w:cs="Arial"/>
        </w:rPr>
        <w:t>, cada árbol maduro actúa como una prodigiosa esponja biológica de ingeniería natural. La inmensa superficie tridimensional creada por la arquitectura foliar, el ramaje y la textura de la corteza intercepta la precipitación pluviométrica mucho antes de que golpee el suelo. Esta intercepción dispersa eficazmente la energía cinética de las gotas de lluvia, mitigando casi por completo la compactación y erosión de las capas superiores del sustrato. Un solo árbol urbano de tamaño promedio es capaz de interceptar, almacenar temporalmente y evaporar más de 100 galones de agua por cada evento de tormenta severo. Ciertas especies maduras con follaje denso o de hoja perenne exhiben capacidades aún más formidables, llegando a interceptar más de 15,000 litros de agua a lo largo de un ciclo hidrológico anual.</w:t>
      </w:r>
    </w:p>
    <w:p w14:paraId="5AB38281"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Cuando esta capacidad fisiológica se integra sinérgicamente con diseños contemporáneos de infraestructura verde de bajo impacto, tales como zonas de biorretención, tejados verdes, pavimentos porosos y </w:t>
      </w:r>
      <w:proofErr w:type="spellStart"/>
      <w:r w:rsidRPr="00550A8E">
        <w:rPr>
          <w:rFonts w:ascii="Century Gothic" w:hAnsi="Century Gothic" w:cs="Arial"/>
        </w:rPr>
        <w:t>bioswales</w:t>
      </w:r>
      <w:proofErr w:type="spellEnd"/>
      <w:r w:rsidRPr="00550A8E">
        <w:rPr>
          <w:rFonts w:ascii="Century Gothic" w:hAnsi="Century Gothic" w:cs="Arial"/>
        </w:rPr>
        <w:t>, la cobertura arbórea de un distrito puede abatir los volúmenes totales de escorrentía de aguas pluviales hasta en un 65%. Modelos predictivos han calculado que, por cada 5% incremental de área que se añada a la cobertura del dosel urbano total de una ciudad, el flujo global de escorrentía superficial decae matemáticamente en un 2%. Esta retención y liberación controlada alivia monumentalmente la presión física sobre la red municipal subterránea de aguas pluviales, reduciendo los riesgos de inundación de infraestructura y viviendas, así como minimizando significativamente los enormes costos energéticos asociados al tratamiento de aguas de tormenta en plantas depuradoras.</w:t>
      </w:r>
    </w:p>
    <w:p w14:paraId="33A2663B"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Filtración Bioquímica de Toxinas y Preservación de Acuíferos Subterráneos</w:t>
      </w:r>
    </w:p>
    <w:p w14:paraId="7838B754"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La escorrentía en zonas urbanizadas no es simplemente agua; es un cóctel tóxico que arrastra grandes concentraciones de metales pesados, compuestos </w:t>
      </w:r>
      <w:proofErr w:type="spellStart"/>
      <w:r w:rsidRPr="00550A8E">
        <w:rPr>
          <w:rFonts w:ascii="Century Gothic" w:hAnsi="Century Gothic" w:cs="Arial"/>
        </w:rPr>
        <w:t>hidrocarbúricos</w:t>
      </w:r>
      <w:proofErr w:type="spellEnd"/>
      <w:r w:rsidRPr="00550A8E">
        <w:rPr>
          <w:rFonts w:ascii="Century Gothic" w:hAnsi="Century Gothic" w:cs="Arial"/>
        </w:rPr>
        <w:t xml:space="preserve"> persistentes, pesticidas, residuos de fertilizantes y material particulado derivado del desgaste abrasivo de los frenos, los neumáticos de automóviles y la lixiviación del pavimento. Los ecosistemas forestales urbanos y periurbanos funcionan como plantas purificadoras y </w:t>
      </w:r>
      <w:proofErr w:type="spellStart"/>
      <w:r w:rsidRPr="00550A8E">
        <w:rPr>
          <w:rFonts w:ascii="Century Gothic" w:hAnsi="Century Gothic" w:cs="Arial"/>
        </w:rPr>
        <w:t>biorremediadoras</w:t>
      </w:r>
      <w:proofErr w:type="spellEnd"/>
      <w:r w:rsidRPr="00550A8E">
        <w:rPr>
          <w:rFonts w:ascii="Century Gothic" w:hAnsi="Century Gothic" w:cs="Arial"/>
        </w:rPr>
        <w:t xml:space="preserve"> de alta eficiencia. Más del 47% de los contaminantes de superficie depositados logran ser removidos o inmovilizados químicamente por la biomasa edáfica y los sistemas de raíces de los árboles durante </w:t>
      </w:r>
      <w:r w:rsidRPr="00550A8E">
        <w:rPr>
          <w:rFonts w:ascii="Century Gothic" w:hAnsi="Century Gothic" w:cs="Arial"/>
        </w:rPr>
        <w:lastRenderedPageBreak/>
        <w:t>apenas los primeros 15 minutos de la fase inicial de lavado (</w:t>
      </w:r>
      <w:proofErr w:type="spellStart"/>
      <w:r w:rsidRPr="00550A8E">
        <w:rPr>
          <w:rFonts w:ascii="Century Gothic" w:hAnsi="Century Gothic" w:cs="Arial"/>
        </w:rPr>
        <w:t>first</w:t>
      </w:r>
      <w:proofErr w:type="spellEnd"/>
      <w:r w:rsidRPr="00550A8E">
        <w:rPr>
          <w:rFonts w:ascii="Century Gothic" w:hAnsi="Century Gothic" w:cs="Arial"/>
        </w:rPr>
        <w:t xml:space="preserve"> </w:t>
      </w:r>
      <w:proofErr w:type="spellStart"/>
      <w:r w:rsidRPr="00550A8E">
        <w:rPr>
          <w:rFonts w:ascii="Century Gothic" w:hAnsi="Century Gothic" w:cs="Arial"/>
        </w:rPr>
        <w:t>flush</w:t>
      </w:r>
      <w:proofErr w:type="spellEnd"/>
      <w:r w:rsidRPr="00550A8E">
        <w:rPr>
          <w:rFonts w:ascii="Century Gothic" w:hAnsi="Century Gothic" w:cs="Arial"/>
        </w:rPr>
        <w:t>) de un evento de tormenta.</w:t>
      </w:r>
    </w:p>
    <w:p w14:paraId="32DDFFD0"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De igual importancia es la conservación mecánica de los suelos. Los densos sistemas radiculares retienen la estructura edáfica con firmeza, evitando que </w:t>
      </w:r>
      <w:proofErr w:type="gramStart"/>
      <w:r w:rsidRPr="00550A8E">
        <w:rPr>
          <w:rFonts w:ascii="Century Gothic" w:hAnsi="Century Gothic" w:cs="Arial"/>
        </w:rPr>
        <w:t>un promedio estimado de 11,000 toneladas de suelo fértil superficial sean</w:t>
      </w:r>
      <w:proofErr w:type="gramEnd"/>
      <w:r w:rsidRPr="00550A8E">
        <w:rPr>
          <w:rFonts w:ascii="Century Gothic" w:hAnsi="Century Gothic" w:cs="Arial"/>
        </w:rPr>
        <w:t xml:space="preserve"> arrastradas anualmente hacia los ríos y embalses hídricos en una ciudad de dimensiones medias. Esta prevención de la sedimentación resulta vital para abaratar sustancialmente las operaciones de dragado y purificación que realizan las empresas municipales de agua potable.</w:t>
      </w:r>
    </w:p>
    <w:p w14:paraId="0E573ABF" w14:textId="4D59ADE9" w:rsidR="00CD30B3" w:rsidRDefault="00CD30B3" w:rsidP="00B60AFB">
      <w:pPr>
        <w:jc w:val="both"/>
        <w:rPr>
          <w:rFonts w:ascii="Century Gothic" w:hAnsi="Century Gothic" w:cs="Arial"/>
        </w:rPr>
      </w:pPr>
      <w:r w:rsidRPr="00550A8E">
        <w:rPr>
          <w:rFonts w:ascii="Century Gothic" w:hAnsi="Century Gothic" w:cs="Arial"/>
        </w:rPr>
        <w:t xml:space="preserve">Las implicaciones prácticas de estas dinámicas se ilustran de manera excelente en análisis de casos regionales. En Aguascalientes, México, los estudios justificativos para la protección de áreas periurbanas como el Bosque de Cobos-Parga subrayan el potencial hidrológico de estas reservas. Con una precipitación media anual regional de 530 mm, las 176.6 hectáreas de esta reserva forestal ostentan un potencial de captación hidrológica de hasta 935,980 metros cúbicos de agua anualmente. La presencia de suelos del tipo </w:t>
      </w:r>
      <w:proofErr w:type="spellStart"/>
      <w:r w:rsidRPr="00550A8E">
        <w:rPr>
          <w:rFonts w:ascii="Century Gothic" w:hAnsi="Century Gothic" w:cs="Arial"/>
        </w:rPr>
        <w:t>Feozem</w:t>
      </w:r>
      <w:proofErr w:type="spellEnd"/>
      <w:r w:rsidRPr="00550A8E">
        <w:rPr>
          <w:rFonts w:ascii="Century Gothic" w:hAnsi="Century Gothic" w:cs="Arial"/>
        </w:rPr>
        <w:t>, sumamente ricos en materia orgánica, y la cobertura total de vegetación aseguran una tasa nula de erosión, garantizando la infiltración profunda hacia los acuíferos subterráneos de los cuales depende la sustentabilidad a largo plazo de la capital estatal.</w:t>
      </w:r>
    </w:p>
    <w:p w14:paraId="77525CEC" w14:textId="77777777" w:rsidR="00550A8E" w:rsidRDefault="00550A8E" w:rsidP="00B60AFB">
      <w:pPr>
        <w:jc w:val="both"/>
        <w:rPr>
          <w:rFonts w:ascii="Century Gothic" w:hAnsi="Century Gothic" w:cs="Arial"/>
        </w:rPr>
      </w:pPr>
    </w:p>
    <w:p w14:paraId="488ECBBC" w14:textId="77777777" w:rsidR="00550A8E" w:rsidRPr="00550A8E" w:rsidRDefault="00550A8E" w:rsidP="00B60AFB">
      <w:pPr>
        <w:jc w:val="both"/>
        <w:rPr>
          <w:rFonts w:ascii="Century Gothic" w:hAnsi="Century Gothic" w:cs="Arial"/>
        </w:rPr>
      </w:pPr>
    </w:p>
    <w:p w14:paraId="4F15596D" w14:textId="4F10AA14" w:rsidR="00953EE4" w:rsidRPr="00550A8E" w:rsidRDefault="00953EE4" w:rsidP="00953EE4">
      <w:pPr>
        <w:rPr>
          <w:rFonts w:ascii="Century Gothic" w:hAnsi="Century Gothic" w:cs="Arial"/>
          <w:b/>
          <w:bCs/>
        </w:rPr>
      </w:pPr>
      <w:r w:rsidRPr="00550A8E">
        <w:rPr>
          <w:rFonts w:ascii="Century Gothic" w:hAnsi="Century Gothic" w:cs="Arial"/>
          <w:b/>
          <w:bCs/>
        </w:rPr>
        <w:t>Sistema de captación pluvial</w:t>
      </w:r>
    </w:p>
    <w:p w14:paraId="011496F3" w14:textId="77777777" w:rsidR="00953EE4" w:rsidRPr="00550A8E" w:rsidRDefault="00953EE4" w:rsidP="00953EE4">
      <w:pPr>
        <w:jc w:val="both"/>
        <w:rPr>
          <w:rFonts w:ascii="Century Gothic" w:hAnsi="Century Gothic" w:cs="Arial"/>
        </w:rPr>
      </w:pPr>
      <w:r w:rsidRPr="00550A8E">
        <w:rPr>
          <w:rFonts w:ascii="Century Gothic" w:hAnsi="Century Gothic" w:cs="Arial"/>
        </w:rPr>
        <w:t>Aguascalientes no enfrenta un problema hídrico coyuntural. Enfrenta una crisis estructural cuya magnitud trasciende la capacidad de respuesta de cualquier medida aislada. El acuífero principal del que depende más del 70% del abastecimiento de agua potable de la capital lleva décadas en condición de sobreexplotación documentada: el volumen de extracción supera consistentemente al volumen de recarga natural, generando un déficit acumulativo que se profundiza cada año. A este factor se suma la expansión acelerada de superficies impermeables —asfalto, concreto, techos convencionales— que impiden que el agua de lluvia se infiltre hacia los mantos freáticos, interrumpiendo el ciclo de recarga natural que durante siglos equilibró el sistema.</w:t>
      </w:r>
    </w:p>
    <w:p w14:paraId="0DEF8E6B" w14:textId="77777777" w:rsidR="00953EE4" w:rsidRPr="00550A8E" w:rsidRDefault="00953EE4" w:rsidP="00953EE4">
      <w:pPr>
        <w:jc w:val="both"/>
        <w:rPr>
          <w:rFonts w:ascii="Century Gothic" w:hAnsi="Century Gothic" w:cs="Arial"/>
        </w:rPr>
      </w:pPr>
      <w:r w:rsidRPr="00550A8E">
        <w:rPr>
          <w:rFonts w:ascii="Century Gothic" w:hAnsi="Century Gothic" w:cs="Arial"/>
        </w:rPr>
        <w:lastRenderedPageBreak/>
        <w:t>El resultado de esta combinación es una paradoja urbana que los aguascalentenses conocen desde la experiencia cotidiana: una ciudad que recibe lluvias de temporada suficientemente abundantes, pero que no las aprovecha. El agua cae, se convierte en escorrentía superficial, colapsa el drenaje, inunda calles y desaparece hacia los cauces sin haber servido a ningún propósito productivo. Simultáneamente, colonias enteras de la periferia soportan cortes de agua de varios días a la semana, y los organismos operadores destinan recursos crecientes a la extracción de aguas cada vez más profundas del subsuelo para compensar la caída en los niveles freáticos.</w:t>
      </w:r>
    </w:p>
    <w:p w14:paraId="3A3763CF" w14:textId="77777777" w:rsidR="00953EE4" w:rsidRPr="00550A8E" w:rsidRDefault="00953EE4" w:rsidP="00953EE4">
      <w:pPr>
        <w:jc w:val="both"/>
        <w:rPr>
          <w:rFonts w:ascii="Century Gothic" w:hAnsi="Century Gothic" w:cs="Arial"/>
        </w:rPr>
      </w:pPr>
      <w:r w:rsidRPr="00550A8E">
        <w:rPr>
          <w:rFonts w:ascii="Century Gothic" w:hAnsi="Century Gothic" w:cs="Arial"/>
        </w:rPr>
        <w:t>El Sistema de Captación Pluvial Integrado del Bosque Urbano Productivo no pretende resolver esta crisis por sí solo. Pretende demostrar, con instalaciones concretas y medibles en colonias concretas, que existe una alternativa técnica viable, de bajo costo y replicable masivamente que puede comenzar a revertir la lógica de desperdicio que hoy caracteriza la relación de la ciudad con su propio régimen pluviométrico.</w:t>
      </w:r>
    </w:p>
    <w:p w14:paraId="07F6579E" w14:textId="77777777" w:rsidR="00CD30B3" w:rsidRPr="00550A8E" w:rsidRDefault="00CD30B3">
      <w:pPr>
        <w:rPr>
          <w:rFonts w:ascii="Century Gothic" w:hAnsi="Century Gothic"/>
        </w:rPr>
      </w:pPr>
    </w:p>
    <w:p w14:paraId="671C3D18" w14:textId="77777777" w:rsidR="00CD30B3" w:rsidRPr="00550A8E" w:rsidRDefault="00CD30B3">
      <w:pPr>
        <w:rPr>
          <w:rFonts w:ascii="Century Gothic" w:hAnsi="Century Gothic"/>
        </w:rPr>
      </w:pPr>
    </w:p>
    <w:p w14:paraId="359AE7D3" w14:textId="77777777" w:rsidR="00CD30B3" w:rsidRPr="00550A8E" w:rsidRDefault="00CD30B3">
      <w:pPr>
        <w:rPr>
          <w:rFonts w:ascii="Century Gothic" w:hAnsi="Century Gothic"/>
        </w:rPr>
      </w:pPr>
    </w:p>
    <w:p w14:paraId="5EE2FA39" w14:textId="77777777" w:rsidR="00CD30B3" w:rsidRPr="00550A8E" w:rsidRDefault="00CD30B3">
      <w:pPr>
        <w:rPr>
          <w:rFonts w:ascii="Century Gothic" w:hAnsi="Century Gothic"/>
        </w:rPr>
      </w:pPr>
    </w:p>
    <w:p w14:paraId="5FC17391" w14:textId="77777777" w:rsidR="00550A8E" w:rsidRPr="00550A8E" w:rsidRDefault="00550A8E">
      <w:pPr>
        <w:rPr>
          <w:rFonts w:ascii="Century Gothic" w:hAnsi="Century Gothic"/>
        </w:rPr>
      </w:pPr>
    </w:p>
    <w:p w14:paraId="38116453" w14:textId="77777777" w:rsidR="00CD30B3" w:rsidRPr="00550A8E" w:rsidRDefault="00CD30B3">
      <w:pPr>
        <w:rPr>
          <w:rFonts w:ascii="Century Gothic" w:hAnsi="Century Gothic"/>
        </w:rPr>
      </w:pPr>
    </w:p>
    <w:p w14:paraId="0B5852B4" w14:textId="77777777" w:rsidR="00CD30B3" w:rsidRPr="00550A8E" w:rsidRDefault="00CD30B3">
      <w:pPr>
        <w:rPr>
          <w:rFonts w:ascii="Century Gothic" w:hAnsi="Century Gothic"/>
        </w:rPr>
      </w:pPr>
    </w:p>
    <w:p w14:paraId="056831CC" w14:textId="5ED3F4DF" w:rsidR="00CD30B3" w:rsidRPr="00550A8E" w:rsidRDefault="00CD30B3" w:rsidP="00CD30B3">
      <w:pPr>
        <w:jc w:val="both"/>
        <w:rPr>
          <w:rFonts w:ascii="Century Gothic" w:hAnsi="Century Gothic" w:cs="Arial"/>
          <w:b/>
          <w:bCs/>
        </w:rPr>
      </w:pPr>
      <w:r w:rsidRPr="00550A8E">
        <w:rPr>
          <w:rFonts w:ascii="Century Gothic" w:hAnsi="Century Gothic" w:cs="Arial"/>
          <w:b/>
          <w:bCs/>
        </w:rPr>
        <w:t xml:space="preserve">Medio ambiente </w:t>
      </w:r>
    </w:p>
    <w:p w14:paraId="1E7620BC" w14:textId="2B2D56D0" w:rsidR="00CD30B3" w:rsidRPr="00550A8E" w:rsidRDefault="00CD30B3" w:rsidP="00CD30B3">
      <w:pPr>
        <w:jc w:val="both"/>
        <w:rPr>
          <w:rFonts w:ascii="Century Gothic" w:hAnsi="Century Gothic" w:cs="Arial"/>
          <w:b/>
          <w:bCs/>
        </w:rPr>
      </w:pPr>
      <w:r w:rsidRPr="00550A8E">
        <w:rPr>
          <w:rFonts w:ascii="Century Gothic" w:hAnsi="Century Gothic" w:cs="Arial"/>
          <w:b/>
          <w:bCs/>
        </w:rPr>
        <w:t>Ríos Voladores, Régimen Pluviométrico y Ciclos Globales</w:t>
      </w:r>
    </w:p>
    <w:p w14:paraId="34D293DB"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Desde una perspectiva sistémica a macroescala, la íntima interconexión entre las vastas zonas forestales adyacentes a los continentes y las ciudades dependientes es dictaminada por la humedad atmosférica. Los bosques, tanto </w:t>
      </w:r>
      <w:proofErr w:type="gramStart"/>
      <w:r w:rsidRPr="00550A8E">
        <w:rPr>
          <w:rFonts w:ascii="Century Gothic" w:hAnsi="Century Gothic" w:cs="Arial"/>
        </w:rPr>
        <w:t>urbanos</w:t>
      </w:r>
      <w:proofErr w:type="gramEnd"/>
      <w:r w:rsidRPr="00550A8E">
        <w:rPr>
          <w:rFonts w:ascii="Century Gothic" w:hAnsi="Century Gothic" w:cs="Arial"/>
        </w:rPr>
        <w:t xml:space="preserve"> pero primordialmente las selvas nativas maduras lejanas a las </w:t>
      </w:r>
      <w:proofErr w:type="gramStart"/>
      <w:r w:rsidRPr="00550A8E">
        <w:rPr>
          <w:rFonts w:ascii="Century Gothic" w:hAnsi="Century Gothic" w:cs="Arial"/>
        </w:rPr>
        <w:t>ciudades,</w:t>
      </w:r>
      <w:proofErr w:type="gramEnd"/>
      <w:r w:rsidRPr="00550A8E">
        <w:rPr>
          <w:rFonts w:ascii="Century Gothic" w:hAnsi="Century Gothic" w:cs="Arial"/>
        </w:rPr>
        <w:t xml:space="preserve"> promueven un volumen de evaporación y transpiración inmenso. Este portentoso fenómeno biológico de evapotranspiración forestal funciona como una gigantesca bomba hidráulica termodinámica, elevando cantidades astronómicas de vapor de agua hacia la atmósfera </w:t>
      </w:r>
      <w:r w:rsidRPr="00550A8E">
        <w:rPr>
          <w:rFonts w:ascii="Century Gothic" w:hAnsi="Century Gothic" w:cs="Arial"/>
        </w:rPr>
        <w:lastRenderedPageBreak/>
        <w:t>para formar corrientes aéreas colosales conocidas coloquialmente como "ríos voladores". Estas corrientes atmosféricas masivas transportan y modulan la distribución de las precipitaciones a nivel mundial, garantizando que el régimen pluviométrico permanezca predecible y proveyendo un blindaje natural invaluable para los grandes centros metropolitanos frente al espectro de sequías paralizantes.</w:t>
      </w:r>
    </w:p>
    <w:p w14:paraId="0D7EFDF2"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Regulación Ecológica, Climatología Urbana y Conservación de Biodiversidad</w:t>
      </w:r>
    </w:p>
    <w:p w14:paraId="5BE0E808"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Las alteraciones térmicas y gaseosas originadas por la extrema concentración demográfica y el </w:t>
      </w:r>
      <w:proofErr w:type="spellStart"/>
      <w:r w:rsidRPr="00550A8E">
        <w:rPr>
          <w:rFonts w:ascii="Century Gothic" w:hAnsi="Century Gothic" w:cs="Arial"/>
        </w:rPr>
        <w:t>hiperconsumismo</w:t>
      </w:r>
      <w:proofErr w:type="spellEnd"/>
      <w:r w:rsidRPr="00550A8E">
        <w:rPr>
          <w:rFonts w:ascii="Century Gothic" w:hAnsi="Century Gothic" w:cs="Arial"/>
        </w:rPr>
        <w:t xml:space="preserve"> industrial han derivado en urbes ahogadas crónicamente bajo domos de polución fotoquímica y temperaturas asfixiantes. En el contexto de un clima global cada vez más volátil, el bosque urbano no opera solamente como una red botánica estética, sino como el principal tejido resiliente, reparador y regenerativo de la biósfera citadina.</w:t>
      </w:r>
    </w:p>
    <w:p w14:paraId="5E3260CF"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El Efecto de Isla de Calor Urbana (UHI) y Regulación Termodinámica</w:t>
      </w:r>
    </w:p>
    <w:p w14:paraId="4DB8C03D"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Las masas de hormigón, vidrio, acero y asfalto oscuro que dominan la arquitectura contemporánea poseen una altísima inercia térmica; absorben volúmenes masivos de radiación solar directa durante el día y </w:t>
      </w:r>
      <w:proofErr w:type="spellStart"/>
      <w:r w:rsidRPr="00550A8E">
        <w:rPr>
          <w:rFonts w:ascii="Century Gothic" w:hAnsi="Century Gothic" w:cs="Arial"/>
        </w:rPr>
        <w:t>reirradian</w:t>
      </w:r>
      <w:proofErr w:type="spellEnd"/>
      <w:r w:rsidRPr="00550A8E">
        <w:rPr>
          <w:rFonts w:ascii="Century Gothic" w:hAnsi="Century Gothic" w:cs="Arial"/>
        </w:rPr>
        <w:t xml:space="preserve"> este calor aprisionado lentamente a lo largo de las horas nocturnas. Esta disfunción crea el temido efecto de "isla de calor urbana", en el cual las temperaturas de las superficies artificiales dentro de los distritos céntricos pueden dispararse asombrosamente, siendo entre 20 y 40 grados Fahrenheit más calientes que las superficies naturales reflectantes ubicadas en los perímetros rurales colindantes.</w:t>
      </w:r>
    </w:p>
    <w:p w14:paraId="43B3B23C"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Los árboles intervienen para abatir este exceso térmico mediante dos mecanismos físicos sinérgicos. El primer mecanismo es el sombreado directo u oscurecimiento, donde el dosel arbóreo intercepta y refleja la radiación electromagnética de onda corta del sol antes de que impacte y sobrecaliente las superficies pavimentadas inferiores. El segundo, y más poderoso mecanismo, es el enfriamiento evaporativo activo producto de la transpiración latente. A través de la absorción radicular de aguas subterráneas y la subsiguiente liberación microscópica de vapor de agua a través de </w:t>
      </w:r>
      <w:proofErr w:type="gramStart"/>
      <w:r w:rsidRPr="00550A8E">
        <w:rPr>
          <w:rFonts w:ascii="Century Gothic" w:hAnsi="Century Gothic" w:cs="Arial"/>
        </w:rPr>
        <w:t>los estomas foliares</w:t>
      </w:r>
      <w:proofErr w:type="gramEnd"/>
      <w:r w:rsidRPr="00550A8E">
        <w:rPr>
          <w:rFonts w:ascii="Century Gothic" w:hAnsi="Century Gothic" w:cs="Arial"/>
        </w:rPr>
        <w:t>, el árbol extrae calor sensible del aire circundante, transformándolo en energía latente.</w:t>
      </w:r>
    </w:p>
    <w:p w14:paraId="5FC98BF9" w14:textId="77777777" w:rsidR="00CD30B3" w:rsidRPr="00550A8E" w:rsidRDefault="00CD30B3" w:rsidP="00CD30B3">
      <w:pPr>
        <w:jc w:val="both"/>
        <w:rPr>
          <w:rFonts w:ascii="Century Gothic" w:hAnsi="Century Gothic" w:cs="Arial"/>
        </w:rPr>
      </w:pPr>
      <w:r w:rsidRPr="00550A8E">
        <w:rPr>
          <w:rFonts w:ascii="Century Gothic" w:hAnsi="Century Gothic" w:cs="Arial"/>
        </w:rPr>
        <w:lastRenderedPageBreak/>
        <w:t xml:space="preserve">A nivel agregado, una planificación estratégica y densa de paisajes arbóreos a lo largo de los corredores urbanos es capaz de enfriar activamente la temperatura del aire a nivel del peatón entre 2 y 8 grados Celsius (aproximadamente de 3.6 a 14.4 grados Fahrenheit). Esta profunda moderación </w:t>
      </w:r>
      <w:proofErr w:type="spellStart"/>
      <w:r w:rsidRPr="00550A8E">
        <w:rPr>
          <w:rFonts w:ascii="Century Gothic" w:hAnsi="Century Gothic" w:cs="Arial"/>
        </w:rPr>
        <w:t>microclimática</w:t>
      </w:r>
      <w:proofErr w:type="spellEnd"/>
      <w:r w:rsidRPr="00550A8E">
        <w:rPr>
          <w:rFonts w:ascii="Century Gothic" w:hAnsi="Century Gothic" w:cs="Arial"/>
        </w:rPr>
        <w:t xml:space="preserve"> no solo provee confort a los residentes, sino que previene el estrés fisiológico inducido por el calor, mitigando los aumentos exponenciales en hospitalizaciones asociados a olas de calor extremas, eventos que están volviéndose trágicamente recurrentes. Investigadores han proyectado </w:t>
      </w:r>
      <w:proofErr w:type="gramStart"/>
      <w:r w:rsidRPr="00550A8E">
        <w:rPr>
          <w:rFonts w:ascii="Century Gothic" w:hAnsi="Century Gothic" w:cs="Arial"/>
        </w:rPr>
        <w:t>que</w:t>
      </w:r>
      <w:proofErr w:type="gramEnd"/>
      <w:r w:rsidRPr="00550A8E">
        <w:rPr>
          <w:rFonts w:ascii="Century Gothic" w:hAnsi="Century Gothic" w:cs="Arial"/>
        </w:rPr>
        <w:t xml:space="preserve"> si las principales ciudades europeas hubieran incrementado y duplicado su cobertura arbórea urbana desde un exiguo 15% hasta un óptimo 30%, se podrían haber salvado directamente más de 2,600 vidas humanas por causa de muerte prematura térmica durante la letal ola de calor continental registrada en el año 2015.</w:t>
      </w:r>
    </w:p>
    <w:p w14:paraId="520BCA0A"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Remoción de Contaminantes y Calidad del Aire Local</w:t>
      </w:r>
    </w:p>
    <w:p w14:paraId="2952C1C4" w14:textId="77777777" w:rsidR="00CD30B3" w:rsidRPr="00550A8E" w:rsidRDefault="00CD30B3" w:rsidP="00CD30B3">
      <w:pPr>
        <w:jc w:val="both"/>
        <w:rPr>
          <w:rFonts w:ascii="Century Gothic" w:hAnsi="Century Gothic" w:cs="Arial"/>
        </w:rPr>
      </w:pPr>
      <w:r w:rsidRPr="00550A8E">
        <w:rPr>
          <w:rFonts w:ascii="Century Gothic" w:hAnsi="Century Gothic" w:cs="Arial"/>
        </w:rPr>
        <w:t>La arborización urbana constituye el mecanismo pasivo de filtración tecnológica más sofisticado, económico y escalable disponible contra la neblina tóxica derivada de los tubos de escape del transporte vehicular y las emisiones industriales crónicas. Las intrincadas geometrías tridimensionales de las estructuras foliares de un árbol, combinadas con la cutícula cerosa de las hojas y la textura rugosa de su corteza, actúan como filtros mecánicos inmensamente efectivos que atrapan micropartículas aerotransportadas finas (las peligrosas fracciones PM10 y PM2.5, capaces de penetrar profundamente en los alvéolos pulmonares humanos), además de capturar polvo inorgánico, suciedad vial, hollín y cenizas en suspensión.</w:t>
      </w:r>
    </w:p>
    <w:p w14:paraId="66E057C3"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De manera simultánea, </w:t>
      </w:r>
      <w:proofErr w:type="gramStart"/>
      <w:r w:rsidRPr="00550A8E">
        <w:rPr>
          <w:rFonts w:ascii="Century Gothic" w:hAnsi="Century Gothic" w:cs="Arial"/>
        </w:rPr>
        <w:t>los estomas</w:t>
      </w:r>
      <w:proofErr w:type="gramEnd"/>
      <w:r w:rsidRPr="00550A8E">
        <w:rPr>
          <w:rFonts w:ascii="Century Gothic" w:hAnsi="Century Gothic" w:cs="Arial"/>
        </w:rPr>
        <w:t xml:space="preserve"> de las hojas absorben y metabolizan biológicamente gases nocivos invisibles y reactivos, incluyendo precursores químicos del ozono troposférico (O3), así como dióxido de azufre (SO2), múltiples óxidos de nitrógeno (NOx), compuestos orgánicos volátiles (VOC) y monóxido de carbono (CO). Si bien es innegable que ciertas especies caducifolias exacerban problemas alérgicos por emisión de polen y, en climas extremadamente calurosos, algunos géneros como sauces, robles o álamos pueden emitir </w:t>
      </w:r>
      <w:proofErr w:type="spellStart"/>
      <w:r w:rsidRPr="00550A8E">
        <w:rPr>
          <w:rFonts w:ascii="Century Gothic" w:hAnsi="Century Gothic" w:cs="Arial"/>
        </w:rPr>
        <w:t>COVs</w:t>
      </w:r>
      <w:proofErr w:type="spellEnd"/>
      <w:r w:rsidRPr="00550A8E">
        <w:rPr>
          <w:rFonts w:ascii="Century Gothic" w:hAnsi="Century Gothic" w:cs="Arial"/>
        </w:rPr>
        <w:t xml:space="preserve"> naturales que reaccionan mínimamente con el ambiente, otras familias botánicas como los fresnos, alisos y abedules ostentan impactos profundamente positivos y netos en la clarificación atmosférica global.</w:t>
      </w:r>
    </w:p>
    <w:p w14:paraId="4793D2B1" w14:textId="77777777" w:rsidR="00CD30B3" w:rsidRPr="00550A8E" w:rsidRDefault="00CD30B3" w:rsidP="00CD30B3">
      <w:pPr>
        <w:jc w:val="both"/>
        <w:rPr>
          <w:rFonts w:ascii="Century Gothic" w:hAnsi="Century Gothic" w:cs="Arial"/>
        </w:rPr>
      </w:pPr>
      <w:r w:rsidRPr="00550A8E">
        <w:rPr>
          <w:rFonts w:ascii="Century Gothic" w:hAnsi="Century Gothic" w:cs="Arial"/>
        </w:rPr>
        <w:lastRenderedPageBreak/>
        <w:t>La magnitud bruta del servicio de saneamiento atmosférico proporcionado por el patrimonio forestal de una metrópoli es colosal y financieramente cuantificable. Por citar un modelo representativo, se ha calculado que los bosques y parques urbanos dentro de la densa mancha metropolitana de Houston, Texas, extraen anualmente y de forma silenciosa la espectacular cantidad de 60,575 toneladas de contaminantes químicos flotantes. A precios de mitigación industrial de carbono y salud, esto se traduce en un subsidio público o beneficio directo estimado conservadoramente en 295.7 millones de dólares generados cada año por los árboles de la ciudad. Un cálculo similar para el bosque urbano de la megalópolis de Nueva York cifró la remoción ambiental en 1,821 toneladas métricas de contaminación atmosférica venenosa al año.</w:t>
      </w:r>
    </w:p>
    <w:p w14:paraId="0D06BE00"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En esta dinámica de remoción, el tamaño anatómico del ejemplar arbóreo dicta la pauta de eficiencia en una escala geométrica no lineal. Investigaciones rigurosas indican que un árbol adulto, robusto y con un diámetro de tronco masivo (superior a las 30 pulgadas) ostenta una capacidad de captación gaseosa tan superlativa que elimina anualmente hasta 70 veces más volumen de polución y toxinas atmosféricas que la sumatoria de ejemplares inmaduros u ornamentales de tronco diminuto. Un árbol urbano solitario, de talla madura y vigor sano, es capaz de secuestrar por su cuenta un aproximado de 150 kg de dióxido de carbono invernadero anualmente, actuando como un </w:t>
      </w:r>
      <w:proofErr w:type="spellStart"/>
      <w:r w:rsidRPr="00550A8E">
        <w:rPr>
          <w:rFonts w:ascii="Century Gothic" w:hAnsi="Century Gothic" w:cs="Arial"/>
        </w:rPr>
        <w:t>microsumidero</w:t>
      </w:r>
      <w:proofErr w:type="spellEnd"/>
      <w:r w:rsidRPr="00550A8E">
        <w:rPr>
          <w:rFonts w:ascii="Century Gothic" w:hAnsi="Century Gothic" w:cs="Arial"/>
        </w:rPr>
        <w:t xml:space="preserve"> vital de mitigación climática en áreas donde el espacio de siembra escasea. El retorno metabólico de este ciclo fisiológico también abastece necesidades vitales: el oxígeno exudado por una hectárea promedio (unos 2.47 acres) de cubierta arbórea espesa es suficiente para suministrar de manera continua la cuota diaria de respiración aeróbica de 18 seres humanos.</w:t>
      </w:r>
    </w:p>
    <w:p w14:paraId="56B3B67A"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Sustento de Cadenas Tróficas y Conservación de la Biodiversidad Nativa</w:t>
      </w:r>
    </w:p>
    <w:p w14:paraId="476C542A"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Más allá de los gases y el calor, el bosque urbano es el andamiaje principal que impide el colapso ecológico de la vida no humana en los linderos de la civilización. A nivel de biología de la conservación, las hileras de árboles a lo largo de las vías, las reservas de parques municipales, y los extensos fragmentos de bosques residuales y periurbanos representan refugios críticos, irremplazables frente a un mar de urbanización estéril. Estos entes proveen hábitats de alta calidad, zonas de tránsito conectadas biológicamente mediante "corredores verdes", emplazamientos de </w:t>
      </w:r>
      <w:r w:rsidRPr="00550A8E">
        <w:rPr>
          <w:rFonts w:ascii="Century Gothic" w:hAnsi="Century Gothic" w:cs="Arial"/>
        </w:rPr>
        <w:lastRenderedPageBreak/>
        <w:t>anidación seguros y bancos inagotables de fuentes de alimentación para especies aviares con rutas migratorias continentales, micro y macro mamíferos endémicos, intrincadas redes de micelio fúngico bajo el suelo y, de vital importancia para la civilización, insectos artrópodos y abejas nativas responsables de la polinización. De hecho, aproximadamente el 35% de la seguridad alimentaria agrícola a nivel mundial depende directamente de la viabilidad reproductiva de los insectos y animales que requieren biomas forestales estables para reproducirse.</w:t>
      </w:r>
    </w:p>
    <w:p w14:paraId="21E5B40A"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Para maximizar este valor ecológico de soporte vital, resulta primordial la selección de la flora. Casos de estudio en municipios como Aguascalientes, México, ilustran de manera paradigmática las graves externalidades que surgen de políticas de reforestación mal planificadas que priorizan especies exóticas en perjuicio del ecosistema natural. La plantación masiva de variedades alóctonas importadas, tales como árboles de eucalipto, ciertas especies de ficus, palmeras decorativas o truenos, suele acarrear altísimos requerimientos de riego hidráulico, contribuye al empobrecimiento y la erosión acelerada de los sustratos edáficos locales, y frecuentemente ocasiona daños infraestructurales masivos al levantar aceras o reventar cañerías subterráneas mediante la expansión incontrolada de sus sistemas radiculares invasivos. Por el contrario, la transición hacia políticas que protegen, </w:t>
      </w:r>
      <w:proofErr w:type="gramStart"/>
      <w:r w:rsidRPr="00550A8E">
        <w:rPr>
          <w:rFonts w:ascii="Century Gothic" w:hAnsi="Century Gothic" w:cs="Arial"/>
        </w:rPr>
        <w:t>indultan</w:t>
      </w:r>
      <w:proofErr w:type="gramEnd"/>
      <w:r w:rsidRPr="00550A8E">
        <w:rPr>
          <w:rFonts w:ascii="Century Gothic" w:hAnsi="Century Gothic" w:cs="Arial"/>
        </w:rPr>
        <w:t xml:space="preserve"> e inducen activamente el esparcimiento del arbolado autóctono (como huizaches o mezquites en zonas semiáridas, que rebrotan tenaz y espontáneamente a través de grietas en banquetas e intersticios en lotes baldíos abandonados) asegura una </w:t>
      </w:r>
      <w:proofErr w:type="spellStart"/>
      <w:r w:rsidRPr="00550A8E">
        <w:rPr>
          <w:rFonts w:ascii="Century Gothic" w:hAnsi="Century Gothic" w:cs="Arial"/>
        </w:rPr>
        <w:t>rearborización</w:t>
      </w:r>
      <w:proofErr w:type="spellEnd"/>
      <w:r w:rsidRPr="00550A8E">
        <w:rPr>
          <w:rFonts w:ascii="Century Gothic" w:hAnsi="Century Gothic" w:cs="Arial"/>
        </w:rPr>
        <w:t xml:space="preserve"> ecosistémica vigorosa, resiliente al estrés hídrico extremo y perfectamente sincronizada con la fauna regional endémica a un costo económico municipal cercano a cero.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gridCol w:w="5603"/>
      </w:tblGrid>
      <w:tr w:rsidR="00CD30B3" w:rsidRPr="00550A8E" w14:paraId="58E5CEB1" w14:textId="77777777" w:rsidTr="00DA1F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8A2E0" w14:textId="77777777" w:rsidR="00CD30B3" w:rsidRPr="00550A8E" w:rsidRDefault="00CD30B3" w:rsidP="00DA1F13">
            <w:pPr>
              <w:jc w:val="both"/>
              <w:rPr>
                <w:rFonts w:ascii="Century Gothic" w:hAnsi="Century Gothic" w:cs="Arial"/>
              </w:rPr>
            </w:pPr>
            <w:r w:rsidRPr="00550A8E">
              <w:rPr>
                <w:rFonts w:ascii="Century Gothic" w:hAnsi="Century Gothic" w:cs="Arial"/>
                <w:b/>
                <w:bCs/>
              </w:rPr>
              <w:t>Beneficio Ecológico y Climático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D2A8B" w14:textId="77777777" w:rsidR="00CD30B3" w:rsidRPr="00550A8E" w:rsidRDefault="00CD30B3" w:rsidP="00DA1F13">
            <w:pPr>
              <w:jc w:val="both"/>
              <w:rPr>
                <w:rFonts w:ascii="Century Gothic" w:hAnsi="Century Gothic" w:cs="Arial"/>
              </w:rPr>
            </w:pPr>
            <w:r w:rsidRPr="00550A8E">
              <w:rPr>
                <w:rFonts w:ascii="Century Gothic" w:hAnsi="Century Gothic" w:cs="Arial"/>
                <w:b/>
                <w:bCs/>
              </w:rPr>
              <w:t>Magnitud, Equivalencia o Valor de Impacto</w:t>
            </w:r>
          </w:p>
        </w:tc>
      </w:tr>
      <w:tr w:rsidR="00CD30B3" w:rsidRPr="00550A8E" w14:paraId="0C77723E"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3EFC" w14:textId="77777777" w:rsidR="00CD30B3" w:rsidRPr="00550A8E" w:rsidRDefault="00CD30B3" w:rsidP="00DA1F13">
            <w:pPr>
              <w:jc w:val="both"/>
              <w:rPr>
                <w:rFonts w:ascii="Century Gothic" w:hAnsi="Century Gothic" w:cs="Arial"/>
              </w:rPr>
            </w:pPr>
            <w:r w:rsidRPr="00550A8E">
              <w:rPr>
                <w:rFonts w:ascii="Century Gothic" w:hAnsi="Century Gothic" w:cs="Arial"/>
                <w:b/>
                <w:bCs/>
              </w:rPr>
              <w:t>Mitigación Termodinámica (UHI)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8057D" w14:textId="77777777" w:rsidR="00CD30B3" w:rsidRPr="00550A8E" w:rsidRDefault="00CD30B3" w:rsidP="00DA1F13">
            <w:pPr>
              <w:jc w:val="both"/>
              <w:rPr>
                <w:rFonts w:ascii="Century Gothic" w:hAnsi="Century Gothic" w:cs="Arial"/>
              </w:rPr>
            </w:pPr>
            <w:r w:rsidRPr="00550A8E">
              <w:rPr>
                <w:rFonts w:ascii="Century Gothic" w:hAnsi="Century Gothic" w:cs="Arial"/>
              </w:rPr>
              <w:t>Descenso de la temperatura a nivel peatonal entre 2 y 8 grados Celsius.</w:t>
            </w:r>
          </w:p>
        </w:tc>
      </w:tr>
      <w:tr w:rsidR="00CD30B3" w:rsidRPr="00550A8E" w14:paraId="714757B9"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6793B" w14:textId="77777777" w:rsidR="00CD30B3" w:rsidRPr="00550A8E" w:rsidRDefault="00CD30B3" w:rsidP="00DA1F13">
            <w:pPr>
              <w:jc w:val="both"/>
              <w:rPr>
                <w:rFonts w:ascii="Century Gothic" w:hAnsi="Century Gothic" w:cs="Arial"/>
              </w:rPr>
            </w:pPr>
            <w:r w:rsidRPr="00550A8E">
              <w:rPr>
                <w:rFonts w:ascii="Century Gothic" w:hAnsi="Century Gothic" w:cs="Arial"/>
                <w:b/>
                <w:bCs/>
              </w:rPr>
              <w:t>Filtración y Captura Gaseosa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5BBED" w14:textId="77777777" w:rsidR="00CD30B3" w:rsidRPr="00550A8E" w:rsidRDefault="00CD30B3" w:rsidP="00DA1F13">
            <w:pPr>
              <w:jc w:val="both"/>
              <w:rPr>
                <w:rFonts w:ascii="Century Gothic" w:hAnsi="Century Gothic" w:cs="Arial"/>
              </w:rPr>
            </w:pPr>
            <w:r w:rsidRPr="00550A8E">
              <w:rPr>
                <w:rFonts w:ascii="Century Gothic" w:hAnsi="Century Gothic" w:cs="Arial"/>
              </w:rPr>
              <w:t>60,575 toneladas/año de polución filtradas en Houston ( $295.7 MDD).</w:t>
            </w:r>
          </w:p>
        </w:tc>
      </w:tr>
      <w:tr w:rsidR="00CD30B3" w:rsidRPr="00550A8E" w14:paraId="4570193A"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D523C" w14:textId="77777777" w:rsidR="00CD30B3" w:rsidRPr="00550A8E" w:rsidRDefault="00CD30B3" w:rsidP="00DA1F13">
            <w:pPr>
              <w:jc w:val="both"/>
              <w:rPr>
                <w:rFonts w:ascii="Century Gothic" w:hAnsi="Century Gothic" w:cs="Arial"/>
              </w:rPr>
            </w:pPr>
            <w:r w:rsidRPr="00550A8E">
              <w:rPr>
                <w:rFonts w:ascii="Century Gothic" w:hAnsi="Century Gothic" w:cs="Arial"/>
                <w:b/>
                <w:bCs/>
              </w:rPr>
              <w:lastRenderedPageBreak/>
              <w:t>Generación Aeróbica de Oxígeno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8B5B8" w14:textId="77777777" w:rsidR="00CD30B3" w:rsidRPr="00550A8E" w:rsidRDefault="00CD30B3" w:rsidP="00DA1F13">
            <w:pPr>
              <w:jc w:val="both"/>
              <w:rPr>
                <w:rFonts w:ascii="Century Gothic" w:hAnsi="Century Gothic" w:cs="Arial"/>
              </w:rPr>
            </w:pPr>
            <w:r w:rsidRPr="00550A8E">
              <w:rPr>
                <w:rFonts w:ascii="Century Gothic" w:hAnsi="Century Gothic" w:cs="Arial"/>
              </w:rPr>
              <w:t>Una hectárea provee el oxígeno para el consumo vital continuo de 18 personas.</w:t>
            </w:r>
          </w:p>
        </w:tc>
      </w:tr>
      <w:tr w:rsidR="00CD30B3" w:rsidRPr="00550A8E" w14:paraId="2BEA50AA"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4A78D" w14:textId="77777777" w:rsidR="00CD30B3" w:rsidRPr="00550A8E" w:rsidRDefault="00CD30B3" w:rsidP="00DA1F13">
            <w:pPr>
              <w:jc w:val="both"/>
              <w:rPr>
                <w:rFonts w:ascii="Century Gothic" w:hAnsi="Century Gothic" w:cs="Arial"/>
              </w:rPr>
            </w:pPr>
            <w:r w:rsidRPr="00550A8E">
              <w:rPr>
                <w:rFonts w:ascii="Century Gothic" w:hAnsi="Century Gothic" w:cs="Arial"/>
                <w:b/>
                <w:bCs/>
              </w:rPr>
              <w:t>Secuestro Directo de Carbono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CB221" w14:textId="77777777" w:rsidR="00CD30B3" w:rsidRPr="00550A8E" w:rsidRDefault="00CD30B3" w:rsidP="00DA1F13">
            <w:pPr>
              <w:jc w:val="both"/>
              <w:rPr>
                <w:rFonts w:ascii="Century Gothic" w:hAnsi="Century Gothic" w:cs="Arial"/>
              </w:rPr>
            </w:pPr>
            <w:r w:rsidRPr="00550A8E">
              <w:rPr>
                <w:rFonts w:ascii="Century Gothic" w:hAnsi="Century Gothic" w:cs="Arial"/>
              </w:rPr>
              <w:t>Hasta 150 kg de CO2eq removidos al año por un árbol grande e intacto.</w:t>
            </w:r>
          </w:p>
        </w:tc>
      </w:tr>
      <w:tr w:rsidR="00CD30B3" w:rsidRPr="00550A8E" w14:paraId="07AFC42C"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557D5" w14:textId="77777777" w:rsidR="00CD30B3" w:rsidRPr="00550A8E" w:rsidRDefault="00CD30B3" w:rsidP="00DA1F13">
            <w:pPr>
              <w:jc w:val="both"/>
              <w:rPr>
                <w:rFonts w:ascii="Century Gothic" w:hAnsi="Century Gothic" w:cs="Arial"/>
              </w:rPr>
            </w:pPr>
            <w:r w:rsidRPr="00550A8E">
              <w:rPr>
                <w:rFonts w:ascii="Century Gothic" w:hAnsi="Century Gothic" w:cs="Arial"/>
                <w:b/>
                <w:bCs/>
              </w:rPr>
              <w:t>Efecto Multiplicador del Tamaño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76A8F" w14:textId="77777777" w:rsidR="00CD30B3" w:rsidRPr="00550A8E" w:rsidRDefault="00CD30B3" w:rsidP="00DA1F13">
            <w:pPr>
              <w:jc w:val="both"/>
              <w:rPr>
                <w:rFonts w:ascii="Century Gothic" w:hAnsi="Century Gothic" w:cs="Arial"/>
              </w:rPr>
            </w:pPr>
            <w:r w:rsidRPr="00550A8E">
              <w:rPr>
                <w:rFonts w:ascii="Century Gothic" w:hAnsi="Century Gothic" w:cs="Arial"/>
              </w:rPr>
              <w:t>Árboles maduros (30") remueven 70 veces más polución que ejemplares juveniles.</w:t>
            </w:r>
          </w:p>
        </w:tc>
      </w:tr>
    </w:tbl>
    <w:p w14:paraId="061FC1C2" w14:textId="77777777" w:rsidR="00CD30B3" w:rsidRPr="00550A8E" w:rsidRDefault="00CD30B3">
      <w:pPr>
        <w:rPr>
          <w:rFonts w:ascii="Century Gothic" w:hAnsi="Century Gothic"/>
        </w:rPr>
      </w:pPr>
    </w:p>
    <w:p w14:paraId="699A983F" w14:textId="568EF4E0" w:rsidR="00CD30B3" w:rsidRPr="00550A8E" w:rsidRDefault="00CD30B3">
      <w:pPr>
        <w:rPr>
          <w:rFonts w:ascii="Century Gothic" w:hAnsi="Century Gothic"/>
          <w:b/>
          <w:bCs/>
        </w:rPr>
      </w:pPr>
      <w:r w:rsidRPr="00550A8E">
        <w:rPr>
          <w:rFonts w:ascii="Century Gothic" w:hAnsi="Century Gothic"/>
          <w:b/>
          <w:bCs/>
        </w:rPr>
        <w:t xml:space="preserve">Social </w:t>
      </w:r>
    </w:p>
    <w:p w14:paraId="1CA09A16"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Teoría Criminológica, Reconstrucción del Tejido Social y Descenso en Delincuencia</w:t>
      </w:r>
    </w:p>
    <w:p w14:paraId="5844095E" w14:textId="77777777" w:rsidR="00CD30B3" w:rsidRPr="00550A8E" w:rsidRDefault="00CD30B3" w:rsidP="00CD30B3">
      <w:pPr>
        <w:jc w:val="both"/>
        <w:rPr>
          <w:rFonts w:ascii="Century Gothic" w:hAnsi="Century Gothic" w:cs="Arial"/>
        </w:rPr>
      </w:pPr>
      <w:r w:rsidRPr="00550A8E">
        <w:rPr>
          <w:rFonts w:ascii="Century Gothic" w:hAnsi="Century Gothic" w:cs="Arial"/>
        </w:rPr>
        <w:t>A lo largo del desarrollo de las teorías criminológicas y el folklore popular sobre el diseño de las ciudades y la botánica perversa, el pánico hacia los espacios cerrados permeaba sistemáticamente. Existía el argumento unificador y apabullante de que el arbolado frondoso, los parques repletos de troncos corpulentos, el follaje bajo e intrincado fungían invariablemente, por su ceguera visual, como zonas encubridoras para criminales violentos, focos siniestros de escondrijo táctico para el consumo ilícito y tráfico de drogas. Su antigüedad es patente: data cuando menos del reinado monárquico del Rey inglés Eduardo I, quien promulgó un decreto forzoso durante el siglo XIII, demandando erradicar, devastar y deforestar sistemáticamente la totalidad de márgenes de las carreteras con un borde superior de 200 pies de ancho al lado y lado a modo precautorio frente a las temidas emboscadas de asaltantes armados o cuatreros de los bosques (</w:t>
      </w:r>
      <w:proofErr w:type="spellStart"/>
      <w:r w:rsidRPr="00550A8E">
        <w:rPr>
          <w:rFonts w:ascii="Century Gothic" w:hAnsi="Century Gothic" w:cs="Arial"/>
        </w:rPr>
        <w:t>highwaymen</w:t>
      </w:r>
      <w:proofErr w:type="spellEnd"/>
      <w:r w:rsidRPr="00550A8E">
        <w:rPr>
          <w:rFonts w:ascii="Century Gothic" w:hAnsi="Century Gothic" w:cs="Arial"/>
        </w:rPr>
        <w:t xml:space="preserve">). Sin embargo, la abrumadora evidencia forense aportada durante lustros por la criminología ambiental contemporánea y diversos modelados del entorno estadounidense anula dicha premisa tajantemente: los bosques urbanos apropiadamente configurados, muy al revés, disuaden contundentemente el crimen, reducen severamente el estallido de las </w:t>
      </w:r>
      <w:r w:rsidRPr="00550A8E">
        <w:rPr>
          <w:rFonts w:ascii="Century Gothic" w:hAnsi="Century Gothic" w:cs="Arial"/>
        </w:rPr>
        <w:lastRenderedPageBreak/>
        <w:t>pasiones violentas, pacifican la zona y aglutinan a las comunidades fracturadas.</w:t>
      </w:r>
    </w:p>
    <w:p w14:paraId="45285103" w14:textId="77777777" w:rsidR="00CD30B3" w:rsidRPr="00550A8E" w:rsidRDefault="00CD30B3" w:rsidP="00CD30B3">
      <w:pPr>
        <w:jc w:val="both"/>
        <w:rPr>
          <w:rFonts w:ascii="Century Gothic" w:hAnsi="Century Gothic" w:cs="Arial"/>
          <w:b/>
          <w:bCs/>
        </w:rPr>
      </w:pPr>
      <w:r w:rsidRPr="00550A8E">
        <w:rPr>
          <w:rFonts w:ascii="Century Gothic" w:hAnsi="Century Gothic" w:cs="Arial"/>
          <w:b/>
          <w:bCs/>
        </w:rPr>
        <w:t>Colapso Cuantificable en Delitos Violentos y Asaltos Contra el Patrimonio</w:t>
      </w:r>
    </w:p>
    <w:p w14:paraId="36B8AF37"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Las aseveraciones modernas nacieron primeramente del colosal hito investigativo de sociología ejecutado por Frances Kuo y su distinguido colega William Sullivan, </w:t>
      </w:r>
      <w:proofErr w:type="spellStart"/>
      <w:r w:rsidRPr="00550A8E">
        <w:rPr>
          <w:rFonts w:ascii="Century Gothic" w:hAnsi="Century Gothic" w:cs="Arial"/>
        </w:rPr>
        <w:t>co-directores</w:t>
      </w:r>
      <w:proofErr w:type="spellEnd"/>
      <w:r w:rsidRPr="00550A8E">
        <w:rPr>
          <w:rFonts w:ascii="Century Gothic" w:hAnsi="Century Gothic" w:cs="Arial"/>
        </w:rPr>
        <w:t xml:space="preserve"> académicos del influyente </w:t>
      </w:r>
      <w:r w:rsidRPr="00550A8E">
        <w:rPr>
          <w:rFonts w:ascii="Century Gothic" w:hAnsi="Century Gothic" w:cs="Arial"/>
          <w:i/>
          <w:iCs/>
        </w:rPr>
        <w:t>Human-</w:t>
      </w:r>
      <w:proofErr w:type="spellStart"/>
      <w:r w:rsidRPr="00550A8E">
        <w:rPr>
          <w:rFonts w:ascii="Century Gothic" w:hAnsi="Century Gothic" w:cs="Arial"/>
          <w:i/>
          <w:iCs/>
        </w:rPr>
        <w:t>Environment</w:t>
      </w:r>
      <w:proofErr w:type="spellEnd"/>
      <w:r w:rsidRPr="00550A8E">
        <w:rPr>
          <w:rFonts w:ascii="Century Gothic" w:hAnsi="Century Gothic" w:cs="Arial"/>
          <w:i/>
          <w:iCs/>
        </w:rPr>
        <w:t xml:space="preserve"> </w:t>
      </w:r>
      <w:proofErr w:type="spellStart"/>
      <w:r w:rsidRPr="00550A8E">
        <w:rPr>
          <w:rFonts w:ascii="Century Gothic" w:hAnsi="Century Gothic" w:cs="Arial"/>
          <w:i/>
          <w:iCs/>
        </w:rPr>
        <w:t>Research</w:t>
      </w:r>
      <w:proofErr w:type="spellEnd"/>
      <w:r w:rsidRPr="00550A8E">
        <w:rPr>
          <w:rFonts w:ascii="Century Gothic" w:hAnsi="Century Gothic" w:cs="Arial"/>
          <w:i/>
          <w:iCs/>
        </w:rPr>
        <w:t xml:space="preserve"> </w:t>
      </w:r>
      <w:proofErr w:type="spellStart"/>
      <w:r w:rsidRPr="00550A8E">
        <w:rPr>
          <w:rFonts w:ascii="Century Gothic" w:hAnsi="Century Gothic" w:cs="Arial"/>
          <w:i/>
          <w:iCs/>
        </w:rPr>
        <w:t>Laboratory</w:t>
      </w:r>
      <w:proofErr w:type="spellEnd"/>
      <w:r w:rsidRPr="00550A8E">
        <w:rPr>
          <w:rFonts w:ascii="Century Gothic" w:hAnsi="Century Gothic" w:cs="Arial"/>
        </w:rPr>
        <w:t xml:space="preserve"> en la Universidad de Illinois. En los crudos años medios de la década 1990 establecieron un gigantesco campamento empírico dentro de los devastados confines de la inmensa zona de macro vivienda de interés social "Ida B. Wells", enquistado en el corazón de Chicago. Era uno de los dominios más flagelados de pobreza nacional (la abrumadora tasa de desempleo arrasaba sobre el 90%), plagado por pandillas, terror barrial crónico y marginación.</w:t>
      </w:r>
    </w:p>
    <w:p w14:paraId="6626A3A0"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Se percataron de una fascinante peculiaridad geográfica </w:t>
      </w:r>
      <w:proofErr w:type="spellStart"/>
      <w:proofErr w:type="gramStart"/>
      <w:r w:rsidRPr="00550A8E">
        <w:rPr>
          <w:rFonts w:ascii="Century Gothic" w:hAnsi="Century Gothic" w:cs="Arial"/>
        </w:rPr>
        <w:t>cuasi-experimental</w:t>
      </w:r>
      <w:proofErr w:type="spellEnd"/>
      <w:proofErr w:type="gramEnd"/>
      <w:r w:rsidRPr="00550A8E">
        <w:rPr>
          <w:rFonts w:ascii="Century Gothic" w:hAnsi="Century Gothic" w:cs="Arial"/>
        </w:rPr>
        <w:t xml:space="preserve"> dentro del inmenso campo; gran parte de los edificios y las macizas moles grises lucían desolados a raíz del pernicioso recubrimiento asfáltico en reemplazo absoluto de árboles pasados. En tanto, por fortuna aislada y caprichos de las burocracias, idénticas y homogéneas moles contiguas, donde dormitaban las mismas fracciones y estatus demográficos en número equivalente de hacinamiento, sobrevivían sumergidas y blindadas entre el cobijo apacible de grandiosos robles, tilos y frondosos jardines primigenios añosos.</w:t>
      </w:r>
    </w:p>
    <w:p w14:paraId="73601860" w14:textId="292ABD92" w:rsidR="00CD30B3" w:rsidRPr="00550A8E" w:rsidRDefault="00CD30B3" w:rsidP="00CD30B3">
      <w:pPr>
        <w:jc w:val="both"/>
        <w:rPr>
          <w:rFonts w:ascii="Century Gothic" w:hAnsi="Century Gothic" w:cs="Arial"/>
        </w:rPr>
      </w:pPr>
      <w:r w:rsidRPr="00550A8E">
        <w:rPr>
          <w:rFonts w:ascii="Century Gothic" w:hAnsi="Century Gothic" w:cs="Arial"/>
        </w:rPr>
        <w:t xml:space="preserve">Las inferencias del crudo recuento legal de agresiones policiales, de 2001, atónitas y atípicas resultaron demoledoras; contrariando frontalmente que "el bosque da amparo al crimen": Los sufridos locatarios guarecidos tras las unidades dotadas copiosamente del verdor boscoso ostentaron e interpusieron querellas atinentes a sólo la precaria mitad de los delitos documentados alrededor y colindantes a sus puertas de cemento frente a los pavorosos, yermos y desnudos páramos arquitectónicos vecinos. Desgranado cruda y puntillosamente, un complejo recubierto de tupidos árboles presentaba caídas aplastantes de recuentos policiales: se contabilizó un desplome real del 48% entero dentro del vector en cuanto a robos físicos y embates criminales en agravio al patrimonio ajeno. De igual forma contundente se redujeron los desórdenes pasionales: arrojó descensos medibles y dramáticos marcados en un inaudito 56% entero en cuanto a perpetraciones de carácter letal, criminal y francamente cruentos </w:t>
      </w:r>
      <w:r w:rsidRPr="00550A8E">
        <w:rPr>
          <w:rFonts w:ascii="Century Gothic" w:hAnsi="Century Gothic" w:cs="Arial"/>
        </w:rPr>
        <w:lastRenderedPageBreak/>
        <w:t xml:space="preserve">(crímenes de naturaleza homicida y violenta) en brutal desventaja matemática ante los predios grises desforestados y pavimentados. </w:t>
      </w:r>
    </w:p>
    <w:p w14:paraId="48940041" w14:textId="77777777" w:rsidR="00CD30B3" w:rsidRPr="00550A8E" w:rsidRDefault="00CD30B3" w:rsidP="00CD30B3">
      <w:pPr>
        <w:jc w:val="both"/>
        <w:rPr>
          <w:rFonts w:ascii="Century Gothic" w:hAnsi="Century Gothic" w:cs="Arial"/>
        </w:rPr>
      </w:pPr>
      <w:r w:rsidRPr="00550A8E">
        <w:rPr>
          <w:rFonts w:ascii="Century Gothic" w:hAnsi="Century Gothic" w:cs="Arial"/>
        </w:rPr>
        <w:t xml:space="preserve">Este asombroso hallazgo no es en absoluto una singularidad aislada ni una rareza fortuita particular a Chicago. Investigaciones gemelas extendidas geográficamente replican incuestionablemente el modelo empírico de prevención de forma masiva nacional: En el denso núcleo conurbado y dispar de Baltimore, Maryland —apoyados en el análisis del dosel mediante tecnologías aéreas abarcando hasta 700 agobiantes millas cuadradas geográficas y publicando los recuentos dentro de la afamada y ríspida revista especializada </w:t>
      </w:r>
      <w:proofErr w:type="spellStart"/>
      <w:r w:rsidRPr="00550A8E">
        <w:rPr>
          <w:rFonts w:ascii="Century Gothic" w:hAnsi="Century Gothic" w:cs="Arial"/>
          <w:i/>
          <w:iCs/>
        </w:rPr>
        <w:t>Landscape</w:t>
      </w:r>
      <w:proofErr w:type="spellEnd"/>
      <w:r w:rsidRPr="00550A8E">
        <w:rPr>
          <w:rFonts w:ascii="Century Gothic" w:hAnsi="Century Gothic" w:cs="Arial"/>
          <w:i/>
          <w:iCs/>
        </w:rPr>
        <w:t xml:space="preserve"> and Urban </w:t>
      </w:r>
      <w:proofErr w:type="spellStart"/>
      <w:r w:rsidRPr="00550A8E">
        <w:rPr>
          <w:rFonts w:ascii="Century Gothic" w:hAnsi="Century Gothic" w:cs="Arial"/>
          <w:i/>
          <w:iCs/>
        </w:rPr>
        <w:t>Planning</w:t>
      </w:r>
      <w:proofErr w:type="spellEnd"/>
      <w:r w:rsidRPr="00550A8E">
        <w:rPr>
          <w:rFonts w:ascii="Century Gothic" w:hAnsi="Century Gothic" w:cs="Arial"/>
        </w:rPr>
        <w:t>— se demostró mediante modelos multivariados que, a equidad neta ajustando de la variable en estatus de renta vecinal, densidad habitacional e igualdad poblacional, las colonias de la urbe agraciadas o blindadas por un volumen adicional estimado de solo un 10% mayor de robusta copa de árbol circundante superior ostentaban, en la media local, una merma y atenuación abismal equivalente a experimentar un sólido 11.8% menor actividad de asaltos criminales interrumpiendo diariamente su geografía. Paralelamente, una audaz política forense del año 2011 sobre inmensos rescates en miles y miles de terrenos baldíos contaminados geográficamente y abandonados a su suerte en la ciudad de Filadelfia —cuyo acto restaurativo fue literalmente asearlos y dotarlos de masivas y copiosas hileras en la plantación de miles de árboles botánicos de gran talle— atestiguó descensos estrepitosos e incuestionables dentro del rubro de las masacres con plomo a lo largo de las periferias: la epidemióloga y las autoridades se ufanaron con caídas generalizadas y fehacientes ubicadas del 7 al 8% bruto por concepto explícito de letales asaltos urbanos a mano armada ejecutados con disparos por arma de fuego.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1"/>
        <w:gridCol w:w="5061"/>
      </w:tblGrid>
      <w:tr w:rsidR="00CD30B3" w:rsidRPr="00550A8E" w14:paraId="0943A44B" w14:textId="77777777" w:rsidTr="00DA1F1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8E4F" w14:textId="77777777" w:rsidR="00CD30B3" w:rsidRPr="00550A8E" w:rsidRDefault="00CD30B3" w:rsidP="00DA1F13">
            <w:pPr>
              <w:jc w:val="both"/>
              <w:rPr>
                <w:rFonts w:ascii="Century Gothic" w:hAnsi="Century Gothic" w:cs="Arial"/>
              </w:rPr>
            </w:pPr>
            <w:r w:rsidRPr="00550A8E">
              <w:rPr>
                <w:rFonts w:ascii="Century Gothic" w:hAnsi="Century Gothic" w:cs="Arial"/>
                <w:b/>
                <w:bCs/>
              </w:rPr>
              <w:t>Incidencia del Árbol en el Mapa de Criminología y Sociedad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5E98" w14:textId="77777777" w:rsidR="00CD30B3" w:rsidRPr="00550A8E" w:rsidRDefault="00CD30B3" w:rsidP="00DA1F13">
            <w:pPr>
              <w:jc w:val="both"/>
              <w:rPr>
                <w:rFonts w:ascii="Century Gothic" w:hAnsi="Century Gothic" w:cs="Arial"/>
              </w:rPr>
            </w:pPr>
            <w:r w:rsidRPr="00550A8E">
              <w:rPr>
                <w:rFonts w:ascii="Century Gothic" w:hAnsi="Century Gothic" w:cs="Arial"/>
                <w:b/>
                <w:bCs/>
              </w:rPr>
              <w:t>Alteración o Variación Empírica Comprobada Local</w:t>
            </w:r>
          </w:p>
        </w:tc>
      </w:tr>
      <w:tr w:rsidR="00CD30B3" w:rsidRPr="00550A8E" w14:paraId="430F78D0"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29822" w14:textId="77777777" w:rsidR="00CD30B3" w:rsidRPr="00550A8E" w:rsidRDefault="00CD30B3" w:rsidP="00DA1F13">
            <w:pPr>
              <w:jc w:val="both"/>
              <w:rPr>
                <w:rFonts w:ascii="Century Gothic" w:hAnsi="Century Gothic" w:cs="Arial"/>
              </w:rPr>
            </w:pPr>
            <w:r w:rsidRPr="00550A8E">
              <w:rPr>
                <w:rFonts w:ascii="Century Gothic" w:hAnsi="Century Gothic" w:cs="Arial"/>
                <w:b/>
                <w:bCs/>
              </w:rPr>
              <w:t>Robo Doméstico o de Propiedades Patrimoniales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2FD63" w14:textId="77777777" w:rsidR="00CD30B3" w:rsidRPr="00550A8E" w:rsidRDefault="00CD30B3" w:rsidP="00DA1F13">
            <w:pPr>
              <w:jc w:val="both"/>
              <w:rPr>
                <w:rFonts w:ascii="Century Gothic" w:hAnsi="Century Gothic" w:cs="Arial"/>
              </w:rPr>
            </w:pPr>
            <w:r w:rsidRPr="00550A8E">
              <w:rPr>
                <w:rFonts w:ascii="Century Gothic" w:hAnsi="Century Gothic" w:cs="Arial"/>
              </w:rPr>
              <w:t>Colosal desplome equivalente a la cifra de 48% menos robos y asaltos menores en Chicago.</w:t>
            </w:r>
          </w:p>
        </w:tc>
      </w:tr>
      <w:tr w:rsidR="00CD30B3" w:rsidRPr="00550A8E" w14:paraId="2CCD5D7A"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96BC" w14:textId="77777777" w:rsidR="00CD30B3" w:rsidRPr="00550A8E" w:rsidRDefault="00CD30B3" w:rsidP="00DA1F13">
            <w:pPr>
              <w:jc w:val="both"/>
              <w:rPr>
                <w:rFonts w:ascii="Century Gothic" w:hAnsi="Century Gothic" w:cs="Arial"/>
              </w:rPr>
            </w:pPr>
            <w:r w:rsidRPr="00550A8E">
              <w:rPr>
                <w:rFonts w:ascii="Century Gothic" w:hAnsi="Century Gothic" w:cs="Arial"/>
                <w:b/>
                <w:bCs/>
              </w:rPr>
              <w:lastRenderedPageBreak/>
              <w:t>Delincuencia Cruenta (Homicidios/Asaltos)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5759A" w14:textId="77777777" w:rsidR="00CD30B3" w:rsidRPr="00550A8E" w:rsidRDefault="00CD30B3" w:rsidP="00DA1F13">
            <w:pPr>
              <w:jc w:val="both"/>
              <w:rPr>
                <w:rFonts w:ascii="Century Gothic" w:hAnsi="Century Gothic" w:cs="Arial"/>
              </w:rPr>
            </w:pPr>
            <w:r w:rsidRPr="00550A8E">
              <w:rPr>
                <w:rFonts w:ascii="Century Gothic" w:hAnsi="Century Gothic" w:cs="Arial"/>
              </w:rPr>
              <w:t>Anulación masiva del asalto feroz bajando a picos históricos mínimos del 56% interanual.</w:t>
            </w:r>
          </w:p>
        </w:tc>
      </w:tr>
      <w:tr w:rsidR="00CD30B3" w:rsidRPr="00550A8E" w14:paraId="768C0EAF"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7E490" w14:textId="77777777" w:rsidR="00CD30B3" w:rsidRPr="00550A8E" w:rsidRDefault="00CD30B3" w:rsidP="00DA1F13">
            <w:pPr>
              <w:jc w:val="both"/>
              <w:rPr>
                <w:rFonts w:ascii="Century Gothic" w:hAnsi="Century Gothic" w:cs="Arial"/>
              </w:rPr>
            </w:pPr>
            <w:r w:rsidRPr="00550A8E">
              <w:rPr>
                <w:rFonts w:ascii="Century Gothic" w:hAnsi="Century Gothic" w:cs="Arial"/>
                <w:b/>
                <w:bCs/>
              </w:rPr>
              <w:t>Pacificación por Armas Balísticas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860F3" w14:textId="77777777" w:rsidR="00CD30B3" w:rsidRPr="00550A8E" w:rsidRDefault="00CD30B3" w:rsidP="00DA1F13">
            <w:pPr>
              <w:jc w:val="both"/>
              <w:rPr>
                <w:rFonts w:ascii="Century Gothic" w:hAnsi="Century Gothic" w:cs="Arial"/>
              </w:rPr>
            </w:pPr>
            <w:r w:rsidRPr="00550A8E">
              <w:rPr>
                <w:rFonts w:ascii="Century Gothic" w:hAnsi="Century Gothic" w:cs="Arial"/>
              </w:rPr>
              <w:t>El aseo silvicultor del predio abate 7-8% interurbano todos los embates de plomo agresivos (Filadelfia).</w:t>
            </w:r>
          </w:p>
        </w:tc>
      </w:tr>
      <w:tr w:rsidR="00CD30B3" w:rsidRPr="00550A8E" w14:paraId="2099C646" w14:textId="77777777" w:rsidTr="00DA1F1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C498E" w14:textId="77777777" w:rsidR="00CD30B3" w:rsidRPr="00550A8E" w:rsidRDefault="00CD30B3" w:rsidP="00DA1F13">
            <w:pPr>
              <w:jc w:val="both"/>
              <w:rPr>
                <w:rFonts w:ascii="Century Gothic" w:hAnsi="Century Gothic" w:cs="Arial"/>
              </w:rPr>
            </w:pPr>
            <w:r w:rsidRPr="00550A8E">
              <w:rPr>
                <w:rFonts w:ascii="Century Gothic" w:hAnsi="Century Gothic" w:cs="Arial"/>
                <w:b/>
                <w:bCs/>
              </w:rPr>
              <w:t>Afluencia Civil de Cobertura Humana (Ojos Atentos)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EC1B3" w14:textId="77777777" w:rsidR="00CD30B3" w:rsidRPr="00550A8E" w:rsidRDefault="00CD30B3" w:rsidP="00DA1F13">
            <w:pPr>
              <w:jc w:val="both"/>
              <w:rPr>
                <w:rFonts w:ascii="Century Gothic" w:hAnsi="Century Gothic" w:cs="Arial"/>
              </w:rPr>
            </w:pPr>
            <w:r w:rsidRPr="00550A8E">
              <w:rPr>
                <w:rFonts w:ascii="Century Gothic" w:hAnsi="Century Gothic" w:cs="Arial"/>
              </w:rPr>
              <w:t>Estrepitoso repunte masivo documentando el alucinante pico en las relaciones y caminatas diurnas al 83% en afluencia civil poblacional.</w:t>
            </w:r>
          </w:p>
        </w:tc>
      </w:tr>
    </w:tbl>
    <w:p w14:paraId="57B44987" w14:textId="77777777" w:rsidR="00624A0F" w:rsidRPr="00550A8E" w:rsidRDefault="00624A0F" w:rsidP="00CD30B3">
      <w:pPr>
        <w:jc w:val="both"/>
        <w:rPr>
          <w:rFonts w:ascii="Century Gothic" w:hAnsi="Century Gothic" w:cs="Arial"/>
        </w:rPr>
      </w:pPr>
    </w:p>
    <w:p w14:paraId="320EA06A" w14:textId="77777777" w:rsidR="000B2E2E" w:rsidRPr="00550A8E" w:rsidRDefault="000B2E2E" w:rsidP="00CD30B3">
      <w:pPr>
        <w:jc w:val="both"/>
        <w:rPr>
          <w:rFonts w:ascii="Century Gothic" w:hAnsi="Century Gothic" w:cs="Arial"/>
        </w:rPr>
      </w:pPr>
    </w:p>
    <w:p w14:paraId="62CF4DE1" w14:textId="4FACC501" w:rsidR="00624A0F" w:rsidRPr="00550A8E" w:rsidRDefault="00624A0F" w:rsidP="00CD30B3">
      <w:pPr>
        <w:jc w:val="both"/>
        <w:rPr>
          <w:rFonts w:ascii="Century Gothic" w:hAnsi="Century Gothic" w:cs="Arial"/>
        </w:rPr>
      </w:pPr>
      <w:r w:rsidRPr="00550A8E">
        <w:rPr>
          <w:rFonts w:ascii="Century Gothic" w:hAnsi="Century Gothic" w:cs="Arial"/>
        </w:rPr>
        <w:t xml:space="preserve">Económico : </w:t>
      </w:r>
    </w:p>
    <w:p w14:paraId="44AC1A91" w14:textId="4D592E71" w:rsidR="00624A0F" w:rsidRPr="00550A8E" w:rsidRDefault="00624A0F" w:rsidP="00CD30B3">
      <w:pPr>
        <w:jc w:val="both"/>
        <w:rPr>
          <w:rFonts w:ascii="Century Gothic" w:hAnsi="Century Gothic" w:cs="Arial"/>
          <w:b/>
          <w:bCs/>
        </w:rPr>
      </w:pPr>
      <w:r w:rsidRPr="00550A8E">
        <w:rPr>
          <w:rFonts w:ascii="Century Gothic" w:hAnsi="Century Gothic" w:cs="Arial"/>
        </w:rPr>
        <w:t xml:space="preserve">El segundo componente del modelo introduce una innovación de diseño urbano que tiene el potencial de transformar la percepción política y ciudadana del bosque: la integración de pequeñas edificaciones comerciales dentro del espacio arbolado, creando lo que el modelo denomina </w:t>
      </w:r>
      <w:r w:rsidRPr="00550A8E">
        <w:rPr>
          <w:rFonts w:ascii="Century Gothic" w:hAnsi="Century Gothic" w:cs="Arial"/>
          <w:b/>
          <w:bCs/>
        </w:rPr>
        <w:t>Mercados Verdes Barriales</w:t>
      </w:r>
    </w:p>
    <w:p w14:paraId="5D3028FE" w14:textId="2388198C" w:rsidR="00624A0F" w:rsidRPr="00550A8E" w:rsidRDefault="00624A0F" w:rsidP="00D076E6">
      <w:pPr>
        <w:ind w:left="708" w:hanging="708"/>
        <w:jc w:val="both"/>
        <w:rPr>
          <w:rFonts w:ascii="Century Gothic" w:hAnsi="Century Gothic" w:cs="Arial"/>
        </w:rPr>
      </w:pPr>
      <w:r w:rsidRPr="00550A8E">
        <w:rPr>
          <w:rFonts w:ascii="Century Gothic" w:hAnsi="Century Gothic" w:cs="Arial"/>
        </w:rPr>
        <w:t xml:space="preserve">La dimensión social del componente es igualmente estratégica. Los Mercados Verdes Barriales están diseñados específicamente para zonas económicamente marginadas de Aguascalientes, donde la informalidad comercial es elevada y la infraestructura de intercambio económico es precaria o inexistente. Al proveer un espacio digno, fresco, seguro y con afluencia peatonal garantizada por el atractivo del entorno verde, el modelo estimula la formalización progresiva de vendedores locales, genera derrama económica </w:t>
      </w:r>
      <w:proofErr w:type="spellStart"/>
      <w:r w:rsidRPr="00550A8E">
        <w:rPr>
          <w:rFonts w:ascii="Century Gothic" w:hAnsi="Century Gothic" w:cs="Arial"/>
        </w:rPr>
        <w:t>hiperlocal</w:t>
      </w:r>
      <w:proofErr w:type="spellEnd"/>
      <w:r w:rsidRPr="00550A8E">
        <w:rPr>
          <w:rFonts w:ascii="Century Gothic" w:hAnsi="Century Gothic" w:cs="Arial"/>
        </w:rPr>
        <w:t xml:space="preserve"> que permanece en la colonia, y crea el tipo de interacción social </w:t>
      </w:r>
      <w:r w:rsidRPr="00550A8E">
        <w:rPr>
          <w:rFonts w:ascii="Century Gothic" w:hAnsi="Century Gothic" w:cs="Arial"/>
        </w:rPr>
        <w:lastRenderedPageBreak/>
        <w:t>comunitaria que la literatura criminológica asocia directamente con la reducción de la violencia y el fortalecimiento de la cohesión vecinal.</w:t>
      </w:r>
    </w:p>
    <w:p w14:paraId="30165A2A" w14:textId="70258E3D" w:rsidR="003E0C6D" w:rsidRPr="00550A8E" w:rsidRDefault="003E0C6D" w:rsidP="003E0C6D">
      <w:pPr>
        <w:jc w:val="both"/>
        <w:rPr>
          <w:rFonts w:ascii="Century Gothic" w:hAnsi="Century Gothic" w:cs="Arial"/>
          <w:b/>
          <w:bCs/>
        </w:rPr>
      </w:pPr>
      <w:r w:rsidRPr="00550A8E">
        <w:rPr>
          <w:rFonts w:ascii="Century Gothic" w:hAnsi="Century Gothic" w:cs="Arial"/>
          <w:b/>
          <w:bCs/>
        </w:rPr>
        <w:t xml:space="preserve">MERCADO VERDE   </w:t>
      </w:r>
    </w:p>
    <w:p w14:paraId="648DD8E5" w14:textId="77777777" w:rsidR="003E0C6D" w:rsidRPr="00550A8E" w:rsidRDefault="003E0C6D" w:rsidP="003E0C6D">
      <w:pPr>
        <w:jc w:val="both"/>
        <w:rPr>
          <w:rFonts w:ascii="Century Gothic" w:hAnsi="Century Gothic" w:cs="Arial"/>
        </w:rPr>
      </w:pPr>
      <w:r w:rsidRPr="00550A8E">
        <w:rPr>
          <w:rFonts w:ascii="Century Gothic" w:hAnsi="Century Gothic" w:cs="Arial"/>
        </w:rPr>
        <w:t>El Mercado Verde Barrial propuesto no pretende competir con supermercados ni plazas comerciales. Pretende recuperar esta función civilizatoria del mercado tradicional y potenciarla mediante la integración del entorno forestal, creando un espacio que sea simultáneamente productivo, ecológico, culturalmente significativo y económicamente autosustentable para las colonias donde se instale.</w:t>
      </w:r>
    </w:p>
    <w:p w14:paraId="723B3146" w14:textId="77777777" w:rsidR="003E0C6D" w:rsidRPr="00550A8E" w:rsidRDefault="003E0C6D" w:rsidP="003E0C6D">
      <w:pPr>
        <w:jc w:val="both"/>
        <w:rPr>
          <w:rFonts w:ascii="Century Gothic" w:hAnsi="Century Gothic" w:cs="Arial"/>
        </w:rPr>
      </w:pPr>
    </w:p>
    <w:p w14:paraId="5C295AF9" w14:textId="77777777" w:rsidR="00F96E1F" w:rsidRPr="00550A8E" w:rsidRDefault="00F96E1F" w:rsidP="00F96E1F">
      <w:pPr>
        <w:jc w:val="both"/>
        <w:rPr>
          <w:rFonts w:ascii="Century Gothic" w:hAnsi="Century Gothic" w:cs="Arial"/>
          <w:b/>
          <w:bCs/>
        </w:rPr>
      </w:pPr>
      <w:r w:rsidRPr="00550A8E">
        <w:rPr>
          <w:rFonts w:ascii="Century Gothic" w:hAnsi="Century Gothic" w:cs="Arial"/>
          <w:b/>
          <w:bCs/>
        </w:rPr>
        <w:t>Tipología de Comercios: Un Ecosistema Económico Diversificado</w:t>
      </w:r>
    </w:p>
    <w:p w14:paraId="3E080936" w14:textId="07A7AC41" w:rsidR="00F96E1F" w:rsidRPr="00550A8E" w:rsidRDefault="00F96E1F" w:rsidP="00F96E1F">
      <w:pPr>
        <w:jc w:val="both"/>
        <w:rPr>
          <w:rFonts w:ascii="Century Gothic" w:hAnsi="Century Gothic" w:cs="Arial"/>
        </w:rPr>
      </w:pPr>
      <w:r w:rsidRPr="00550A8E">
        <w:rPr>
          <w:rFonts w:ascii="Century Gothic" w:hAnsi="Century Gothic" w:cs="Arial"/>
        </w:rPr>
        <w:t xml:space="preserve">El Mercado Verde Barrial no impone un giro comercial único. Su fortaleza reside precisamente en la diversidad de actores económicos que puede albergar simultáneamente, creando un ecosistema productivo en el que cada elemento refuerza la permanencia de los demás. A </w:t>
      </w:r>
      <w:proofErr w:type="gramStart"/>
      <w:r w:rsidRPr="00550A8E">
        <w:rPr>
          <w:rFonts w:ascii="Century Gothic" w:hAnsi="Century Gothic" w:cs="Arial"/>
        </w:rPr>
        <w:t>continuación</w:t>
      </w:r>
      <w:proofErr w:type="gramEnd"/>
      <w:r w:rsidRPr="00550A8E">
        <w:rPr>
          <w:rFonts w:ascii="Century Gothic" w:hAnsi="Century Gothic" w:cs="Arial"/>
        </w:rPr>
        <w:t xml:space="preserve"> se describen las categorías de comercio contempladas en el modelo:</w:t>
      </w:r>
    </w:p>
    <w:p w14:paraId="55563BDA" w14:textId="77777777" w:rsidR="00F96E1F" w:rsidRPr="00550A8E" w:rsidRDefault="00F96E1F" w:rsidP="00F96E1F">
      <w:pPr>
        <w:jc w:val="both"/>
        <w:rPr>
          <w:rFonts w:ascii="Century Gothic" w:hAnsi="Century Gothic" w:cs="Arial"/>
        </w:rPr>
      </w:pPr>
      <w:r w:rsidRPr="00550A8E">
        <w:rPr>
          <w:rFonts w:ascii="Century Gothic" w:hAnsi="Century Gothic" w:cs="Arial"/>
          <w:b/>
          <w:bCs/>
        </w:rPr>
        <w:t>Comercio alimentario de proximidad</w:t>
      </w:r>
    </w:p>
    <w:p w14:paraId="6842EEDD" w14:textId="77777777" w:rsidR="00F96E1F" w:rsidRPr="00550A8E" w:rsidRDefault="00F96E1F" w:rsidP="00F96E1F">
      <w:pPr>
        <w:jc w:val="both"/>
        <w:rPr>
          <w:rFonts w:ascii="Century Gothic" w:hAnsi="Century Gothic" w:cs="Arial"/>
        </w:rPr>
      </w:pPr>
      <w:r w:rsidRPr="00550A8E">
        <w:rPr>
          <w:rFonts w:ascii="Century Gothic" w:hAnsi="Century Gothic" w:cs="Arial"/>
        </w:rPr>
        <w:t>Es el núcleo comercial del mercado y su principal generador de afluencia peatonal constante. Incluye puestos de verduras y frutas frescas —idealmente de productores del cinturón periurbano de Aguascalientes o de los municipios conurbados de Jesús María, San Francisco de los Romo y Pabellón de Arteaga—, carnicerías y pollerías de escala barrial, puestos de comida preparada tradicional como tamales, gorditas, birria, pozole y pan artesanal, y la venta de productos de temporada que reflejan el calendario agrícola regional.</w:t>
      </w:r>
    </w:p>
    <w:p w14:paraId="6AD277DD" w14:textId="77777777" w:rsidR="00F96E1F" w:rsidRPr="00550A8E" w:rsidRDefault="00F96E1F" w:rsidP="00F96E1F">
      <w:pPr>
        <w:jc w:val="both"/>
        <w:rPr>
          <w:rFonts w:ascii="Century Gothic" w:hAnsi="Century Gothic" w:cs="Arial"/>
        </w:rPr>
      </w:pPr>
      <w:r w:rsidRPr="00550A8E">
        <w:rPr>
          <w:rFonts w:ascii="Century Gothic" w:hAnsi="Century Gothic" w:cs="Arial"/>
        </w:rPr>
        <w:t xml:space="preserve">La instalación de este tipo de comercio en zonas marginadas tiene una consecuencia nutricional directa y políticamente relevante: combate los llamados "desiertos alimentarios", es decir, las zonas urbanas de bajos ingresos donde el acceso a alimentos frescos y nutritivos es prácticamente nulo porque el único comercio disponible son tiendas de abarrotes con productos </w:t>
      </w:r>
      <w:proofErr w:type="spellStart"/>
      <w:r w:rsidRPr="00550A8E">
        <w:rPr>
          <w:rFonts w:ascii="Century Gothic" w:hAnsi="Century Gothic" w:cs="Arial"/>
        </w:rPr>
        <w:t>ultra-procesados</w:t>
      </w:r>
      <w:proofErr w:type="spellEnd"/>
      <w:r w:rsidRPr="00550A8E">
        <w:rPr>
          <w:rFonts w:ascii="Century Gothic" w:hAnsi="Century Gothic" w:cs="Arial"/>
        </w:rPr>
        <w:t xml:space="preserve">. Investigaciones en salud pública demuestran que la presencia de un mercado de alimentos frescos en radio de 500 metros del domicilio reduce la incidencia de obesidad, diabetes tipo 2 y </w:t>
      </w:r>
      <w:r w:rsidRPr="00550A8E">
        <w:rPr>
          <w:rFonts w:ascii="Century Gothic" w:hAnsi="Century Gothic" w:cs="Arial"/>
        </w:rPr>
        <w:lastRenderedPageBreak/>
        <w:t>enfermedades cardiovasculares en la población residente, condiciones que son precisamente las de mayor prevalencia en las colonias marginadas de Aguascalientes.</w:t>
      </w:r>
    </w:p>
    <w:p w14:paraId="274D427C" w14:textId="77777777" w:rsidR="00F96E1F" w:rsidRPr="00550A8E" w:rsidRDefault="00F96E1F" w:rsidP="00F96E1F">
      <w:pPr>
        <w:jc w:val="both"/>
        <w:rPr>
          <w:rFonts w:ascii="Century Gothic" w:hAnsi="Century Gothic" w:cs="Arial"/>
        </w:rPr>
      </w:pPr>
      <w:r w:rsidRPr="00550A8E">
        <w:rPr>
          <w:rFonts w:ascii="Century Gothic" w:hAnsi="Century Gothic" w:cs="Arial"/>
          <w:b/>
          <w:bCs/>
        </w:rPr>
        <w:t>Servicios personales de proximidad</w:t>
      </w:r>
    </w:p>
    <w:p w14:paraId="59FC69C9" w14:textId="77777777" w:rsidR="00F96E1F" w:rsidRPr="00550A8E" w:rsidRDefault="00F96E1F" w:rsidP="00F96E1F">
      <w:pPr>
        <w:jc w:val="both"/>
        <w:rPr>
          <w:rFonts w:ascii="Century Gothic" w:hAnsi="Century Gothic" w:cs="Arial"/>
        </w:rPr>
      </w:pPr>
      <w:r w:rsidRPr="00550A8E">
        <w:rPr>
          <w:rFonts w:ascii="Century Gothic" w:hAnsi="Century Gothic" w:cs="Arial"/>
        </w:rPr>
        <w:t>La categoría de servicios personales incluye estéticas populares, sastrerías, reparación de calzado, afilado de herramientas, cerrajerías, reparación de aparatos electrónicos menores y otros oficios de mantenimiento que históricamente han operado en la informalidad absoluta por falta de un espacio accesible donde establecerse. La formalización de estos oficios dentro del marco del Mercado Verde genera dos beneficios simultáneos: el prestador de servicios accede a un local fijo que le permite construir clientela estable y acceder a crédito formal, y la colonia accede a servicios esenciales sin necesidad de desplazarse a zonas comerciales distantes.</w:t>
      </w:r>
    </w:p>
    <w:p w14:paraId="5FE30C04" w14:textId="77777777" w:rsidR="00F96E1F" w:rsidRPr="00550A8E" w:rsidRDefault="00F96E1F" w:rsidP="00F96E1F">
      <w:pPr>
        <w:jc w:val="both"/>
        <w:rPr>
          <w:rFonts w:ascii="Century Gothic" w:hAnsi="Century Gothic" w:cs="Arial"/>
        </w:rPr>
      </w:pPr>
      <w:r w:rsidRPr="00550A8E">
        <w:rPr>
          <w:rFonts w:ascii="Century Gothic" w:hAnsi="Century Gothic" w:cs="Arial"/>
          <w:b/>
          <w:bCs/>
        </w:rPr>
        <w:t>Espacio gastronómico y de encuentro</w:t>
      </w:r>
    </w:p>
    <w:p w14:paraId="2450E94B" w14:textId="77777777" w:rsidR="00F96E1F" w:rsidRPr="00550A8E" w:rsidRDefault="00F96E1F" w:rsidP="00F96E1F">
      <w:pPr>
        <w:jc w:val="both"/>
        <w:rPr>
          <w:rFonts w:ascii="Century Gothic" w:hAnsi="Century Gothic" w:cs="Arial"/>
        </w:rPr>
      </w:pPr>
      <w:r w:rsidRPr="00550A8E">
        <w:rPr>
          <w:rFonts w:ascii="Century Gothic" w:hAnsi="Century Gothic" w:cs="Arial"/>
        </w:rPr>
        <w:t>Los puestos de comida preparada dentro del Mercado Verde no son simplemente un giro comercial: son el principal motor de permanencia prolongada en el espacio. A diferencia del comercio de productos que implica una transacción breve, la comida requiere que el comprador se siente, espere, coma y conviva. Esta permanencia es exactamente el tipo de actividad que la criminología ambiental identifica como el factor más poderoso de vigilancia natural informal: vecinos que permanecen en el espacio, que se conocen entre sí, que observan el entorno y que, por su sola presencia, disuaden cualquier intento de actividad ilícita.</w:t>
      </w:r>
    </w:p>
    <w:p w14:paraId="4074CEAB" w14:textId="735B10FD" w:rsidR="00F96E1F" w:rsidRDefault="00F96E1F" w:rsidP="003E0C6D">
      <w:pPr>
        <w:jc w:val="both"/>
        <w:rPr>
          <w:rFonts w:ascii="Century Gothic" w:hAnsi="Century Gothic" w:cs="Arial"/>
        </w:rPr>
      </w:pPr>
      <w:r w:rsidRPr="00550A8E">
        <w:rPr>
          <w:rFonts w:ascii="Century Gothic" w:hAnsi="Century Gothic" w:cs="Arial"/>
        </w:rPr>
        <w:t>El área gastronómica se diseña con mesas comunes bajo el dosel arbóreo —no frente a los módulos individuales— creando un comedor colectivo al aire libre donde personas de distintos puestos comparten el mismo espacio físico. Esta configuración espacial no es casual; está documentado que la disposición de mesas comunes en mercados públicos incrementa la frecuencia de interacción entre desconocidos en un 340% respecto a la disposición de mesas individuales por puesto.</w:t>
      </w:r>
    </w:p>
    <w:p w14:paraId="7E496565" w14:textId="77777777" w:rsidR="00550A8E" w:rsidRPr="00550A8E" w:rsidRDefault="00550A8E" w:rsidP="003E0C6D">
      <w:pPr>
        <w:jc w:val="both"/>
        <w:rPr>
          <w:rFonts w:ascii="Century Gothic" w:hAnsi="Century Gothic" w:cs="Arial"/>
        </w:rPr>
      </w:pPr>
    </w:p>
    <w:p w14:paraId="294F9267" w14:textId="77777777" w:rsidR="00953EE4" w:rsidRPr="00550A8E" w:rsidRDefault="00953EE4" w:rsidP="00953EE4">
      <w:pPr>
        <w:jc w:val="both"/>
        <w:rPr>
          <w:rFonts w:ascii="Century Gothic" w:hAnsi="Century Gothic" w:cs="Arial"/>
          <w:b/>
          <w:bCs/>
        </w:rPr>
      </w:pPr>
      <w:r w:rsidRPr="00550A8E">
        <w:rPr>
          <w:rFonts w:ascii="Century Gothic" w:hAnsi="Century Gothic" w:cs="Arial"/>
          <w:b/>
          <w:bCs/>
        </w:rPr>
        <w:t>El Mercado Verde Como Política de Equidad Territorial</w:t>
      </w:r>
    </w:p>
    <w:p w14:paraId="6CB047DE" w14:textId="77777777" w:rsidR="00953EE4" w:rsidRPr="00550A8E" w:rsidRDefault="00953EE4" w:rsidP="00953EE4">
      <w:pPr>
        <w:jc w:val="both"/>
        <w:rPr>
          <w:rFonts w:ascii="Century Gothic" w:hAnsi="Century Gothic" w:cs="Arial"/>
        </w:rPr>
      </w:pPr>
      <w:r w:rsidRPr="00550A8E">
        <w:rPr>
          <w:rFonts w:ascii="Century Gothic" w:hAnsi="Century Gothic" w:cs="Arial"/>
        </w:rPr>
        <w:t xml:space="preserve">Las colonias marginadas de Aguascalientes —particularmente en las periferias norte, oriente y poniente de la capital— concentran </w:t>
      </w:r>
      <w:r w:rsidRPr="00550A8E">
        <w:rPr>
          <w:rFonts w:ascii="Century Gothic" w:hAnsi="Century Gothic" w:cs="Arial"/>
        </w:rPr>
        <w:lastRenderedPageBreak/>
        <w:t xml:space="preserve">simultáneamente los peores indicadores de cobertura arbórea, acceso a comercio formal, infraestructura pública de calidad e interacción social organizada. </w:t>
      </w:r>
    </w:p>
    <w:p w14:paraId="41C1F04E" w14:textId="77777777" w:rsidR="00953EE4" w:rsidRPr="00550A8E" w:rsidRDefault="00953EE4" w:rsidP="00953EE4">
      <w:pPr>
        <w:jc w:val="both"/>
        <w:rPr>
          <w:rFonts w:ascii="Century Gothic" w:hAnsi="Century Gothic" w:cs="Arial"/>
        </w:rPr>
      </w:pPr>
      <w:r w:rsidRPr="00550A8E">
        <w:rPr>
          <w:rFonts w:ascii="Century Gothic" w:hAnsi="Century Gothic" w:cs="Arial"/>
        </w:rPr>
        <w:t>El Bosque Urbano Productivo, Al priorizar su instalación en las zonas de mayor marginación, introduce simultáneamente en esos territorios el único recurso que ha demostrado actuar sobre múltiples dimensiones del bienestar al mismo tiempo: un espacio verde maduro con infraestructura productiva integrada. No es un parque que nadie usa porque no hay cómo llegar. No es un mercado municipal que cierra a las 2 de la tarde. Es un ecosistema urbano que existe las 24 horas, que mejora con el tiempo, que genera su propia economía interna y que pertenece, en el sentido más concreto de la palabra, a las personas que viven junto a él.</w:t>
      </w:r>
    </w:p>
    <w:p w14:paraId="4F52059B" w14:textId="77777777" w:rsidR="00624A0F" w:rsidRPr="00550A8E" w:rsidRDefault="00624A0F" w:rsidP="00CD30B3">
      <w:pPr>
        <w:jc w:val="both"/>
        <w:rPr>
          <w:rFonts w:ascii="Century Gothic" w:hAnsi="Century Gothic" w:cs="Arial"/>
          <w:b/>
          <w:bCs/>
        </w:rPr>
      </w:pPr>
    </w:p>
    <w:p w14:paraId="4127665F" w14:textId="3A75ABF1" w:rsidR="00CD30B3" w:rsidRPr="00550A8E" w:rsidRDefault="00CD30B3" w:rsidP="00CD30B3">
      <w:pPr>
        <w:jc w:val="both"/>
        <w:rPr>
          <w:rFonts w:ascii="Century Gothic" w:hAnsi="Century Gothic" w:cs="Arial"/>
          <w:b/>
          <w:bCs/>
        </w:rPr>
      </w:pPr>
      <w:r w:rsidRPr="00550A8E">
        <w:rPr>
          <w:rFonts w:ascii="Century Gothic" w:hAnsi="Century Gothic" w:cs="Arial"/>
          <w:b/>
          <w:bCs/>
        </w:rPr>
        <w:t>Modelo de Implementación Propuesto: El Bosque Urbano Productivo de Aguascalientes</w:t>
      </w:r>
    </w:p>
    <w:p w14:paraId="143056F8" w14:textId="77777777" w:rsidR="00251E62" w:rsidRPr="00550A8E" w:rsidRDefault="00251E62" w:rsidP="00251E62">
      <w:pPr>
        <w:jc w:val="both"/>
        <w:rPr>
          <w:rFonts w:ascii="Century Gothic" w:hAnsi="Century Gothic" w:cs="Arial"/>
        </w:rPr>
      </w:pPr>
      <w:r w:rsidRPr="00550A8E">
        <w:rPr>
          <w:rFonts w:ascii="Century Gothic" w:hAnsi="Century Gothic" w:cs="Arial"/>
        </w:rPr>
        <w:t xml:space="preserve">La evidencia científica revisada en las secciones anteriores demuestra que los beneficios del bosque urbano no son abstractos ni exclusivos de metrópolis con grandes presupuestos. Son reproducibles, escalables y cuantificables. El modelo que se propone a continuación traduce esa evidencia en una intervención concreta, adaptada a la realidad territorial, hídrica y socioeconómica de Aguascalientes: el </w:t>
      </w:r>
      <w:r w:rsidRPr="00550A8E">
        <w:rPr>
          <w:rFonts w:ascii="Century Gothic" w:hAnsi="Century Gothic" w:cs="Arial"/>
          <w:b/>
          <w:bCs/>
        </w:rPr>
        <w:t>Bosque Urbano Productivo</w:t>
      </w:r>
      <w:r w:rsidRPr="00550A8E">
        <w:rPr>
          <w:rFonts w:ascii="Century Gothic" w:hAnsi="Century Gothic" w:cs="Arial"/>
        </w:rPr>
        <w:t>, un sistema trifuncional que integra arborización nativa, captación pluvial e infraestructura de comercio local en zonas de alta marginación.</w:t>
      </w:r>
    </w:p>
    <w:p w14:paraId="15FB47AA" w14:textId="1B3725CA" w:rsidR="00251E62" w:rsidRPr="00550A8E" w:rsidRDefault="00251E62" w:rsidP="00251E62">
      <w:pPr>
        <w:jc w:val="both"/>
        <w:rPr>
          <w:rFonts w:ascii="Century Gothic" w:hAnsi="Century Gothic" w:cs="Arial"/>
        </w:rPr>
      </w:pPr>
      <w:r w:rsidRPr="00550A8E">
        <w:rPr>
          <w:rFonts w:ascii="Century Gothic" w:hAnsi="Century Gothic" w:cs="Arial"/>
        </w:rPr>
        <w:t>Este modelo no plantea parques contemplativos de uso pasivo. Plantea infraestructura pública activa que genera retorno económico, resuelve déficits hídricos y reconstituye el tejido social de las colonias donde se instale.</w:t>
      </w:r>
    </w:p>
    <w:p w14:paraId="058B095D" w14:textId="77777777" w:rsidR="000B2E2E" w:rsidRPr="00550A8E" w:rsidRDefault="000B2E2E" w:rsidP="000B2E2E">
      <w:pPr>
        <w:jc w:val="both"/>
        <w:rPr>
          <w:rFonts w:ascii="Century Gothic" w:hAnsi="Century Gothic" w:cs="Arial"/>
        </w:rPr>
      </w:pPr>
      <w:r w:rsidRPr="00550A8E">
        <w:rPr>
          <w:rFonts w:ascii="Century Gothic" w:hAnsi="Century Gothic" w:cs="Arial"/>
          <w:b/>
          <w:bCs/>
        </w:rPr>
        <w:t>Configuración espacial general</w:t>
      </w:r>
    </w:p>
    <w:p w14:paraId="41F2E1F8" w14:textId="77777777" w:rsidR="000B2E2E" w:rsidRPr="00550A8E" w:rsidRDefault="000B2E2E" w:rsidP="000B2E2E">
      <w:pPr>
        <w:jc w:val="both"/>
        <w:rPr>
          <w:rFonts w:ascii="Century Gothic" w:hAnsi="Century Gothic" w:cs="Arial"/>
        </w:rPr>
      </w:pPr>
      <w:r w:rsidRPr="00550A8E">
        <w:rPr>
          <w:rFonts w:ascii="Century Gothic" w:hAnsi="Century Gothic" w:cs="Arial"/>
        </w:rPr>
        <w:t>Cada nodo de Mercado Verde Barrial ocupa una superficie recomendada de entre 2,000 y 6,000 metros cuadrados, aunque el modelo es adaptable a predios tan reducidos como 800 m² en colonias de alta densidad. El espacio se organiza en tres zonas concéntricas:</w:t>
      </w:r>
    </w:p>
    <w:p w14:paraId="1DD3AEE1"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La </w:t>
      </w:r>
      <w:r w:rsidRPr="00550A8E">
        <w:rPr>
          <w:rFonts w:ascii="Century Gothic" w:hAnsi="Century Gothic" w:cs="Arial"/>
          <w:b/>
          <w:bCs/>
        </w:rPr>
        <w:t>zona interior</w:t>
      </w:r>
      <w:r w:rsidRPr="00550A8E">
        <w:rPr>
          <w:rFonts w:ascii="Century Gothic" w:hAnsi="Century Gothic" w:cs="Arial"/>
        </w:rPr>
        <w:t xml:space="preserve"> o núcleo es el área de mayor densidad arbórea, donde los ejemplares maduros proporcionan cobertura de dosel completa. Esta zona alberga los puestos de venta fijos bajo la sombra directa de los árboles, </w:t>
      </w:r>
      <w:r w:rsidRPr="00550A8E">
        <w:rPr>
          <w:rFonts w:ascii="Century Gothic" w:hAnsi="Century Gothic" w:cs="Arial"/>
        </w:rPr>
        <w:lastRenderedPageBreak/>
        <w:t>bancos de descanso, zonas de juego infantil y áreas de reunión comunitaria. La temperatura en esta zona puede ser entre 4 y 8 grados Celsius inferior a la de una calle comercial convencional sin arbolado.</w:t>
      </w:r>
    </w:p>
    <w:p w14:paraId="5CE8A1AA"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La </w:t>
      </w:r>
      <w:r w:rsidRPr="00550A8E">
        <w:rPr>
          <w:rFonts w:ascii="Century Gothic" w:hAnsi="Century Gothic" w:cs="Arial"/>
          <w:b/>
          <w:bCs/>
        </w:rPr>
        <w:t>zona de transición</w:t>
      </w:r>
      <w:r w:rsidRPr="00550A8E">
        <w:rPr>
          <w:rFonts w:ascii="Century Gothic" w:hAnsi="Century Gothic" w:cs="Arial"/>
        </w:rPr>
        <w:t xml:space="preserve"> es el anillo intermedio donde la cobertura arbórea es parcial. Aquí se ubican los módulos comerciales techados de mayor tamaño, los puestos de alimentos preparados con sus mesas y sillas, y los puntos de captación pluvial integrados a las estructuras de techo.</w:t>
      </w:r>
    </w:p>
    <w:p w14:paraId="638ECBE0"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La </w:t>
      </w:r>
      <w:r w:rsidRPr="00550A8E">
        <w:rPr>
          <w:rFonts w:ascii="Century Gothic" w:hAnsi="Century Gothic" w:cs="Arial"/>
          <w:b/>
          <w:bCs/>
        </w:rPr>
        <w:t>zona de acceso perimetral</w:t>
      </w:r>
      <w:r w:rsidRPr="00550A8E">
        <w:rPr>
          <w:rFonts w:ascii="Century Gothic" w:hAnsi="Century Gothic" w:cs="Arial"/>
        </w:rPr>
        <w:t xml:space="preserve"> es el borde que conecta el mercado con las calles circundantes. Aquí se sitúan los accesos peatonales y para bicicletas, los paraderos de transporte público si los hubiere, la señalización del mercado y una franja de vegetación de menor porte —arbustos nativos, cactáceas ornamentales, plantas aromáticas— que actúa como filtro visual y acústico del tráfico vehicular.</w:t>
      </w:r>
    </w:p>
    <w:p w14:paraId="2BC6D2A0" w14:textId="77777777" w:rsidR="000B2E2E" w:rsidRPr="00550A8E" w:rsidRDefault="000B2E2E" w:rsidP="00251E62">
      <w:pPr>
        <w:jc w:val="both"/>
        <w:rPr>
          <w:rFonts w:ascii="Century Gothic" w:hAnsi="Century Gothic" w:cs="Arial"/>
        </w:rPr>
      </w:pPr>
    </w:p>
    <w:p w14:paraId="63F8F589" w14:textId="77777777" w:rsidR="00251E62" w:rsidRPr="00550A8E" w:rsidRDefault="00251E62" w:rsidP="00251E62">
      <w:pPr>
        <w:jc w:val="both"/>
        <w:rPr>
          <w:rFonts w:ascii="Century Gothic" w:hAnsi="Century Gothic" w:cs="Arial"/>
          <w:b/>
          <w:bCs/>
        </w:rPr>
      </w:pPr>
      <w:r w:rsidRPr="00550A8E">
        <w:rPr>
          <w:rFonts w:ascii="Century Gothic" w:hAnsi="Century Gothic" w:cs="Arial"/>
          <w:b/>
          <w:bCs/>
        </w:rPr>
        <w:t>Componente 1: Sistema de Riego Escalonado y Autosustentable</w:t>
      </w:r>
    </w:p>
    <w:p w14:paraId="60F06C1F" w14:textId="77777777" w:rsidR="00251E62" w:rsidRPr="00550A8E" w:rsidRDefault="00251E62" w:rsidP="00251E62">
      <w:pPr>
        <w:jc w:val="both"/>
        <w:rPr>
          <w:rFonts w:ascii="Century Gothic" w:hAnsi="Century Gothic" w:cs="Arial"/>
        </w:rPr>
      </w:pPr>
      <w:r w:rsidRPr="00550A8E">
        <w:rPr>
          <w:rFonts w:ascii="Century Gothic" w:hAnsi="Century Gothic" w:cs="Arial"/>
        </w:rPr>
        <w:t>Uno de los obstáculos más frecuentes para la arborización urbana en zonas semiáridas como Aguascalientes —con una precipitación media anual de apenas 530 mm— es la mortalidad temprana de los árboles recién plantados por falta de riego durante la fase crítica de establecimiento radicular, que comprende aproximadamente los primeros tres años de vida del ejemplar.</w:t>
      </w:r>
    </w:p>
    <w:p w14:paraId="0270DBEC" w14:textId="77777777" w:rsidR="00251E62" w:rsidRPr="00550A8E" w:rsidRDefault="00251E62" w:rsidP="00251E62">
      <w:pPr>
        <w:jc w:val="both"/>
        <w:rPr>
          <w:rFonts w:ascii="Century Gothic" w:hAnsi="Century Gothic" w:cs="Arial"/>
        </w:rPr>
      </w:pPr>
      <w:r w:rsidRPr="00550A8E">
        <w:rPr>
          <w:rFonts w:ascii="Century Gothic" w:hAnsi="Century Gothic" w:cs="Arial"/>
        </w:rPr>
        <w:t>El modelo propone un sistema de riego por etapas que optimiza el recurso hídrico disponible:</w:t>
      </w:r>
    </w:p>
    <w:p w14:paraId="3EB1AD79" w14:textId="77777777" w:rsidR="00251E62" w:rsidRPr="00550A8E" w:rsidRDefault="00251E62" w:rsidP="00251E62">
      <w:pPr>
        <w:jc w:val="both"/>
        <w:rPr>
          <w:rFonts w:ascii="Century Gothic" w:hAnsi="Century Gothic" w:cs="Arial"/>
        </w:rPr>
      </w:pPr>
      <w:r w:rsidRPr="00550A8E">
        <w:rPr>
          <w:rFonts w:ascii="Century Gothic" w:hAnsi="Century Gothic" w:cs="Arial"/>
          <w:b/>
          <w:bCs/>
        </w:rPr>
        <w:t>Etapa 1 — Establecimiento (años 1 a 3):</w:t>
      </w:r>
      <w:r w:rsidRPr="00550A8E">
        <w:rPr>
          <w:rFonts w:ascii="Century Gothic" w:hAnsi="Century Gothic" w:cs="Arial"/>
        </w:rPr>
        <w:t xml:space="preserve"> Suministro mediante pipas municipales o brigadas vecinales en turnos programados, priorizando el riego nocturno para minimizar la evaporación. Esta etapa requiere la mayor inversión </w:t>
      </w:r>
      <w:proofErr w:type="gramStart"/>
      <w:r w:rsidRPr="00550A8E">
        <w:rPr>
          <w:rFonts w:ascii="Century Gothic" w:hAnsi="Century Gothic" w:cs="Arial"/>
        </w:rPr>
        <w:t>operativa</w:t>
      </w:r>
      <w:proofErr w:type="gramEnd"/>
      <w:r w:rsidRPr="00550A8E">
        <w:rPr>
          <w:rFonts w:ascii="Century Gothic" w:hAnsi="Century Gothic" w:cs="Arial"/>
        </w:rPr>
        <w:t xml:space="preserve"> pero es la de menor duración.</w:t>
      </w:r>
    </w:p>
    <w:p w14:paraId="4158D267" w14:textId="77777777" w:rsidR="00251E62" w:rsidRPr="00550A8E" w:rsidRDefault="00251E62" w:rsidP="00251E62">
      <w:pPr>
        <w:jc w:val="both"/>
        <w:rPr>
          <w:rFonts w:ascii="Century Gothic" w:hAnsi="Century Gothic" w:cs="Arial"/>
        </w:rPr>
      </w:pPr>
      <w:r w:rsidRPr="00550A8E">
        <w:rPr>
          <w:rFonts w:ascii="Century Gothic" w:hAnsi="Century Gothic" w:cs="Arial"/>
          <w:b/>
          <w:bCs/>
        </w:rPr>
        <w:t>Etapa 2 — Consolidación (años 2 a 5):</w:t>
      </w:r>
      <w:r w:rsidRPr="00550A8E">
        <w:rPr>
          <w:rFonts w:ascii="Century Gothic" w:hAnsi="Century Gothic" w:cs="Arial"/>
        </w:rPr>
        <w:t xml:space="preserve"> Instalación progresiva de depósitos de almacenamiento permanente —cisternas elevadas o enterradas de bajo costo— conectadas mediante mangueras a puntos de riego distribuidos a lo largo de cada bosque. Estos depósitos pueden ser abastecidos por pipas, por conexión a la red municipal en horarios de baja demanda, o preferentemente por los captadores pluviales del Componente 3.</w:t>
      </w:r>
    </w:p>
    <w:p w14:paraId="078C82ED" w14:textId="77777777" w:rsidR="00251E62" w:rsidRPr="00550A8E" w:rsidRDefault="00251E62" w:rsidP="00251E62">
      <w:pPr>
        <w:jc w:val="both"/>
        <w:rPr>
          <w:rFonts w:ascii="Century Gothic" w:hAnsi="Century Gothic" w:cs="Arial"/>
        </w:rPr>
      </w:pPr>
      <w:r w:rsidRPr="00550A8E">
        <w:rPr>
          <w:rFonts w:ascii="Century Gothic" w:hAnsi="Century Gothic" w:cs="Arial"/>
          <w:b/>
          <w:bCs/>
        </w:rPr>
        <w:t>Etapa 3 — Madurez y Autonomía (año 5 en adelante):</w:t>
      </w:r>
      <w:r w:rsidRPr="00550A8E">
        <w:rPr>
          <w:rFonts w:ascii="Century Gothic" w:hAnsi="Century Gothic" w:cs="Arial"/>
        </w:rPr>
        <w:t xml:space="preserve"> Instalación de sistemas de riego por goteo en los árboles que así lo requieran, con temporizadores </w:t>
      </w:r>
      <w:r w:rsidRPr="00550A8E">
        <w:rPr>
          <w:rFonts w:ascii="Century Gothic" w:hAnsi="Century Gothic" w:cs="Arial"/>
        </w:rPr>
        <w:lastRenderedPageBreak/>
        <w:t>de bajo consumo energético. En esta fase, las especies nativas ya seleccionadas —mesquites, huizaches, tepozanes y otras propias del matorral xerófilo aguascalentense— habrán desarrollado sistemas radiculares profundos capaces de acceder a la humedad subterránea, reduciendo su dependencia del riego artificial a niveles mínimos o nulos.</w:t>
      </w:r>
    </w:p>
    <w:p w14:paraId="4C33B987" w14:textId="364AEC61" w:rsidR="00251E62" w:rsidRPr="00550A8E" w:rsidRDefault="00251E62" w:rsidP="00251E62">
      <w:pPr>
        <w:jc w:val="both"/>
        <w:rPr>
          <w:rFonts w:ascii="Century Gothic" w:hAnsi="Century Gothic" w:cs="Arial"/>
        </w:rPr>
      </w:pPr>
      <w:r w:rsidRPr="00550A8E">
        <w:rPr>
          <w:rFonts w:ascii="Century Gothic" w:hAnsi="Century Gothic" w:cs="Arial"/>
        </w:rPr>
        <w:t>Esta arquitectura escalonada resuelve la principal objeción fiscal al proyecto: el costo de mantenimiento hídrico decrece progresivamente conforme los árboles maduran, precisamente cuando sus beneficios ecológicos, sociales y económicos se incrementan de forma exponencial.</w:t>
      </w:r>
    </w:p>
    <w:p w14:paraId="77615FAF" w14:textId="77777777" w:rsidR="00251E62" w:rsidRPr="00550A8E" w:rsidRDefault="00251E62" w:rsidP="00251E62">
      <w:pPr>
        <w:jc w:val="both"/>
        <w:rPr>
          <w:rFonts w:ascii="Century Gothic" w:hAnsi="Century Gothic" w:cs="Arial"/>
          <w:b/>
          <w:bCs/>
        </w:rPr>
      </w:pPr>
      <w:r w:rsidRPr="00550A8E">
        <w:rPr>
          <w:rFonts w:ascii="Century Gothic" w:hAnsi="Century Gothic" w:cs="Arial"/>
          <w:b/>
          <w:bCs/>
        </w:rPr>
        <w:t>Componente 2: Mercados Verdes Barriales — Infraestructura Comercial Bajo el Dosel</w:t>
      </w:r>
    </w:p>
    <w:p w14:paraId="6DA0AF23" w14:textId="77777777" w:rsidR="00251E62" w:rsidRPr="00550A8E" w:rsidRDefault="00251E62" w:rsidP="00251E62">
      <w:pPr>
        <w:jc w:val="both"/>
        <w:rPr>
          <w:rFonts w:ascii="Century Gothic" w:hAnsi="Century Gothic" w:cs="Arial"/>
        </w:rPr>
      </w:pPr>
      <w:r w:rsidRPr="00550A8E">
        <w:rPr>
          <w:rFonts w:ascii="Century Gothic" w:hAnsi="Century Gothic" w:cs="Arial"/>
        </w:rPr>
        <w:t>La configuración física es deliberadamente simple y replicable. A los costados de las hileras de árboles, o directamente bajo el dosel maduro de los ejemplares consolidados, se instalan módulos comerciales ligeros —estructuras de entre 8 y 20 metros cuadrados, techadas, ventiladas y construidas con materiales locales de bajo costo— distribuidos de forma no continua para preservar la permeabilidad visual del espacio verde y mantener el principio de "ojos en la calle" que, como documenta la criminología ambiental revisada en este informe, es el mecanismo disuasorio del crimen más eficaz conocido.</w:t>
      </w:r>
    </w:p>
    <w:p w14:paraId="486BC794" w14:textId="77777777" w:rsidR="00251E62" w:rsidRPr="00550A8E" w:rsidRDefault="00251E62" w:rsidP="00251E62">
      <w:pPr>
        <w:jc w:val="both"/>
        <w:rPr>
          <w:rFonts w:ascii="Century Gothic" w:hAnsi="Century Gothic" w:cs="Arial"/>
        </w:rPr>
      </w:pPr>
      <w:r w:rsidRPr="00550A8E">
        <w:rPr>
          <w:rFonts w:ascii="Century Gothic" w:hAnsi="Century Gothic" w:cs="Arial"/>
        </w:rPr>
        <w:t xml:space="preserve">Los árboles no son decoración de estos mercados: </w:t>
      </w:r>
      <w:r w:rsidRPr="00550A8E">
        <w:rPr>
          <w:rFonts w:ascii="Century Gothic" w:hAnsi="Century Gothic" w:cs="Arial"/>
          <w:b/>
          <w:bCs/>
        </w:rPr>
        <w:t>son su infraestructura.</w:t>
      </w:r>
      <w:r w:rsidRPr="00550A8E">
        <w:rPr>
          <w:rFonts w:ascii="Century Gothic" w:hAnsi="Century Gothic" w:cs="Arial"/>
        </w:rPr>
        <w:t xml:space="preserve"> El dosel arbóreo reduce la temperatura del ambiente comercial entre 2 y 8 grados Celsius respecto a zonas sin cobertura vegetal, eliminando la necesidad de climatización artificial. Esta reducción térmica incrementa el confort del comprador, prolonga su permanencia en el espacio y estimula directamente el consumo. Ciudades como Singapur, Medellín y Ciudad de México han documentado incrementos en ventas minoristas de entre el 12% y el 25% en corredores comerciales con alta densidad arbórea frente a sus equivalentes desforestados.</w:t>
      </w:r>
    </w:p>
    <w:p w14:paraId="73149512" w14:textId="57C18652" w:rsidR="00251E62" w:rsidRPr="00550A8E" w:rsidRDefault="00251E62" w:rsidP="00251E62">
      <w:pPr>
        <w:jc w:val="both"/>
        <w:rPr>
          <w:rFonts w:ascii="Century Gothic" w:hAnsi="Century Gothic" w:cs="Arial"/>
        </w:rPr>
      </w:pPr>
      <w:r w:rsidRPr="00550A8E">
        <w:rPr>
          <w:rFonts w:ascii="Century Gothic" w:hAnsi="Century Gothic" w:cs="Arial"/>
        </w:rPr>
        <w:t>Cada bosque urbano con mercado integrado puede sostener entre 8 y 24 módulos comerciales, generando entre 16 y 48 empleos directos en el área de instalación, sin considerar los encadenamientos productivos con proveedores, transportistas y servicios de mantenimiento.</w:t>
      </w:r>
    </w:p>
    <w:p w14:paraId="77A7B70A" w14:textId="77777777" w:rsidR="00251E62" w:rsidRPr="00550A8E" w:rsidRDefault="00251E62" w:rsidP="00251E62">
      <w:pPr>
        <w:jc w:val="both"/>
        <w:rPr>
          <w:rFonts w:ascii="Century Gothic" w:hAnsi="Century Gothic" w:cs="Arial"/>
          <w:b/>
          <w:bCs/>
        </w:rPr>
      </w:pPr>
      <w:r w:rsidRPr="00550A8E">
        <w:rPr>
          <w:rFonts w:ascii="Century Gothic" w:hAnsi="Century Gothic" w:cs="Arial"/>
          <w:b/>
          <w:bCs/>
        </w:rPr>
        <w:t>Componente 3: Sistema de Captación Pluvial Integrado — Respuesta Directa a la Crisis Hídrica de Aguascalientes</w:t>
      </w:r>
    </w:p>
    <w:p w14:paraId="78260339" w14:textId="77777777" w:rsidR="00251E62" w:rsidRPr="00550A8E" w:rsidRDefault="00251E62" w:rsidP="00251E62">
      <w:pPr>
        <w:jc w:val="both"/>
        <w:rPr>
          <w:rFonts w:ascii="Century Gothic" w:hAnsi="Century Gothic" w:cs="Arial"/>
        </w:rPr>
      </w:pPr>
      <w:r w:rsidRPr="00550A8E">
        <w:rPr>
          <w:rFonts w:ascii="Century Gothic" w:hAnsi="Century Gothic" w:cs="Arial"/>
        </w:rPr>
        <w:lastRenderedPageBreak/>
        <w:t>Aguascalientes enfrenta una de las crisis hídricas más severas del país. La sobreexplotación del acuífero Aguascalientes —del que depende más del 70% del abastecimiento de agua potable de la capital— y la expansión de superficies impermeables que impiden la recarga natural de los mantos freáticos configuran un escenario de vulnerabilidad hídrica estructural que ninguna política de largo plazo puede ignorar.</w:t>
      </w:r>
    </w:p>
    <w:p w14:paraId="6556A701" w14:textId="77777777" w:rsidR="00251E62" w:rsidRPr="00550A8E" w:rsidRDefault="00251E62" w:rsidP="00251E62">
      <w:pPr>
        <w:jc w:val="both"/>
        <w:rPr>
          <w:rFonts w:ascii="Century Gothic" w:hAnsi="Century Gothic" w:cs="Arial"/>
        </w:rPr>
      </w:pPr>
      <w:r w:rsidRPr="00550A8E">
        <w:rPr>
          <w:rFonts w:ascii="Century Gothic" w:hAnsi="Century Gothic" w:cs="Arial"/>
        </w:rPr>
        <w:t>El tercer componente del Bosque Urbano Productivo aborda esta crisis de forma directa mediante la instalación de sistemas de captación pluvial de bajo costo y tecnología accesible en cada nodo del bosque.</w:t>
      </w:r>
    </w:p>
    <w:p w14:paraId="4851B099" w14:textId="77777777" w:rsidR="00251E62" w:rsidRPr="00550A8E" w:rsidRDefault="00251E62" w:rsidP="00251E62">
      <w:pPr>
        <w:jc w:val="both"/>
        <w:rPr>
          <w:rFonts w:ascii="Century Gothic" w:hAnsi="Century Gothic" w:cs="Arial"/>
        </w:rPr>
      </w:pPr>
      <w:r w:rsidRPr="00550A8E">
        <w:rPr>
          <w:rFonts w:ascii="Century Gothic" w:hAnsi="Century Gothic" w:cs="Arial"/>
        </w:rPr>
        <w:t xml:space="preserve">El diseño base consiste en superficies de captación inclinadas —que pueden ser los propios techos de los módulos del Mercado Verde— conectadas mediante canaletas a depósitos de almacenamiento enterrados o </w:t>
      </w:r>
      <w:proofErr w:type="spellStart"/>
      <w:r w:rsidRPr="00550A8E">
        <w:rPr>
          <w:rFonts w:ascii="Century Gothic" w:hAnsi="Century Gothic" w:cs="Arial"/>
        </w:rPr>
        <w:t>semientrrados</w:t>
      </w:r>
      <w:proofErr w:type="spellEnd"/>
      <w:r w:rsidRPr="00550A8E">
        <w:rPr>
          <w:rFonts w:ascii="Century Gothic" w:hAnsi="Century Gothic" w:cs="Arial"/>
        </w:rPr>
        <w:t>. El agua recolectada tiene dos destinos complementarios:</w:t>
      </w:r>
    </w:p>
    <w:p w14:paraId="00F0B241" w14:textId="77777777" w:rsidR="00251E62" w:rsidRPr="00550A8E" w:rsidRDefault="00251E62" w:rsidP="00251E62">
      <w:pPr>
        <w:jc w:val="both"/>
        <w:rPr>
          <w:rFonts w:ascii="Century Gothic" w:hAnsi="Century Gothic" w:cs="Arial"/>
        </w:rPr>
      </w:pPr>
      <w:r w:rsidRPr="00550A8E">
        <w:rPr>
          <w:rFonts w:ascii="Century Gothic" w:hAnsi="Century Gothic" w:cs="Arial"/>
          <w:b/>
          <w:bCs/>
        </w:rPr>
        <w:t>Destino A — Recarga de los depósitos de riego:</w:t>
      </w:r>
      <w:r w:rsidRPr="00550A8E">
        <w:rPr>
          <w:rFonts w:ascii="Century Gothic" w:hAnsi="Century Gothic" w:cs="Arial"/>
        </w:rPr>
        <w:t xml:space="preserve"> El agua captada se canaliza directamente a las cisternas del Componente 1, alimentando el sistema de goteo y reduciendo o eliminando la dependencia de pipas municipales durante y después de la temporada de lluvias (junio a octubre en Aguascalientes).</w:t>
      </w:r>
    </w:p>
    <w:p w14:paraId="2CF324D5" w14:textId="77777777" w:rsidR="00251E62" w:rsidRPr="00550A8E" w:rsidRDefault="00251E62" w:rsidP="00251E62">
      <w:pPr>
        <w:jc w:val="both"/>
        <w:rPr>
          <w:rFonts w:ascii="Century Gothic" w:hAnsi="Century Gothic" w:cs="Arial"/>
        </w:rPr>
      </w:pPr>
      <w:r w:rsidRPr="00550A8E">
        <w:rPr>
          <w:rFonts w:ascii="Century Gothic" w:hAnsi="Century Gothic" w:cs="Arial"/>
          <w:b/>
          <w:bCs/>
        </w:rPr>
        <w:t>Destino B — Infiltración controlada hacia el acuífero:</w:t>
      </w:r>
      <w:r w:rsidRPr="00550A8E">
        <w:rPr>
          <w:rFonts w:ascii="Century Gothic" w:hAnsi="Century Gothic" w:cs="Arial"/>
        </w:rPr>
        <w:t xml:space="preserve"> Mediante zanjas de infiltración, pozos de absorción o simplemente mediante la permeabilidad natural del suelo forestal —que, como documenta este informe, los sistemas radiculares de los árboles mantienen en condiciones óptimas de absorción—, el excedente de agua captada se libera de forma controlada hacia el subsuelo, contribuyendo activamente a la recarga del acuífero local.</w:t>
      </w:r>
    </w:p>
    <w:p w14:paraId="06D8C238" w14:textId="77777777" w:rsidR="00251E62" w:rsidRPr="00550A8E" w:rsidRDefault="00251E62" w:rsidP="00251E62">
      <w:pPr>
        <w:jc w:val="both"/>
        <w:rPr>
          <w:rFonts w:ascii="Century Gothic" w:hAnsi="Century Gothic" w:cs="Arial"/>
        </w:rPr>
      </w:pPr>
      <w:r w:rsidRPr="00550A8E">
        <w:rPr>
          <w:rFonts w:ascii="Century Gothic" w:hAnsi="Century Gothic" w:cs="Arial"/>
        </w:rPr>
        <w:t>Para dimensionar el potencial de este componente: con una precipitación media de 530 mm anuales y superficies de captación modestas de 200 m² por nodo de mercado, cada instalación puede recolectar entre 80,000 y 106,000 litros de agua por temporada de lluvias. Si el programa se replica en 50 nodos distribuidos en colonias marginadas de la ciudad, el volumen total de captación anual oscilaría entre 4 y 5.3 millones de litros —equivalentes al consumo doméstico anual de aproximadamente 60 a 75 familias— que de otra forma se habrían perdido como escorrentía superficial contaminada hacia el drenaje municipal.</w:t>
      </w:r>
    </w:p>
    <w:p w14:paraId="449F9E38" w14:textId="77777777" w:rsidR="00251E62" w:rsidRPr="00550A8E" w:rsidRDefault="00251E62" w:rsidP="00251E62">
      <w:pPr>
        <w:jc w:val="both"/>
        <w:rPr>
          <w:rFonts w:ascii="Century Gothic" w:hAnsi="Century Gothic" w:cs="Arial"/>
        </w:rPr>
      </w:pPr>
      <w:r w:rsidRPr="00550A8E">
        <w:rPr>
          <w:rFonts w:ascii="Century Gothic" w:hAnsi="Century Gothic" w:cs="Arial"/>
        </w:rPr>
        <w:lastRenderedPageBreak/>
        <w:t xml:space="preserve">Este dato cobra especial relevancia considerando que el Bosque de Cobos-Parga, con sus 176.6 hectáreas, ya ostenta un potencial documentado de captación de hasta 935,980 metros cúbicos anuales gracias precisamente a sus suelos tipo </w:t>
      </w:r>
      <w:proofErr w:type="spellStart"/>
      <w:r w:rsidRPr="00550A8E">
        <w:rPr>
          <w:rFonts w:ascii="Century Gothic" w:hAnsi="Century Gothic" w:cs="Arial"/>
        </w:rPr>
        <w:t>Feozem</w:t>
      </w:r>
      <w:proofErr w:type="spellEnd"/>
      <w:r w:rsidRPr="00550A8E">
        <w:rPr>
          <w:rFonts w:ascii="Century Gothic" w:hAnsi="Century Gothic" w:cs="Arial"/>
        </w:rPr>
        <w:t xml:space="preserve"> y su cobertura vegetal continua. El programa de Bosques Urbanos Productivos replica esta lógica hidrológica a escala de colonia, distribuyendo la capacidad de recarga a lo largo del tejido urbano en lugar de concentrarla exclusivamente en las periferias.</w:t>
      </w:r>
    </w:p>
    <w:p w14:paraId="767BFA6B" w14:textId="77777777" w:rsidR="00251E62" w:rsidRPr="00550A8E" w:rsidRDefault="00251E62" w:rsidP="00251E62">
      <w:pPr>
        <w:jc w:val="both"/>
        <w:rPr>
          <w:rFonts w:ascii="Century Gothic" w:hAnsi="Century Gothic" w:cs="Arial"/>
        </w:rPr>
      </w:pPr>
    </w:p>
    <w:tbl>
      <w:tblPr>
        <w:tblStyle w:val="Tablaconcuadrcula"/>
        <w:tblW w:w="0" w:type="auto"/>
        <w:tblLook w:val="04A0" w:firstRow="1" w:lastRow="0" w:firstColumn="1" w:lastColumn="0" w:noHBand="0" w:noVBand="1"/>
      </w:tblPr>
      <w:tblGrid>
        <w:gridCol w:w="2942"/>
        <w:gridCol w:w="2943"/>
        <w:gridCol w:w="2943"/>
      </w:tblGrid>
      <w:tr w:rsidR="00251E62" w:rsidRPr="00550A8E" w14:paraId="0F5E4556" w14:textId="77777777" w:rsidTr="00DA1F13">
        <w:tc>
          <w:tcPr>
            <w:tcW w:w="2942" w:type="dxa"/>
          </w:tcPr>
          <w:p w14:paraId="3A85B18F" w14:textId="77777777" w:rsidR="00251E62" w:rsidRPr="00550A8E" w:rsidRDefault="00251E62" w:rsidP="00DA1F13">
            <w:pPr>
              <w:jc w:val="both"/>
              <w:rPr>
                <w:rFonts w:ascii="Century Gothic" w:hAnsi="Century Gothic" w:cs="Arial"/>
                <w:b/>
                <w:bCs/>
              </w:rPr>
            </w:pPr>
            <w:r w:rsidRPr="00550A8E">
              <w:rPr>
                <w:rFonts w:ascii="Century Gothic" w:hAnsi="Century Gothic" w:cs="Arial"/>
                <w:b/>
                <w:bCs/>
              </w:rPr>
              <w:t>Componente</w:t>
            </w:r>
          </w:p>
          <w:p w14:paraId="35F989A0" w14:textId="77777777" w:rsidR="00251E62" w:rsidRPr="00550A8E" w:rsidRDefault="00251E62" w:rsidP="00DA1F13">
            <w:pPr>
              <w:jc w:val="both"/>
              <w:rPr>
                <w:rFonts w:ascii="Century Gothic" w:hAnsi="Century Gothic" w:cs="Arial"/>
              </w:rPr>
            </w:pPr>
          </w:p>
        </w:tc>
        <w:tc>
          <w:tcPr>
            <w:tcW w:w="2943" w:type="dxa"/>
          </w:tcPr>
          <w:p w14:paraId="41218E53" w14:textId="77777777" w:rsidR="00251E62" w:rsidRPr="00550A8E" w:rsidRDefault="00251E62" w:rsidP="00DA1F13">
            <w:pPr>
              <w:jc w:val="both"/>
              <w:rPr>
                <w:rFonts w:ascii="Century Gothic" w:hAnsi="Century Gothic" w:cs="Arial"/>
              </w:rPr>
            </w:pPr>
            <w:r w:rsidRPr="00550A8E">
              <w:rPr>
                <w:rFonts w:ascii="Century Gothic" w:hAnsi="Century Gothic" w:cs="Arial"/>
              </w:rPr>
              <w:t>Problema que resuelve</w:t>
            </w:r>
          </w:p>
        </w:tc>
        <w:tc>
          <w:tcPr>
            <w:tcW w:w="2943" w:type="dxa"/>
          </w:tcPr>
          <w:p w14:paraId="3F5DDFC4" w14:textId="77777777" w:rsidR="00251E62" w:rsidRPr="00550A8E" w:rsidRDefault="00251E62" w:rsidP="00DA1F13">
            <w:pPr>
              <w:jc w:val="both"/>
              <w:rPr>
                <w:rFonts w:ascii="Century Gothic" w:hAnsi="Century Gothic" w:cs="Arial"/>
              </w:rPr>
            </w:pPr>
            <w:r w:rsidRPr="00550A8E">
              <w:rPr>
                <w:rFonts w:ascii="Century Gothic" w:hAnsi="Century Gothic" w:cs="Arial"/>
              </w:rPr>
              <w:t>Beneficiario directo</w:t>
            </w:r>
          </w:p>
        </w:tc>
      </w:tr>
      <w:tr w:rsidR="00251E62" w:rsidRPr="00550A8E" w14:paraId="5B34126F" w14:textId="77777777" w:rsidTr="00DA1F13">
        <w:tc>
          <w:tcPr>
            <w:tcW w:w="2942" w:type="dxa"/>
          </w:tcPr>
          <w:p w14:paraId="2E96B3A2" w14:textId="77777777" w:rsidR="00251E62" w:rsidRPr="00550A8E" w:rsidRDefault="00251E62" w:rsidP="00DA1F13">
            <w:pPr>
              <w:jc w:val="both"/>
              <w:rPr>
                <w:rFonts w:ascii="Century Gothic" w:hAnsi="Century Gothic" w:cs="Arial"/>
              </w:rPr>
            </w:pPr>
            <w:r w:rsidRPr="00550A8E">
              <w:rPr>
                <w:rFonts w:ascii="Century Gothic" w:hAnsi="Century Gothic" w:cs="Arial"/>
              </w:rPr>
              <w:t>Riego escalonado</w:t>
            </w:r>
          </w:p>
        </w:tc>
        <w:tc>
          <w:tcPr>
            <w:tcW w:w="2943" w:type="dxa"/>
          </w:tcPr>
          <w:p w14:paraId="66761AF3" w14:textId="77777777" w:rsidR="00251E62" w:rsidRPr="00550A8E" w:rsidRDefault="00251E62" w:rsidP="00DA1F13">
            <w:pPr>
              <w:jc w:val="both"/>
              <w:rPr>
                <w:rFonts w:ascii="Century Gothic" w:hAnsi="Century Gothic" w:cs="Arial"/>
              </w:rPr>
            </w:pPr>
            <w:r w:rsidRPr="00550A8E">
              <w:rPr>
                <w:rFonts w:ascii="Century Gothic" w:hAnsi="Century Gothic" w:cs="Arial"/>
              </w:rPr>
              <w:t>Mortalidad arbórea y dependencia hídrica municipal</w:t>
            </w:r>
          </w:p>
        </w:tc>
        <w:tc>
          <w:tcPr>
            <w:tcW w:w="2943" w:type="dxa"/>
          </w:tcPr>
          <w:p w14:paraId="5BF4D8F5" w14:textId="77777777" w:rsidR="00251E62" w:rsidRPr="00550A8E" w:rsidRDefault="00251E62" w:rsidP="00DA1F13">
            <w:pPr>
              <w:jc w:val="both"/>
              <w:rPr>
                <w:rFonts w:ascii="Century Gothic" w:hAnsi="Century Gothic" w:cs="Arial"/>
              </w:rPr>
            </w:pPr>
            <w:r w:rsidRPr="00550A8E">
              <w:rPr>
                <w:rFonts w:ascii="Century Gothic" w:hAnsi="Century Gothic" w:cs="Arial"/>
              </w:rPr>
              <w:t>Municipio y colonos</w:t>
            </w:r>
          </w:p>
        </w:tc>
      </w:tr>
      <w:tr w:rsidR="00251E62" w:rsidRPr="00550A8E" w14:paraId="1CCCFE25" w14:textId="77777777" w:rsidTr="00DA1F13">
        <w:tc>
          <w:tcPr>
            <w:tcW w:w="2942" w:type="dxa"/>
          </w:tcPr>
          <w:p w14:paraId="77B40795" w14:textId="77777777" w:rsidR="00251E62" w:rsidRPr="00550A8E" w:rsidRDefault="00251E62" w:rsidP="00DA1F13">
            <w:pPr>
              <w:jc w:val="both"/>
              <w:rPr>
                <w:rFonts w:ascii="Century Gothic" w:hAnsi="Century Gothic" w:cs="Arial"/>
              </w:rPr>
            </w:pPr>
            <w:r w:rsidRPr="00550A8E">
              <w:rPr>
                <w:rFonts w:ascii="Century Gothic" w:hAnsi="Century Gothic" w:cs="Arial"/>
              </w:rPr>
              <w:t>Mercados Verdes</w:t>
            </w:r>
          </w:p>
        </w:tc>
        <w:tc>
          <w:tcPr>
            <w:tcW w:w="2943" w:type="dxa"/>
          </w:tcPr>
          <w:p w14:paraId="5093E879" w14:textId="77777777" w:rsidR="00251E62" w:rsidRPr="00550A8E" w:rsidRDefault="00251E62" w:rsidP="00DA1F13">
            <w:pPr>
              <w:jc w:val="both"/>
              <w:rPr>
                <w:rFonts w:ascii="Century Gothic" w:hAnsi="Century Gothic" w:cs="Arial"/>
              </w:rPr>
            </w:pPr>
            <w:r w:rsidRPr="00550A8E">
              <w:rPr>
                <w:rFonts w:ascii="Century Gothic" w:hAnsi="Century Gothic" w:cs="Arial"/>
              </w:rPr>
              <w:t>Precariedad económica, segregación comercial, inseguridad</w:t>
            </w:r>
          </w:p>
        </w:tc>
        <w:tc>
          <w:tcPr>
            <w:tcW w:w="2943" w:type="dxa"/>
          </w:tcPr>
          <w:p w14:paraId="554A41D9" w14:textId="77777777" w:rsidR="00251E62" w:rsidRPr="00550A8E" w:rsidRDefault="00251E62" w:rsidP="00DA1F13">
            <w:pPr>
              <w:jc w:val="both"/>
              <w:rPr>
                <w:rFonts w:ascii="Century Gothic" w:hAnsi="Century Gothic" w:cs="Arial"/>
              </w:rPr>
            </w:pPr>
            <w:r w:rsidRPr="00550A8E">
              <w:rPr>
                <w:rFonts w:ascii="Century Gothic" w:hAnsi="Century Gothic" w:cs="Arial"/>
              </w:rPr>
              <w:t>Vendedores, familias, colonia</w:t>
            </w:r>
          </w:p>
        </w:tc>
      </w:tr>
      <w:tr w:rsidR="00251E62" w:rsidRPr="00550A8E" w14:paraId="63317D09" w14:textId="77777777" w:rsidTr="00DA1F13">
        <w:tc>
          <w:tcPr>
            <w:tcW w:w="2942" w:type="dxa"/>
          </w:tcPr>
          <w:p w14:paraId="7F3EA2E3" w14:textId="77777777" w:rsidR="00251E62" w:rsidRPr="00550A8E" w:rsidRDefault="00251E62" w:rsidP="00DA1F13">
            <w:pPr>
              <w:jc w:val="both"/>
              <w:rPr>
                <w:rFonts w:ascii="Century Gothic" w:hAnsi="Century Gothic" w:cs="Arial"/>
              </w:rPr>
            </w:pPr>
            <w:r w:rsidRPr="00550A8E">
              <w:rPr>
                <w:rFonts w:ascii="Century Gothic" w:hAnsi="Century Gothic" w:cs="Arial"/>
              </w:rPr>
              <w:t>Captación pluvial</w:t>
            </w:r>
          </w:p>
        </w:tc>
        <w:tc>
          <w:tcPr>
            <w:tcW w:w="2943" w:type="dxa"/>
          </w:tcPr>
          <w:p w14:paraId="20FBC951" w14:textId="77777777" w:rsidR="00251E62" w:rsidRPr="00550A8E" w:rsidRDefault="00251E62" w:rsidP="00DA1F13">
            <w:pPr>
              <w:jc w:val="both"/>
              <w:rPr>
                <w:rFonts w:ascii="Century Gothic" w:hAnsi="Century Gothic" w:cs="Arial"/>
              </w:rPr>
            </w:pPr>
            <w:r w:rsidRPr="00550A8E">
              <w:rPr>
                <w:rFonts w:ascii="Century Gothic" w:hAnsi="Century Gothic" w:cs="Arial"/>
              </w:rPr>
              <w:t>Sobreexplotación del acuífero, inundaciones, escorrentía</w:t>
            </w:r>
          </w:p>
        </w:tc>
        <w:tc>
          <w:tcPr>
            <w:tcW w:w="2943" w:type="dxa"/>
          </w:tcPr>
          <w:p w14:paraId="7666DCCC" w14:textId="77777777" w:rsidR="00251E62" w:rsidRPr="00550A8E" w:rsidRDefault="00251E62" w:rsidP="00DA1F13">
            <w:pPr>
              <w:jc w:val="both"/>
              <w:rPr>
                <w:rFonts w:ascii="Century Gothic" w:hAnsi="Century Gothic" w:cs="Arial"/>
              </w:rPr>
            </w:pPr>
            <w:r w:rsidRPr="00550A8E">
              <w:rPr>
                <w:rFonts w:ascii="Century Gothic" w:hAnsi="Century Gothic" w:cs="Arial"/>
              </w:rPr>
              <w:t>Ciudad entera</w:t>
            </w:r>
          </w:p>
        </w:tc>
      </w:tr>
    </w:tbl>
    <w:p w14:paraId="7C96B714" w14:textId="77777777" w:rsidR="00251E62" w:rsidRPr="00550A8E" w:rsidRDefault="00251E62" w:rsidP="00251E62">
      <w:pPr>
        <w:jc w:val="both"/>
        <w:rPr>
          <w:rFonts w:ascii="Century Gothic" w:hAnsi="Century Gothic" w:cs="Arial"/>
        </w:rPr>
      </w:pPr>
    </w:p>
    <w:p w14:paraId="26172DF6" w14:textId="77777777" w:rsidR="000B2E2E" w:rsidRPr="00550A8E" w:rsidRDefault="000B2E2E" w:rsidP="000B2E2E">
      <w:pPr>
        <w:jc w:val="both"/>
        <w:rPr>
          <w:rFonts w:ascii="Century Gothic" w:hAnsi="Century Gothic" w:cs="Arial"/>
        </w:rPr>
      </w:pPr>
      <w:r w:rsidRPr="00550A8E">
        <w:rPr>
          <w:rFonts w:ascii="Century Gothic" w:hAnsi="Century Gothic" w:cs="Arial"/>
        </w:rPr>
        <w:t>Arquitectura del Sistema: Del Techo al Acuífero</w:t>
      </w:r>
    </w:p>
    <w:p w14:paraId="624B062A" w14:textId="77777777" w:rsidR="000B2E2E" w:rsidRPr="00550A8E" w:rsidRDefault="000B2E2E" w:rsidP="000B2E2E">
      <w:pPr>
        <w:jc w:val="both"/>
        <w:rPr>
          <w:rFonts w:ascii="Century Gothic" w:hAnsi="Century Gothic" w:cs="Arial"/>
        </w:rPr>
      </w:pPr>
      <w:r w:rsidRPr="00550A8E">
        <w:rPr>
          <w:rFonts w:ascii="Century Gothic" w:hAnsi="Century Gothic" w:cs="Arial"/>
        </w:rPr>
        <w:t>El sistema propuesto opera en cuatro eslabones encadenados que transforman la lluvia de un problema de drenaje en un recurso hídrico comunitario activo.</w:t>
      </w:r>
    </w:p>
    <w:p w14:paraId="73386441" w14:textId="77777777" w:rsidR="000B2E2E" w:rsidRPr="00550A8E" w:rsidRDefault="000B2E2E" w:rsidP="000B2E2E">
      <w:pPr>
        <w:jc w:val="both"/>
        <w:rPr>
          <w:rFonts w:ascii="Century Gothic" w:hAnsi="Century Gothic" w:cs="Arial"/>
        </w:rPr>
      </w:pPr>
      <w:r w:rsidRPr="00550A8E">
        <w:rPr>
          <w:rFonts w:ascii="Century Gothic" w:hAnsi="Century Gothic" w:cs="Arial"/>
        </w:rPr>
        <w:t>Eslabón 1 — Captación en cubierta</w:t>
      </w:r>
    </w:p>
    <w:p w14:paraId="556AFA23" w14:textId="77777777" w:rsidR="000B2E2E" w:rsidRPr="00550A8E" w:rsidRDefault="000B2E2E" w:rsidP="000B2E2E">
      <w:pPr>
        <w:jc w:val="both"/>
        <w:rPr>
          <w:rFonts w:ascii="Century Gothic" w:hAnsi="Century Gothic" w:cs="Arial"/>
        </w:rPr>
      </w:pPr>
      <w:r w:rsidRPr="00550A8E">
        <w:rPr>
          <w:rFonts w:ascii="Century Gothic" w:hAnsi="Century Gothic" w:cs="Arial"/>
        </w:rPr>
        <w:t>Cada módulo comercial del Mercado Verde Barrial incorpora desde su diseño constructivo original una cubierta con doble función: proteger el interior del puesto de la lluvia y captar activamente el agua precipitada. Los techos se diseñan con una inclinación mínima del 5% y con canaletas perimetrales de aluminio o PVC que conducen el agua captada hacia bajantes verticales conectados al sistema de almacenamiento.</w:t>
      </w:r>
    </w:p>
    <w:p w14:paraId="040AF98B" w14:textId="77777777" w:rsidR="000B2E2E" w:rsidRPr="00550A8E" w:rsidRDefault="000B2E2E" w:rsidP="000B2E2E">
      <w:pPr>
        <w:jc w:val="both"/>
        <w:rPr>
          <w:rFonts w:ascii="Century Gothic" w:hAnsi="Century Gothic" w:cs="Arial"/>
        </w:rPr>
      </w:pPr>
      <w:r w:rsidRPr="00550A8E">
        <w:rPr>
          <w:rFonts w:ascii="Century Gothic" w:hAnsi="Century Gothic" w:cs="Arial"/>
        </w:rPr>
        <w:lastRenderedPageBreak/>
        <w:t>La superficie de captación efectiva por módulo varía entre 12 y 30 metros cuadrados según el tamaño de la edificación. Aplicando el coeficiente de escorrentía de superficies metálicas o de policarbonato —que oscila entre 0.85 y 0.95— y considerando la precipitación media anual de Aguascalientes de 530 mm, un módulo de 20 m² de techo puede captar entre 9,010 y 10,070 litros de agua por ciclo anual de lluvias. En un nodo de mercado con 20 módulos comerciales, la captación agregada oscila entre 180,000 y 201,400 litros por temporada, equivalentes aproximadamente a llenar entre 180 y 201 tinacos domésticos estándar de 1,000 litros, obtenidos sin perforar un solo centímetro adicional del acuífero.</w:t>
      </w:r>
    </w:p>
    <w:p w14:paraId="34140165" w14:textId="77777777" w:rsidR="000B2E2E" w:rsidRPr="00550A8E" w:rsidRDefault="000B2E2E" w:rsidP="000B2E2E">
      <w:pPr>
        <w:jc w:val="both"/>
        <w:rPr>
          <w:rFonts w:ascii="Century Gothic" w:hAnsi="Century Gothic" w:cs="Arial"/>
        </w:rPr>
      </w:pPr>
      <w:r w:rsidRPr="00550A8E">
        <w:rPr>
          <w:rFonts w:ascii="Century Gothic" w:hAnsi="Century Gothic" w:cs="Arial"/>
        </w:rPr>
        <w:t>Esta cifra se incrementa sustancialmente si se suman las superficies de captación de las áreas techadas comunes del mercado —corredores, plazas con pérgola, zona gastronómica cubierta— que pueden duplicar o triplicar la superficie efectiva de recolección del conjunto.</w:t>
      </w:r>
    </w:p>
    <w:p w14:paraId="7E86467F" w14:textId="77777777" w:rsidR="000B2E2E" w:rsidRPr="00550A8E" w:rsidRDefault="000B2E2E" w:rsidP="000B2E2E">
      <w:pPr>
        <w:jc w:val="both"/>
        <w:rPr>
          <w:rFonts w:ascii="Century Gothic" w:hAnsi="Century Gothic" w:cs="Arial"/>
        </w:rPr>
      </w:pPr>
      <w:r w:rsidRPr="00550A8E">
        <w:rPr>
          <w:rFonts w:ascii="Century Gothic" w:hAnsi="Century Gothic" w:cs="Arial"/>
        </w:rPr>
        <w:t>Eslabón 2 — Almacenamiento subterráneo y distribución bifurcada</w:t>
      </w:r>
    </w:p>
    <w:p w14:paraId="004B68EE" w14:textId="77777777" w:rsidR="000B2E2E" w:rsidRPr="00550A8E" w:rsidRDefault="000B2E2E" w:rsidP="000B2E2E">
      <w:pPr>
        <w:jc w:val="both"/>
        <w:rPr>
          <w:rFonts w:ascii="Century Gothic" w:hAnsi="Century Gothic" w:cs="Arial"/>
        </w:rPr>
      </w:pPr>
      <w:r w:rsidRPr="00550A8E">
        <w:rPr>
          <w:rFonts w:ascii="Century Gothic" w:hAnsi="Century Gothic" w:cs="Arial"/>
        </w:rPr>
        <w:t>El agua captada en los techos converge mediante una red de tuberías enterradas hacia uno o varios depósitos de almacenamiento subterráneo ubicados estratégicamente dentro del predio del bosque. La disposición subterránea no es un detalle menor: elimina la evaporación que afecta a los depósitos superficiales expuestos al sol —pérdida que en climas semiáridos como el de Aguascalientes puede superar el 30% del volumen almacenado durante los meses de mayor insolación—, protege el agua de la contaminación atmosférica y libera la superficie del suelo para usos forestales y recreativos.</w:t>
      </w:r>
    </w:p>
    <w:p w14:paraId="6805306D" w14:textId="77777777" w:rsidR="000B2E2E" w:rsidRPr="00550A8E" w:rsidRDefault="000B2E2E" w:rsidP="000B2E2E">
      <w:pPr>
        <w:jc w:val="both"/>
        <w:rPr>
          <w:rFonts w:ascii="Century Gothic" w:hAnsi="Century Gothic" w:cs="Arial"/>
        </w:rPr>
      </w:pPr>
      <w:r w:rsidRPr="00550A8E">
        <w:rPr>
          <w:rFonts w:ascii="Century Gothic" w:hAnsi="Century Gothic" w:cs="Arial"/>
        </w:rPr>
        <w:t>Dentro del depósito, el sistema establece una distribución bifurcada que es el núcleo político e hidráulico de la propuesta:</w:t>
      </w:r>
    </w:p>
    <w:p w14:paraId="2A1FA7C2"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La primera línea de distribución conecta el depósito con el sistema de riego por goteo del bosque urbano, asegurando que los árboles, arbustos y jardines del nodo reciban agua de lluvia captada antes de recurrir a cualquier fuente municipal. Durante los meses de temporada de lluvias —junio a octubre en Aguascalientes— esta línea puede satisfacer la totalidad de las necesidades hídricas del bosque sin ningún aporte externo, convirtiendo al arbolado en un sistema autosustentable desde el punto de vista del riego. Esto elimina uno de los principales argumentos fiscales en </w:t>
      </w:r>
      <w:r w:rsidRPr="00550A8E">
        <w:rPr>
          <w:rFonts w:ascii="Century Gothic" w:hAnsi="Century Gothic" w:cs="Arial"/>
        </w:rPr>
        <w:lastRenderedPageBreak/>
        <w:t>contra de la arborización urbana intensiva: el costo recurrente e indefinido del agua de mantenimiento.</w:t>
      </w:r>
    </w:p>
    <w:p w14:paraId="1B737D65" w14:textId="77777777" w:rsidR="000B2E2E" w:rsidRPr="00550A8E" w:rsidRDefault="000B2E2E" w:rsidP="000B2E2E">
      <w:pPr>
        <w:jc w:val="both"/>
        <w:rPr>
          <w:rFonts w:ascii="Century Gothic" w:hAnsi="Century Gothic" w:cs="Arial"/>
        </w:rPr>
      </w:pPr>
      <w:r w:rsidRPr="00550A8E">
        <w:rPr>
          <w:rFonts w:ascii="Century Gothic" w:hAnsi="Century Gothic" w:cs="Arial"/>
        </w:rPr>
        <w:t>La segunda línea de distribución dirige el excedente hídrico —el volumen que supera las necesidades de riego del bosque— hacia una red de acceso comunitario. Esta red puede adoptar varias modalidades según las necesidades de cada colonia: tomas comunitarias con sistema de control de acceso por tarjeta o registro vecinal, conexión a los módulos comerciales del propio mercado para suministro de agua operativa durante la temporada de lluvias, o distribución mediante pipas propias del mercado hacia las manzanas colindantes con mayor escasez. La decisión sobre el modelo de distribución corresponde a la asamblea de la asociación de locatarios y vecinos del nodo, garantizando que la solución responda a la realidad específica de cada colonia y no a un formato uniforme impuesto desde el escritorio de planeación municipal.</w:t>
      </w:r>
    </w:p>
    <w:p w14:paraId="389E3CD8" w14:textId="77777777" w:rsidR="000B2E2E" w:rsidRPr="00550A8E" w:rsidRDefault="000B2E2E" w:rsidP="000B2E2E">
      <w:pPr>
        <w:jc w:val="both"/>
        <w:rPr>
          <w:rFonts w:ascii="Century Gothic" w:hAnsi="Century Gothic" w:cs="Arial"/>
        </w:rPr>
      </w:pPr>
      <w:r w:rsidRPr="00550A8E">
        <w:rPr>
          <w:rFonts w:ascii="Century Gothic" w:hAnsi="Century Gothic" w:cs="Arial"/>
        </w:rPr>
        <w:t>Eslabón 3 — Suministro hídrico autónomo para los comercios</w:t>
      </w:r>
    </w:p>
    <w:p w14:paraId="29910A4E" w14:textId="77777777" w:rsidR="000B2E2E" w:rsidRPr="00550A8E" w:rsidRDefault="000B2E2E" w:rsidP="000B2E2E">
      <w:pPr>
        <w:jc w:val="both"/>
        <w:rPr>
          <w:rFonts w:ascii="Century Gothic" w:hAnsi="Century Gothic" w:cs="Arial"/>
        </w:rPr>
      </w:pPr>
      <w:r w:rsidRPr="00550A8E">
        <w:rPr>
          <w:rFonts w:ascii="Century Gothic" w:hAnsi="Century Gothic" w:cs="Arial"/>
        </w:rPr>
        <w:t>Este eslabón merece especial atención porque resuelve una contradicción que cualquier oponente técnico de la propuesta podría señalar ante el Congreso: la de instalar un espacio comercial con demanda de agua en una zona que ya padece escasez hídrica, potencialmente compitiendo con el uso doméstico de los vecinos por un recurso escaso.</w:t>
      </w:r>
    </w:p>
    <w:p w14:paraId="3C451207" w14:textId="77777777" w:rsidR="000B2E2E" w:rsidRPr="00550A8E" w:rsidRDefault="000B2E2E" w:rsidP="000B2E2E">
      <w:pPr>
        <w:jc w:val="both"/>
        <w:rPr>
          <w:rFonts w:ascii="Century Gothic" w:hAnsi="Century Gothic" w:cs="Arial"/>
        </w:rPr>
      </w:pPr>
      <w:r w:rsidRPr="00550A8E">
        <w:rPr>
          <w:rFonts w:ascii="Century Gothic" w:hAnsi="Century Gothic" w:cs="Arial"/>
        </w:rPr>
        <w:t>El sistema de captación pluvial integrado elimina esta contradicción de raíz. Durante la temporada de lluvias, que comprende aproximadamente cinco meses del año y concentra entre el 70% y el 80% de la precipitación anual de Aguascalientes, los módulos comerciales operan con plena autonomía hídrica respecto a la red municipal. El agua que utilizan para la preparación de alimentos, el lavado de utensilios, la limpieza de instalaciones y el abastecimiento de servicios sanitarios proviene exclusivamente de la captación propia de sus techos, almacenada en los depósitos subterráneos del nodo.</w:t>
      </w:r>
    </w:p>
    <w:p w14:paraId="40D15928"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Esto tiene consecuencias que van más allá de la ingeniería hídrica. Para el comerciante que se instala en el Mercado Verde, la garantía de suministro de agua independiente del sistema municipal representa una certeza operativa que difícilmente encontrará en cualquier otro espacio comercial de la ciudad. Los cortes de agua —que en colonias marginadas de Aguascalientes pueden extenderse varios días consecutivos— no </w:t>
      </w:r>
      <w:r w:rsidRPr="00550A8E">
        <w:rPr>
          <w:rFonts w:ascii="Century Gothic" w:hAnsi="Century Gothic" w:cs="Arial"/>
        </w:rPr>
        <w:lastRenderedPageBreak/>
        <w:t>interrumpirán su actividad durante los meses de mayor captación. Esta certeza reduce el riesgo percibido de establecerse formalmente en el mercado, atrae a comerciantes que de otra forma optarían por la informalidad itinerante, y fortalece la viabilidad económica del conjunto en su etapa más vulnerable: los primeros dos años de operación.</w:t>
      </w:r>
    </w:p>
    <w:p w14:paraId="3A56195D" w14:textId="77777777" w:rsidR="000B2E2E" w:rsidRPr="00550A8E" w:rsidRDefault="000B2E2E" w:rsidP="000B2E2E">
      <w:pPr>
        <w:jc w:val="both"/>
        <w:rPr>
          <w:rFonts w:ascii="Century Gothic" w:hAnsi="Century Gothic" w:cs="Arial"/>
        </w:rPr>
      </w:pPr>
      <w:r w:rsidRPr="00550A8E">
        <w:rPr>
          <w:rFonts w:ascii="Century Gothic" w:hAnsi="Century Gothic" w:cs="Arial"/>
        </w:rPr>
        <w:t>Durante la temporada seca —noviembre a mayo— el sistema recurre a la red municipal de forma regulada y eficiente, dado que los depósitos habrán acumulado reservas durante los cinco meses previos. La combinación de ambos períodos resulta en una reducción estimada del consumo hídrico municipal por parte del conjunto del mercado de entre el 55% y el 65% respecto a un espacio comercial equivalente sin captación propia.</w:t>
      </w:r>
    </w:p>
    <w:p w14:paraId="1417E9B7" w14:textId="77777777" w:rsidR="000B2E2E" w:rsidRPr="00550A8E" w:rsidRDefault="000B2E2E" w:rsidP="000B2E2E">
      <w:pPr>
        <w:jc w:val="both"/>
        <w:rPr>
          <w:rFonts w:ascii="Century Gothic" w:hAnsi="Century Gothic" w:cs="Arial"/>
        </w:rPr>
      </w:pPr>
      <w:r w:rsidRPr="00550A8E">
        <w:rPr>
          <w:rFonts w:ascii="Century Gothic" w:hAnsi="Century Gothic" w:cs="Arial"/>
        </w:rPr>
        <w:t>Eslabón 4 — Infiltración controlada y regeneración de mantos acuíferos</w:t>
      </w:r>
    </w:p>
    <w:p w14:paraId="746DDEA7" w14:textId="77777777" w:rsidR="000B2E2E" w:rsidRPr="00550A8E" w:rsidRDefault="000B2E2E" w:rsidP="000B2E2E">
      <w:pPr>
        <w:jc w:val="both"/>
        <w:rPr>
          <w:rFonts w:ascii="Century Gothic" w:hAnsi="Century Gothic" w:cs="Arial"/>
        </w:rPr>
      </w:pPr>
      <w:r w:rsidRPr="00550A8E">
        <w:rPr>
          <w:rFonts w:ascii="Century Gothic" w:hAnsi="Century Gothic" w:cs="Arial"/>
        </w:rPr>
        <w:t>El cuarto eslabón es el de mayor impacto sistémico a largo plazo, aunque también el de retorno más diferido en el tiempo. Consiste en la creación de zonas especialmente diseñadas para permitir que el agua captada y los excedentes de riego del bosque se infiltren lentamente hacia el subsuelo, contribuyendo a la recarga activa del acuífero local.</w:t>
      </w:r>
    </w:p>
    <w:p w14:paraId="3603B051" w14:textId="77777777" w:rsidR="000B2E2E" w:rsidRPr="00550A8E" w:rsidRDefault="000B2E2E" w:rsidP="000B2E2E">
      <w:pPr>
        <w:jc w:val="both"/>
        <w:rPr>
          <w:rFonts w:ascii="Century Gothic" w:hAnsi="Century Gothic" w:cs="Arial"/>
        </w:rPr>
      </w:pPr>
      <w:r w:rsidRPr="00550A8E">
        <w:rPr>
          <w:rFonts w:ascii="Century Gothic" w:hAnsi="Century Gothic" w:cs="Arial"/>
        </w:rPr>
        <w:t>Este eslabón se implementa mediante tres mecanismos complementarios:</w:t>
      </w:r>
    </w:p>
    <w:p w14:paraId="468FF2CF" w14:textId="77777777" w:rsidR="000B2E2E" w:rsidRPr="00550A8E" w:rsidRDefault="000B2E2E" w:rsidP="000B2E2E">
      <w:pPr>
        <w:jc w:val="both"/>
        <w:rPr>
          <w:rFonts w:ascii="Century Gothic" w:hAnsi="Century Gothic" w:cs="Arial"/>
        </w:rPr>
      </w:pPr>
      <w:r w:rsidRPr="00550A8E">
        <w:rPr>
          <w:rFonts w:ascii="Century Gothic" w:hAnsi="Century Gothic" w:cs="Arial"/>
        </w:rPr>
        <w:t xml:space="preserve">El primero es la permeabilidad del suelo forestal. Los sistemas radiculares de los árboles nativos que conforman el bosque mantienen la estructura del suelo en condiciones óptimas de absorción, generando una porosidad natural que permite tasas de infiltración significativamente superiores a las de cualquier superficie urbana convencional. En suelos tipo </w:t>
      </w:r>
      <w:proofErr w:type="spellStart"/>
      <w:r w:rsidRPr="00550A8E">
        <w:rPr>
          <w:rFonts w:ascii="Century Gothic" w:hAnsi="Century Gothic" w:cs="Arial"/>
        </w:rPr>
        <w:t>Feozem</w:t>
      </w:r>
      <w:proofErr w:type="spellEnd"/>
      <w:r w:rsidRPr="00550A8E">
        <w:rPr>
          <w:rFonts w:ascii="Century Gothic" w:hAnsi="Century Gothic" w:cs="Arial"/>
        </w:rPr>
        <w:t xml:space="preserve"> —predominantes en gran parte de Aguascalientes— esta capacidad de infiltración puede alcanzar entre 15 y 40 mm por hora durante un evento de lluvia, frente a prácticamente cero en superficies asfaltadas o de concreto.</w:t>
      </w:r>
    </w:p>
    <w:p w14:paraId="1B62D1CF" w14:textId="77777777" w:rsidR="000B2E2E" w:rsidRPr="00550A8E" w:rsidRDefault="000B2E2E" w:rsidP="000B2E2E">
      <w:pPr>
        <w:jc w:val="both"/>
        <w:rPr>
          <w:rFonts w:ascii="Century Gothic" w:hAnsi="Century Gothic" w:cs="Arial"/>
        </w:rPr>
      </w:pPr>
      <w:r w:rsidRPr="00550A8E">
        <w:rPr>
          <w:rFonts w:ascii="Century Gothic" w:hAnsi="Century Gothic" w:cs="Arial"/>
        </w:rPr>
        <w:t>El segundo mecanismo son las zanjas de infiltración perimetrales, canales de poca profundidad excavados en el contorno del bosque y rellenos de grava y material orgánico que capturan el excedente de escorrentía superficial del entorno inmediato y lo conducen lentamente hacia el subsuelo. Una zanja de infiltración de 50 metros de longitud, 60 centímetros de ancho y 80 centímetros de profundidad puede infiltrar hasta 24,000 litros de agua por evento de lluvia moderado, dependiendo de las características del sustrato.</w:t>
      </w:r>
    </w:p>
    <w:p w14:paraId="3917A72D" w14:textId="77777777" w:rsidR="000B2E2E" w:rsidRPr="00550A8E" w:rsidRDefault="000B2E2E" w:rsidP="000B2E2E">
      <w:pPr>
        <w:jc w:val="both"/>
        <w:rPr>
          <w:rFonts w:ascii="Century Gothic" w:hAnsi="Century Gothic" w:cs="Arial"/>
        </w:rPr>
      </w:pPr>
      <w:r w:rsidRPr="00550A8E">
        <w:rPr>
          <w:rFonts w:ascii="Century Gothic" w:hAnsi="Century Gothic" w:cs="Arial"/>
        </w:rPr>
        <w:lastRenderedPageBreak/>
        <w:t>El tercer mecanismo, y el más innovador desde el punto de vista legislativo, es la articulación directa con los jardines de agua propuestos por la diputada Jedsabel Sánchez Montes.</w:t>
      </w:r>
    </w:p>
    <w:p w14:paraId="5B752CEE" w14:textId="77777777" w:rsidR="000B2E2E" w:rsidRPr="00550A8E" w:rsidRDefault="000B2E2E" w:rsidP="000B2E2E">
      <w:pPr>
        <w:jc w:val="both"/>
        <w:rPr>
          <w:rFonts w:ascii="Century Gothic" w:hAnsi="Century Gothic" w:cs="Arial"/>
          <w:b/>
          <w:bCs/>
        </w:rPr>
      </w:pPr>
      <w:r w:rsidRPr="00550A8E">
        <w:rPr>
          <w:rFonts w:ascii="Century Gothic" w:hAnsi="Century Gothic" w:cs="Arial"/>
          <w:b/>
          <w:bCs/>
        </w:rPr>
        <w:t xml:space="preserve">Articulación con los Jardines de lluvia </w:t>
      </w:r>
    </w:p>
    <w:p w14:paraId="3949A085" w14:textId="77777777" w:rsidR="000B2E2E" w:rsidRPr="00550A8E" w:rsidRDefault="000B2E2E" w:rsidP="000B2E2E">
      <w:pPr>
        <w:jc w:val="both"/>
        <w:rPr>
          <w:rFonts w:ascii="Century Gothic" w:hAnsi="Century Gothic" w:cs="Arial"/>
        </w:rPr>
      </w:pPr>
      <w:r w:rsidRPr="00550A8E">
        <w:rPr>
          <w:rFonts w:ascii="Century Gothic" w:hAnsi="Century Gothic" w:cs="Arial"/>
        </w:rPr>
        <w:t>La propuesta de jardines de agua impulsada por la diputada Jedsabel Sánchez Montes representa una visión legislativa complementaria y sinérgica con el Bosque Urbano Productivo en su dimensión más crítica: la regeneración de los mantos acuíferos sobreexplotados de Aguascalientes.</w:t>
      </w:r>
    </w:p>
    <w:p w14:paraId="589FE408" w14:textId="77777777" w:rsidR="000B2E2E" w:rsidRPr="00550A8E" w:rsidRDefault="000B2E2E" w:rsidP="000B2E2E">
      <w:pPr>
        <w:jc w:val="both"/>
        <w:rPr>
          <w:rFonts w:ascii="Century Gothic" w:hAnsi="Century Gothic" w:cs="Arial"/>
        </w:rPr>
      </w:pPr>
      <w:r w:rsidRPr="00550A8E">
        <w:rPr>
          <w:rFonts w:ascii="Century Gothic" w:hAnsi="Century Gothic" w:cs="Arial"/>
        </w:rPr>
        <w:t>Los jardines de lluvia, concebidos como superficies de vegetación y sustrato permeable diseñadas específicamente para maximizar la infiltración pluvial hacia el subsuelo, encuentran en el bosque urbano su escala territorial natural de implementación. Mientras que un jardín de agua aislado actúa como un punto singular de recarga, la integración de jardines de agua dentro de la red de Bosques Urbanos Productivos distribuidos a lo largo de las colonias marginadas de la ciudad crea una red de recarga distribuida que multiplica exponencialmente el impacto hidrológico de ambas iniciativas por separado.</w:t>
      </w:r>
    </w:p>
    <w:p w14:paraId="08FBFF52" w14:textId="77777777" w:rsidR="000B2E2E" w:rsidRPr="00550A8E" w:rsidRDefault="000B2E2E" w:rsidP="000B2E2E">
      <w:pPr>
        <w:jc w:val="both"/>
        <w:rPr>
          <w:rFonts w:ascii="Century Gothic" w:hAnsi="Century Gothic" w:cs="Arial"/>
        </w:rPr>
      </w:pPr>
      <w:r w:rsidRPr="00550A8E">
        <w:rPr>
          <w:rFonts w:ascii="Century Gothic" w:hAnsi="Century Gothic" w:cs="Arial"/>
        </w:rPr>
        <w:t>La propuesta concreta es la siguiente: cada nodo de Mercado Verde Barrial destine entre el 15% y el 25% de su superficie total a la implementación de un jardín de agua bajo los estándares técnicos definidos por la iniciativa de la diputada Jedsabel Sánchez Montes. Esta superficie se ubica preferentemente en las zonas de mayor profundidad radicular del bosque, donde la presencia de árboles maduros garantiza la estabilidad estructural del suelo y la biodiversidad microbiana necesaria para la biorremediación del agua antes de su infiltración.</w:t>
      </w:r>
    </w:p>
    <w:p w14:paraId="0BA6DE0B" w14:textId="77777777" w:rsidR="00251E62" w:rsidRPr="00550A8E" w:rsidRDefault="00251E62" w:rsidP="00CD30B3">
      <w:pPr>
        <w:jc w:val="both"/>
        <w:rPr>
          <w:rFonts w:ascii="Century Gothic" w:hAnsi="Century Gothic" w:cs="Arial"/>
        </w:rPr>
      </w:pPr>
    </w:p>
    <w:p w14:paraId="12B360C7" w14:textId="77777777" w:rsidR="00251E62" w:rsidRPr="00550A8E" w:rsidRDefault="00251E62" w:rsidP="00251E62">
      <w:pPr>
        <w:jc w:val="both"/>
        <w:rPr>
          <w:rFonts w:ascii="Century Gothic" w:hAnsi="Century Gothic" w:cs="Arial"/>
          <w:b/>
          <w:bCs/>
        </w:rPr>
      </w:pPr>
      <w:r w:rsidRPr="00550A8E">
        <w:rPr>
          <w:rFonts w:ascii="Century Gothic" w:hAnsi="Century Gothic" w:cs="Arial"/>
          <w:b/>
          <w:bCs/>
        </w:rPr>
        <w:t xml:space="preserve">Modelo de Gestión, Gobernanza y </w:t>
      </w:r>
      <w:proofErr w:type="spellStart"/>
      <w:r w:rsidRPr="00550A8E">
        <w:rPr>
          <w:rFonts w:ascii="Century Gothic" w:hAnsi="Century Gothic" w:cs="Arial"/>
          <w:b/>
          <w:bCs/>
        </w:rPr>
        <w:t>Autosustentabilidad</w:t>
      </w:r>
      <w:proofErr w:type="spellEnd"/>
      <w:r w:rsidRPr="00550A8E">
        <w:rPr>
          <w:rFonts w:ascii="Century Gothic" w:hAnsi="Century Gothic" w:cs="Arial"/>
          <w:b/>
          <w:bCs/>
        </w:rPr>
        <w:t xml:space="preserve"> Financiera</w:t>
      </w:r>
    </w:p>
    <w:p w14:paraId="06946D57" w14:textId="77777777" w:rsidR="00251E62" w:rsidRPr="00550A8E" w:rsidRDefault="00251E62" w:rsidP="00251E62">
      <w:pPr>
        <w:jc w:val="both"/>
        <w:rPr>
          <w:rFonts w:ascii="Century Gothic" w:hAnsi="Century Gothic" w:cs="Arial"/>
        </w:rPr>
      </w:pPr>
      <w:r w:rsidRPr="00550A8E">
        <w:rPr>
          <w:rFonts w:ascii="Century Gothic" w:hAnsi="Century Gothic" w:cs="Arial"/>
        </w:rPr>
        <w:t>El Mercado Verde Barrial no puede depender indefinidamente del presupuesto municipal para su operación cotidiana. El modelo propone una estructura de gobernanza participativa, convirtiendo al municipio en facilitador inicial.</w:t>
      </w:r>
    </w:p>
    <w:p w14:paraId="07335B2E" w14:textId="77777777" w:rsidR="00251E62" w:rsidRPr="00550A8E" w:rsidRDefault="00251E62" w:rsidP="00251E62">
      <w:pPr>
        <w:jc w:val="both"/>
        <w:rPr>
          <w:rFonts w:ascii="Century Gothic" w:hAnsi="Century Gothic" w:cs="Arial"/>
        </w:rPr>
      </w:pPr>
      <w:r w:rsidRPr="00550A8E">
        <w:rPr>
          <w:rFonts w:ascii="Century Gothic" w:hAnsi="Century Gothic" w:cs="Arial"/>
          <w:b/>
          <w:bCs/>
        </w:rPr>
        <w:t>Fase 1 — Municipal (años 1 a 2):</w:t>
      </w:r>
      <w:r w:rsidRPr="00550A8E">
        <w:rPr>
          <w:rFonts w:ascii="Century Gothic" w:hAnsi="Century Gothic" w:cs="Arial"/>
        </w:rPr>
        <w:t xml:space="preserve"> El ayuntamiento instala la infraestructura básica, selecciona los primeros locatarios mediante convocatoria pública con criterios de prioridad para habitantes de la propia colonia, y establece </w:t>
      </w:r>
      <w:r w:rsidRPr="00550A8E">
        <w:rPr>
          <w:rFonts w:ascii="Century Gothic" w:hAnsi="Century Gothic" w:cs="Arial"/>
        </w:rPr>
        <w:lastRenderedPageBreak/>
        <w:t>el fideicomiso o figura jurídica de administración del mercado. Las cuotas de renta de los módulos durante esta fase son simbólicas, permitiendo que los comerciantes establezcan su clientela y flujo de caja.</w:t>
      </w:r>
    </w:p>
    <w:p w14:paraId="583DAC81" w14:textId="77777777" w:rsidR="00251E62" w:rsidRPr="00550A8E" w:rsidRDefault="00251E62" w:rsidP="00251E62">
      <w:pPr>
        <w:jc w:val="both"/>
        <w:rPr>
          <w:rFonts w:ascii="Century Gothic" w:hAnsi="Century Gothic" w:cs="Arial"/>
        </w:rPr>
      </w:pPr>
      <w:r w:rsidRPr="00550A8E">
        <w:rPr>
          <w:rFonts w:ascii="Century Gothic" w:hAnsi="Century Gothic" w:cs="Arial"/>
          <w:b/>
          <w:bCs/>
        </w:rPr>
        <w:t>Fase 2 — Transición comunitaria (años 2 a 4):</w:t>
      </w:r>
      <w:r w:rsidRPr="00550A8E">
        <w:rPr>
          <w:rFonts w:ascii="Century Gothic" w:hAnsi="Century Gothic" w:cs="Arial"/>
        </w:rPr>
        <w:t xml:space="preserve"> Se constituye formalmente una asociación de locatarios con personalidad jurídica propia. Esta asociación asume la administración cotidiana del mercado —limpieza, seguridad, resolución de conflictos entre puestos, programación de actividades culturales— bajo supervisión municipal. Las cuotas de renta se incrementan gradualmente hasta cubrir los costos operativos básicos del espacio, incluyendo el mantenimiento del riego de los árboles.</w:t>
      </w:r>
    </w:p>
    <w:p w14:paraId="510FC4ED" w14:textId="77777777" w:rsidR="00251E62" w:rsidRPr="00550A8E" w:rsidRDefault="00251E62" w:rsidP="00251E62">
      <w:pPr>
        <w:jc w:val="both"/>
        <w:rPr>
          <w:rFonts w:ascii="Century Gothic" w:hAnsi="Century Gothic" w:cs="Arial"/>
        </w:rPr>
      </w:pPr>
      <w:r w:rsidRPr="00550A8E">
        <w:rPr>
          <w:rFonts w:ascii="Century Gothic" w:hAnsi="Century Gothic" w:cs="Arial"/>
          <w:b/>
          <w:bCs/>
        </w:rPr>
        <w:t>Fase 3 — Autonomía sostenida (año 4 en adelante):</w:t>
      </w:r>
      <w:r w:rsidRPr="00550A8E">
        <w:rPr>
          <w:rFonts w:ascii="Century Gothic" w:hAnsi="Century Gothic" w:cs="Arial"/>
        </w:rPr>
        <w:t xml:space="preserve"> La asociación de locatarios opera el mercado de manera autónoma, con auditoría municipal periódica. Un porcentaje acordado de los ingresos por rentas —se sugiere entre el 15% y el 20%— se destina a un fondo de reinversión en el propio bosque: reposición de árboles, expansión de la cobertura vegetal, mantenimiento de los captadores pluviales y mejoras al espacio público. El municipio mantiene la titularidad del predio y la infraestructura, pero la gestión operativa es plenamente comunitaria.</w:t>
      </w:r>
    </w:p>
    <w:p w14:paraId="69F950E0" w14:textId="2A825680" w:rsidR="00CD30B3" w:rsidRPr="00550A8E" w:rsidRDefault="00251E62" w:rsidP="00251E62">
      <w:pPr>
        <w:jc w:val="both"/>
        <w:rPr>
          <w:rFonts w:ascii="Century Gothic" w:hAnsi="Century Gothic" w:cs="Arial"/>
        </w:rPr>
      </w:pPr>
      <w:r w:rsidRPr="00550A8E">
        <w:rPr>
          <w:rFonts w:ascii="Century Gothic" w:hAnsi="Century Gothic" w:cs="Arial"/>
        </w:rPr>
        <w:t>Este modelo de gobernanza tiene un precedente documentado en los mercados de barrio gestionados comunitariamente en ciudades como Bogotá, Montevideo y Guadalajara, donde la transferencia de administración a asociaciones de locatarios redujo los costos municipales de operación en un promedio del 73% respecto a los mercados de administración pública directa, mientras incrementó simultáneamente la satisfacción de usuarios y la diversidad de la oferta comercial.</w:t>
      </w:r>
    </w:p>
    <w:p w14:paraId="2E5294A8" w14:textId="77777777" w:rsidR="00251E62" w:rsidRPr="00550A8E" w:rsidRDefault="00251E62" w:rsidP="00251E62">
      <w:pPr>
        <w:jc w:val="both"/>
        <w:rPr>
          <w:rFonts w:ascii="Century Gothic" w:hAnsi="Century Gothic" w:cs="Arial"/>
          <w:b/>
          <w:bCs/>
        </w:rPr>
      </w:pPr>
      <w:r w:rsidRPr="00550A8E">
        <w:rPr>
          <w:rFonts w:ascii="Century Gothic" w:hAnsi="Century Gothic" w:cs="Arial"/>
          <w:b/>
          <w:bCs/>
        </w:rPr>
        <w:t>Conclusión</w:t>
      </w:r>
    </w:p>
    <w:p w14:paraId="311DB5BE" w14:textId="77777777" w:rsidR="00251E62" w:rsidRPr="00550A8E" w:rsidRDefault="00251E62" w:rsidP="00251E62">
      <w:pPr>
        <w:jc w:val="both"/>
        <w:rPr>
          <w:rFonts w:ascii="Century Gothic" w:hAnsi="Century Gothic" w:cs="Arial"/>
          <w:b/>
          <w:bCs/>
        </w:rPr>
      </w:pPr>
    </w:p>
    <w:p w14:paraId="22CFD3CC" w14:textId="77777777" w:rsidR="00251E62" w:rsidRPr="00550A8E" w:rsidRDefault="00251E62" w:rsidP="00251E62">
      <w:pPr>
        <w:jc w:val="both"/>
        <w:rPr>
          <w:rFonts w:ascii="Century Gothic" w:hAnsi="Century Gothic" w:cs="Arial"/>
        </w:rPr>
      </w:pPr>
      <w:r w:rsidRPr="00550A8E">
        <w:rPr>
          <w:rFonts w:ascii="Century Gothic" w:hAnsi="Century Gothic" w:cs="Arial"/>
        </w:rPr>
        <w:t>Si el programa de Bosques Urbanos Productivos se implementa distribuidos en las colonias con mayor índice de marginación hídrica de Aguascalientes, los siguientes son los órdenes de magnitud del impacto hidrológico proyectado con base en los parámetros técnicos descritos:</w:t>
      </w:r>
    </w:p>
    <w:p w14:paraId="19FD10C7" w14:textId="77777777" w:rsidR="00251E62" w:rsidRPr="00550A8E" w:rsidRDefault="00251E62" w:rsidP="00251E62">
      <w:pPr>
        <w:jc w:val="both"/>
        <w:rPr>
          <w:rFonts w:ascii="Century Gothic" w:hAnsi="Century Gothic" w:cs="Arial"/>
        </w:rPr>
      </w:pPr>
      <w:r w:rsidRPr="00550A8E">
        <w:rPr>
          <w:rFonts w:ascii="Century Gothic" w:hAnsi="Century Gothic" w:cs="Arial"/>
        </w:rPr>
        <w:t xml:space="preserve">La captación pluvial agregada del conjunto de techos comerciales y superficies de recolección oscilaría entre 9 y 12 millones de litros por temporada de lluvias, equivalentes al consumo doméstico anual de entre 120 y 160 familias abastecidas íntegramente sin extracción de acuífero. El </w:t>
      </w:r>
      <w:r w:rsidRPr="00550A8E">
        <w:rPr>
          <w:rFonts w:ascii="Century Gothic" w:hAnsi="Century Gothic" w:cs="Arial"/>
        </w:rPr>
        <w:lastRenderedPageBreak/>
        <w:t>volumen de recarga activa de mantos freáticos a través de jardines de agua y zanjas de infiltración se estima entre 15 y 25 millones de litros anuales adicionales, considerando la superficie permeable acumulada de los 50 nodos. La reducción del volumen de escorrentía superficial que actualmente sobrecarga el sistema de drenaje pluvial municipal en eventos de tormenta podría superar los 30 millones de litros por evento para el conjunto de la red, aliviando las inundaciones recurrentes que afectan precisamente a las colonias periféricas donde se concentraría el programa.</w:t>
      </w:r>
    </w:p>
    <w:p w14:paraId="1C7969B4" w14:textId="77777777" w:rsidR="00251E62" w:rsidRPr="00550A8E" w:rsidRDefault="00251E62" w:rsidP="00251E62">
      <w:pPr>
        <w:jc w:val="both"/>
        <w:rPr>
          <w:rFonts w:ascii="Century Gothic" w:hAnsi="Century Gothic" w:cs="Arial"/>
        </w:rPr>
      </w:pPr>
      <w:r w:rsidRPr="00550A8E">
        <w:rPr>
          <w:rFonts w:ascii="Century Gothic" w:hAnsi="Century Gothic" w:cs="Arial"/>
        </w:rPr>
        <w:t>Estas cifras no son la solución definitiva a la crisis hídrica de Aguascalientes. Pero son el comienzo de una lógica diferente: la de una ciudad que comienza a aprovechar el agua que ya tiene en lugar de seguir profundizando pozos en busca del agua que se acaba.</w:t>
      </w:r>
    </w:p>
    <w:p w14:paraId="23552542" w14:textId="77777777" w:rsidR="00251E62" w:rsidRDefault="00251E62"/>
    <w:p w14:paraId="7A76AFA1" w14:textId="77777777" w:rsidR="00251E62" w:rsidRDefault="00251E62"/>
    <w:p w14:paraId="4E202927" w14:textId="77777777" w:rsidR="00251E62" w:rsidRDefault="00251E62"/>
    <w:p w14:paraId="654D07F0" w14:textId="77777777" w:rsidR="00251E62" w:rsidRDefault="00251E62"/>
    <w:p w14:paraId="5E410A03" w14:textId="77777777" w:rsidR="00251E62" w:rsidRDefault="00251E62"/>
    <w:p w14:paraId="65218239" w14:textId="77777777" w:rsidR="00251E62" w:rsidRDefault="00251E62"/>
    <w:p w14:paraId="457D6D93" w14:textId="77777777" w:rsidR="00251E62" w:rsidRDefault="00251E62"/>
    <w:p w14:paraId="215A7FD8" w14:textId="77777777" w:rsidR="00251E62" w:rsidRDefault="00251E62"/>
    <w:p w14:paraId="6C48B530" w14:textId="77777777" w:rsidR="00251E62" w:rsidRDefault="00251E62"/>
    <w:p w14:paraId="2AA6FB4C" w14:textId="77777777" w:rsidR="00251E62" w:rsidRDefault="00251E62"/>
    <w:p w14:paraId="13A0FDC2" w14:textId="77777777" w:rsidR="00251E62" w:rsidRDefault="00251E62"/>
    <w:p w14:paraId="32F40203" w14:textId="77777777" w:rsidR="00251E62" w:rsidRDefault="00251E62"/>
    <w:p w14:paraId="2BF95E2C" w14:textId="77777777" w:rsidR="000B2E2E" w:rsidRDefault="000B2E2E"/>
    <w:p w14:paraId="149E2912" w14:textId="77777777" w:rsidR="000B2E2E" w:rsidRDefault="000B2E2E"/>
    <w:p w14:paraId="239282EA" w14:textId="77777777" w:rsidR="00251E62" w:rsidRDefault="00251E62"/>
    <w:p w14:paraId="2B932A31" w14:textId="77777777" w:rsidR="00251E62" w:rsidRDefault="00251E62"/>
    <w:p w14:paraId="1F52BA2A" w14:textId="77777777" w:rsidR="00251E62" w:rsidRDefault="00251E62"/>
    <w:p w14:paraId="221FD9D7" w14:textId="77777777" w:rsidR="00251E62" w:rsidRDefault="00251E62"/>
    <w:p w14:paraId="02971C6F" w14:textId="77777777" w:rsidR="00251E62" w:rsidRDefault="00251E62" w:rsidP="00251E62">
      <w:r>
        <w:t>Bibliografía:</w:t>
      </w:r>
    </w:p>
    <w:p w14:paraId="7A2A7A27" w14:textId="77777777" w:rsidR="00251E62" w:rsidRPr="005E42D2" w:rsidRDefault="00251E62" w:rsidP="00251E62">
      <w:pPr>
        <w:rPr>
          <w:i/>
          <w:iCs/>
        </w:rPr>
      </w:pPr>
      <w:hyperlink r:id="rId4" w:history="1">
        <w:r w:rsidRPr="005E42D2">
          <w:rPr>
            <w:rStyle w:val="Hipervnculo"/>
            <w:i/>
            <w:iCs/>
          </w:rPr>
          <w:t>https://storymaps.arcgis.com/stories/9ff381a158e64eb98c9a0f0c23defec9</w:t>
        </w:r>
      </w:hyperlink>
    </w:p>
    <w:p w14:paraId="4A9D3456" w14:textId="77777777" w:rsidR="00251E62" w:rsidRPr="005E42D2" w:rsidRDefault="00251E62" w:rsidP="00251E62">
      <w:pPr>
        <w:rPr>
          <w:i/>
          <w:iCs/>
        </w:rPr>
      </w:pPr>
      <w:proofErr w:type="spellStart"/>
      <w:r w:rsidRPr="005E42D2">
        <w:rPr>
          <w:i/>
          <w:iCs/>
        </w:rPr>
        <w:t>Ramirez</w:t>
      </w:r>
      <w:proofErr w:type="spellEnd"/>
      <w:r w:rsidRPr="005E42D2">
        <w:rPr>
          <w:i/>
          <w:iCs/>
        </w:rPr>
        <w:t xml:space="preserve"> </w:t>
      </w:r>
      <w:proofErr w:type="spellStart"/>
      <w:r w:rsidRPr="005E42D2">
        <w:rPr>
          <w:i/>
          <w:iCs/>
        </w:rPr>
        <w:t>Garcia</w:t>
      </w:r>
      <w:proofErr w:type="spellEnd"/>
      <w:r w:rsidRPr="005E42D2">
        <w:rPr>
          <w:i/>
          <w:iCs/>
        </w:rPr>
        <w:t xml:space="preserve">, L. A. (2025, 9 de mayo). Cómo diseñar entornos urbanos para evitar "ciudades ansiosas" y mejorar el bienestar mental. Foro Económico Mundial. </w:t>
      </w:r>
      <w:hyperlink r:id="rId5" w:tgtFrame="_new" w:history="1">
        <w:r w:rsidRPr="005E42D2">
          <w:rPr>
            <w:rStyle w:val="Hipervnculo"/>
            <w:i/>
            <w:iCs/>
          </w:rPr>
          <w:t>https://es.weforum.org/stories/2025/05/como-disenar-entornos-urbanos-para-prevenir-las-ciudades-ansiosas-y-mejorar-el-bienestar-mental/</w:t>
        </w:r>
      </w:hyperlink>
    </w:p>
    <w:p w14:paraId="0BEDB611" w14:textId="77777777" w:rsidR="00251E62" w:rsidRPr="005E42D2" w:rsidRDefault="00251E62" w:rsidP="00251E62">
      <w:pPr>
        <w:rPr>
          <w:i/>
          <w:iCs/>
        </w:rPr>
      </w:pPr>
      <w:r w:rsidRPr="005E42D2">
        <w:rPr>
          <w:i/>
          <w:iCs/>
        </w:rPr>
        <w:t xml:space="preserve">Centre </w:t>
      </w:r>
      <w:proofErr w:type="spellStart"/>
      <w:r w:rsidRPr="005E42D2">
        <w:rPr>
          <w:i/>
          <w:iCs/>
        </w:rPr>
        <w:t>for</w:t>
      </w:r>
      <w:proofErr w:type="spellEnd"/>
      <w:r w:rsidRPr="005E42D2">
        <w:rPr>
          <w:i/>
          <w:iCs/>
        </w:rPr>
        <w:t xml:space="preserve"> Suicide </w:t>
      </w:r>
      <w:proofErr w:type="spellStart"/>
      <w:r w:rsidRPr="005E42D2">
        <w:rPr>
          <w:i/>
          <w:iCs/>
        </w:rPr>
        <w:t>Prevention</w:t>
      </w:r>
      <w:proofErr w:type="spellEnd"/>
      <w:r w:rsidRPr="005E42D2">
        <w:rPr>
          <w:i/>
          <w:iCs/>
        </w:rPr>
        <w:t xml:space="preserve">. (2025). Acute mental </w:t>
      </w:r>
      <w:proofErr w:type="spellStart"/>
      <w:r w:rsidRPr="005E42D2">
        <w:rPr>
          <w:i/>
          <w:iCs/>
        </w:rPr>
        <w:t>health</w:t>
      </w:r>
      <w:proofErr w:type="spellEnd"/>
      <w:r w:rsidRPr="005E42D2">
        <w:rPr>
          <w:i/>
          <w:iCs/>
        </w:rPr>
        <w:t xml:space="preserve"> </w:t>
      </w:r>
      <w:proofErr w:type="spellStart"/>
      <w:r w:rsidRPr="005E42D2">
        <w:rPr>
          <w:i/>
          <w:iCs/>
        </w:rPr>
        <w:t>benefits</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nature</w:t>
      </w:r>
      <w:proofErr w:type="spellEnd"/>
      <w:r w:rsidRPr="005E42D2">
        <w:rPr>
          <w:i/>
          <w:iCs/>
        </w:rPr>
        <w:t xml:space="preserve">. </w:t>
      </w:r>
      <w:hyperlink r:id="rId6" w:tgtFrame="_new" w:history="1">
        <w:r w:rsidRPr="005E42D2">
          <w:rPr>
            <w:rStyle w:val="Hipervnculo"/>
            <w:i/>
            <w:iCs/>
          </w:rPr>
          <w:t>https://www.suicideinfo.ca/resource/acute-mental-health-benefits-of-nature/</w:t>
        </w:r>
      </w:hyperlink>
    </w:p>
    <w:p w14:paraId="396E5017" w14:textId="77777777" w:rsidR="00251E62" w:rsidRPr="005E42D2" w:rsidRDefault="00251E62" w:rsidP="00251E62">
      <w:pPr>
        <w:rPr>
          <w:i/>
          <w:iCs/>
        </w:rPr>
      </w:pPr>
      <w:proofErr w:type="spellStart"/>
      <w:r w:rsidRPr="005E42D2">
        <w:rPr>
          <w:i/>
          <w:iCs/>
        </w:rPr>
        <w:t>Asri</w:t>
      </w:r>
      <w:proofErr w:type="spellEnd"/>
      <w:r w:rsidRPr="005E42D2">
        <w:rPr>
          <w:i/>
          <w:iCs/>
        </w:rPr>
        <w:t xml:space="preserve">, A. K., Tsai, H.-J., Wong, P.-Y., Lee, H.-Y., Pan, W.-C., Guo, Y.-L., Wu, C.-S., Su, H.-J., Wu, C.-D., &amp; Spengler, J. D. (2022). </w:t>
      </w:r>
      <w:proofErr w:type="spellStart"/>
      <w:r w:rsidRPr="005E42D2">
        <w:rPr>
          <w:i/>
          <w:iCs/>
        </w:rPr>
        <w:t>Examining</w:t>
      </w:r>
      <w:proofErr w:type="spellEnd"/>
      <w:r w:rsidRPr="005E42D2">
        <w:rPr>
          <w:i/>
          <w:iCs/>
        </w:rPr>
        <w:t xml:space="preserve"> </w:t>
      </w:r>
      <w:proofErr w:type="spellStart"/>
      <w:r w:rsidRPr="005E42D2">
        <w:rPr>
          <w:i/>
          <w:iCs/>
        </w:rPr>
        <w:t>the</w:t>
      </w:r>
      <w:proofErr w:type="spellEnd"/>
      <w:r w:rsidRPr="005E42D2">
        <w:rPr>
          <w:i/>
          <w:iCs/>
        </w:rPr>
        <w:t xml:space="preserve"> </w:t>
      </w:r>
      <w:proofErr w:type="spellStart"/>
      <w:r w:rsidRPr="005E42D2">
        <w:rPr>
          <w:i/>
          <w:iCs/>
        </w:rPr>
        <w:t>benefits</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greenness</w:t>
      </w:r>
      <w:proofErr w:type="spellEnd"/>
      <w:r w:rsidRPr="005E42D2">
        <w:rPr>
          <w:i/>
          <w:iCs/>
        </w:rPr>
        <w:t xml:space="preserve"> </w:t>
      </w:r>
      <w:proofErr w:type="spellStart"/>
      <w:r w:rsidRPr="005E42D2">
        <w:rPr>
          <w:i/>
          <w:iCs/>
        </w:rPr>
        <w:t>on</w:t>
      </w:r>
      <w:proofErr w:type="spellEnd"/>
      <w:r w:rsidRPr="005E42D2">
        <w:rPr>
          <w:i/>
          <w:iCs/>
        </w:rPr>
        <w:t xml:space="preserve"> </w:t>
      </w:r>
      <w:proofErr w:type="spellStart"/>
      <w:r w:rsidRPr="005E42D2">
        <w:rPr>
          <w:i/>
          <w:iCs/>
        </w:rPr>
        <w:t>reducing</w:t>
      </w:r>
      <w:proofErr w:type="spellEnd"/>
      <w:r w:rsidRPr="005E42D2">
        <w:rPr>
          <w:i/>
          <w:iCs/>
        </w:rPr>
        <w:t xml:space="preserve"> suicide </w:t>
      </w:r>
      <w:proofErr w:type="spellStart"/>
      <w:r w:rsidRPr="005E42D2">
        <w:rPr>
          <w:i/>
          <w:iCs/>
        </w:rPr>
        <w:t>mortality</w:t>
      </w:r>
      <w:proofErr w:type="spellEnd"/>
      <w:r w:rsidRPr="005E42D2">
        <w:rPr>
          <w:i/>
          <w:iCs/>
        </w:rPr>
        <w:t xml:space="preserve"> </w:t>
      </w:r>
      <w:proofErr w:type="spellStart"/>
      <w:r w:rsidRPr="005E42D2">
        <w:rPr>
          <w:i/>
          <w:iCs/>
        </w:rPr>
        <w:t>rate</w:t>
      </w:r>
      <w:proofErr w:type="spellEnd"/>
      <w:r w:rsidRPr="005E42D2">
        <w:rPr>
          <w:i/>
          <w:iCs/>
        </w:rPr>
        <w:t xml:space="preserve">: A global </w:t>
      </w:r>
      <w:proofErr w:type="spellStart"/>
      <w:r w:rsidRPr="005E42D2">
        <w:rPr>
          <w:i/>
          <w:iCs/>
        </w:rPr>
        <w:t>ecological</w:t>
      </w:r>
      <w:proofErr w:type="spellEnd"/>
      <w:r w:rsidRPr="005E42D2">
        <w:rPr>
          <w:i/>
          <w:iCs/>
        </w:rPr>
        <w:t xml:space="preserve"> </w:t>
      </w:r>
      <w:proofErr w:type="spellStart"/>
      <w:r w:rsidRPr="005E42D2">
        <w:rPr>
          <w:i/>
          <w:iCs/>
        </w:rPr>
        <w:t>study</w:t>
      </w:r>
      <w:proofErr w:type="spellEnd"/>
      <w:r w:rsidRPr="005E42D2">
        <w:rPr>
          <w:i/>
          <w:iCs/>
        </w:rPr>
        <w:t xml:space="preserve">. </w:t>
      </w:r>
      <w:proofErr w:type="spellStart"/>
      <w:r w:rsidRPr="005E42D2">
        <w:rPr>
          <w:i/>
          <w:iCs/>
        </w:rPr>
        <w:t>Frontiers</w:t>
      </w:r>
      <w:proofErr w:type="spellEnd"/>
      <w:r w:rsidRPr="005E42D2">
        <w:rPr>
          <w:i/>
          <w:iCs/>
        </w:rPr>
        <w:t xml:space="preserve"> in Public Health, 10, 902480. </w:t>
      </w:r>
      <w:hyperlink r:id="rId7" w:history="1">
        <w:r w:rsidRPr="005E42D2">
          <w:rPr>
            <w:rStyle w:val="Hipervnculo"/>
            <w:i/>
            <w:iCs/>
          </w:rPr>
          <w:t>https://doi.org/10.3389/fpubh.2022.902480</w:t>
        </w:r>
      </w:hyperlink>
    </w:p>
    <w:p w14:paraId="580358BF" w14:textId="77777777" w:rsidR="00251E62" w:rsidRPr="005E42D2" w:rsidRDefault="00251E62" w:rsidP="00251E62">
      <w:pPr>
        <w:rPr>
          <w:i/>
          <w:iCs/>
        </w:rPr>
      </w:pPr>
      <w:r w:rsidRPr="005E42D2">
        <w:rPr>
          <w:i/>
          <w:iCs/>
        </w:rPr>
        <w:t xml:space="preserve">Young, C. (2004). Green </w:t>
      </w:r>
      <w:proofErr w:type="spellStart"/>
      <w:r w:rsidRPr="005E42D2">
        <w:rPr>
          <w:i/>
          <w:iCs/>
        </w:rPr>
        <w:t>peace</w:t>
      </w:r>
      <w:proofErr w:type="spellEnd"/>
      <w:r w:rsidRPr="005E42D2">
        <w:rPr>
          <w:i/>
          <w:iCs/>
        </w:rPr>
        <w:t xml:space="preserve">: </w:t>
      </w:r>
      <w:proofErr w:type="spellStart"/>
      <w:proofErr w:type="gramStart"/>
      <w:r w:rsidRPr="005E42D2">
        <w:rPr>
          <w:i/>
          <w:iCs/>
        </w:rPr>
        <w:t>What</w:t>
      </w:r>
      <w:proofErr w:type="spellEnd"/>
      <w:r w:rsidRPr="005E42D2">
        <w:rPr>
          <w:i/>
          <w:iCs/>
        </w:rPr>
        <w:t xml:space="preserve"> </w:t>
      </w:r>
      <w:proofErr w:type="spellStart"/>
      <w:r w:rsidRPr="005E42D2">
        <w:rPr>
          <w:i/>
          <w:iCs/>
        </w:rPr>
        <w:t>could</w:t>
      </w:r>
      <w:proofErr w:type="spellEnd"/>
      <w:r w:rsidRPr="005E42D2">
        <w:rPr>
          <w:i/>
          <w:iCs/>
        </w:rPr>
        <w:t xml:space="preserve"> </w:t>
      </w:r>
      <w:proofErr w:type="spellStart"/>
      <w:r w:rsidRPr="005E42D2">
        <w:rPr>
          <w:i/>
          <w:iCs/>
        </w:rPr>
        <w:t>help</w:t>
      </w:r>
      <w:proofErr w:type="spellEnd"/>
      <w:r w:rsidRPr="005E42D2">
        <w:rPr>
          <w:i/>
          <w:iCs/>
        </w:rPr>
        <w:t xml:space="preserve"> do </w:t>
      </w:r>
      <w:proofErr w:type="spellStart"/>
      <w:r w:rsidRPr="005E42D2">
        <w:rPr>
          <w:i/>
          <w:iCs/>
        </w:rPr>
        <w:t>the</w:t>
      </w:r>
      <w:proofErr w:type="spellEnd"/>
      <w:r w:rsidRPr="005E42D2">
        <w:rPr>
          <w:i/>
          <w:iCs/>
        </w:rPr>
        <w:t xml:space="preserve"> </w:t>
      </w:r>
      <w:proofErr w:type="spellStart"/>
      <w:r w:rsidRPr="005E42D2">
        <w:rPr>
          <w:i/>
          <w:iCs/>
        </w:rPr>
        <w:t>work</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medication</w:t>
      </w:r>
      <w:proofErr w:type="spellEnd"/>
      <w:r w:rsidRPr="005E42D2">
        <w:rPr>
          <w:i/>
          <w:iCs/>
        </w:rPr>
        <w:t xml:space="preserve">, </w:t>
      </w:r>
      <w:proofErr w:type="spellStart"/>
      <w:r w:rsidRPr="005E42D2">
        <w:rPr>
          <w:i/>
          <w:iCs/>
        </w:rPr>
        <w:t>meditation</w:t>
      </w:r>
      <w:proofErr w:type="spellEnd"/>
      <w:r w:rsidRPr="005E42D2">
        <w:rPr>
          <w:i/>
          <w:iCs/>
        </w:rPr>
        <w:t xml:space="preserve">, and </w:t>
      </w:r>
      <w:proofErr w:type="spellStart"/>
      <w:r w:rsidRPr="005E42D2">
        <w:rPr>
          <w:i/>
          <w:iCs/>
        </w:rPr>
        <w:t>community</w:t>
      </w:r>
      <w:proofErr w:type="spellEnd"/>
      <w:r w:rsidRPr="005E42D2">
        <w:rPr>
          <w:i/>
          <w:iCs/>
        </w:rPr>
        <w:t xml:space="preserve"> </w:t>
      </w:r>
      <w:proofErr w:type="spellStart"/>
      <w:r w:rsidRPr="005E42D2">
        <w:rPr>
          <w:i/>
          <w:iCs/>
        </w:rPr>
        <w:t>police</w:t>
      </w:r>
      <w:proofErr w:type="spellEnd"/>
      <w:r w:rsidRPr="005E42D2">
        <w:rPr>
          <w:i/>
          <w:iCs/>
        </w:rPr>
        <w:t xml:space="preserve"> </w:t>
      </w:r>
      <w:proofErr w:type="spellStart"/>
      <w:r w:rsidRPr="005E42D2">
        <w:rPr>
          <w:i/>
          <w:iCs/>
        </w:rPr>
        <w:t>officers</w:t>
      </w:r>
      <w:proofErr w:type="spellEnd"/>
      <w:r w:rsidRPr="005E42D2">
        <w:rPr>
          <w:i/>
          <w:iCs/>
        </w:rPr>
        <w:t>?</w:t>
      </w:r>
      <w:proofErr w:type="gramEnd"/>
      <w:r w:rsidRPr="005E42D2">
        <w:rPr>
          <w:i/>
          <w:iCs/>
        </w:rPr>
        <w:t xml:space="preserve"> The </w:t>
      </w:r>
      <w:proofErr w:type="spellStart"/>
      <w:r w:rsidRPr="005E42D2">
        <w:rPr>
          <w:i/>
          <w:iCs/>
        </w:rPr>
        <w:t>answer's</w:t>
      </w:r>
      <w:proofErr w:type="spellEnd"/>
      <w:r w:rsidRPr="005E42D2">
        <w:rPr>
          <w:i/>
          <w:iCs/>
        </w:rPr>
        <w:t xml:space="preserve"> in </w:t>
      </w:r>
      <w:proofErr w:type="spellStart"/>
      <w:r w:rsidRPr="005E42D2">
        <w:rPr>
          <w:i/>
          <w:iCs/>
        </w:rPr>
        <w:t>your</w:t>
      </w:r>
      <w:proofErr w:type="spellEnd"/>
      <w:r w:rsidRPr="005E42D2">
        <w:rPr>
          <w:i/>
          <w:iCs/>
        </w:rPr>
        <w:t xml:space="preserve"> </w:t>
      </w:r>
      <w:proofErr w:type="spellStart"/>
      <w:r w:rsidRPr="005E42D2">
        <w:rPr>
          <w:i/>
          <w:iCs/>
        </w:rPr>
        <w:t>backyard</w:t>
      </w:r>
      <w:proofErr w:type="spellEnd"/>
      <w:r w:rsidRPr="005E42D2">
        <w:rPr>
          <w:i/>
          <w:iCs/>
        </w:rPr>
        <w:t xml:space="preserve">. </w:t>
      </w:r>
      <w:proofErr w:type="spellStart"/>
      <w:r w:rsidRPr="005E42D2">
        <w:rPr>
          <w:i/>
          <w:iCs/>
        </w:rPr>
        <w:t>Greater</w:t>
      </w:r>
      <w:proofErr w:type="spellEnd"/>
      <w:r w:rsidRPr="005E42D2">
        <w:rPr>
          <w:i/>
          <w:iCs/>
        </w:rPr>
        <w:t xml:space="preserve"> Good. </w:t>
      </w:r>
      <w:hyperlink r:id="rId8" w:tgtFrame="_new" w:history="1">
        <w:r w:rsidRPr="005E42D2">
          <w:rPr>
            <w:rStyle w:val="Hipervnculo"/>
            <w:i/>
            <w:iCs/>
          </w:rPr>
          <w:t>https://greatergood.berkeley.edu/article/item/green_peace</w:t>
        </w:r>
      </w:hyperlink>
    </w:p>
    <w:p w14:paraId="137081CA" w14:textId="77777777" w:rsidR="00251E62" w:rsidRPr="005E42D2" w:rsidRDefault="00251E62" w:rsidP="00251E62">
      <w:pPr>
        <w:rPr>
          <w:i/>
          <w:iCs/>
        </w:rPr>
      </w:pPr>
      <w:r w:rsidRPr="005E42D2">
        <w:rPr>
          <w:i/>
          <w:iCs/>
        </w:rPr>
        <w:t xml:space="preserve">Yang, B.-Y., </w:t>
      </w:r>
      <w:proofErr w:type="spellStart"/>
      <w:r w:rsidRPr="005E42D2">
        <w:rPr>
          <w:i/>
          <w:iCs/>
        </w:rPr>
        <w:t>Markevych</w:t>
      </w:r>
      <w:proofErr w:type="spellEnd"/>
      <w:r w:rsidRPr="005E42D2">
        <w:rPr>
          <w:i/>
          <w:iCs/>
        </w:rPr>
        <w:t xml:space="preserve">, I., Bloom, M. S., Heinrich, J., Knibbs, L. D., </w:t>
      </w:r>
      <w:proofErr w:type="spellStart"/>
      <w:r w:rsidRPr="005E42D2">
        <w:rPr>
          <w:i/>
          <w:iCs/>
        </w:rPr>
        <w:t>Dharmage</w:t>
      </w:r>
      <w:proofErr w:type="spellEnd"/>
      <w:r w:rsidRPr="005E42D2">
        <w:rPr>
          <w:i/>
          <w:iCs/>
        </w:rPr>
        <w:t xml:space="preserve">, S. C., Jalaludin, B., Morawska, L., Lin, S., Guo, Y., &amp; Dong, G.-H. (2023). </w:t>
      </w:r>
      <w:proofErr w:type="spellStart"/>
      <w:r w:rsidRPr="005E42D2">
        <w:rPr>
          <w:i/>
          <w:iCs/>
        </w:rPr>
        <w:t>Greenness</w:t>
      </w:r>
      <w:proofErr w:type="spellEnd"/>
      <w:r w:rsidRPr="005E42D2">
        <w:rPr>
          <w:i/>
          <w:iCs/>
        </w:rPr>
        <w:t xml:space="preserve">, and human </w:t>
      </w:r>
      <w:proofErr w:type="spellStart"/>
      <w:r w:rsidRPr="005E42D2">
        <w:rPr>
          <w:i/>
          <w:iCs/>
        </w:rPr>
        <w:t>health</w:t>
      </w:r>
      <w:proofErr w:type="spellEnd"/>
      <w:r w:rsidRPr="005E42D2">
        <w:rPr>
          <w:i/>
          <w:iCs/>
        </w:rPr>
        <w:t xml:space="preserve">: </w:t>
      </w:r>
      <w:proofErr w:type="spellStart"/>
      <w:r w:rsidRPr="005E42D2">
        <w:rPr>
          <w:i/>
          <w:iCs/>
        </w:rPr>
        <w:t>An</w:t>
      </w:r>
      <w:proofErr w:type="spellEnd"/>
      <w:r w:rsidRPr="005E42D2">
        <w:rPr>
          <w:i/>
          <w:iCs/>
        </w:rPr>
        <w:t xml:space="preserve"> </w:t>
      </w:r>
      <w:proofErr w:type="spellStart"/>
      <w:r w:rsidRPr="005E42D2">
        <w:rPr>
          <w:i/>
          <w:iCs/>
        </w:rPr>
        <w:t>umbrella</w:t>
      </w:r>
      <w:proofErr w:type="spellEnd"/>
      <w:r w:rsidRPr="005E42D2">
        <w:rPr>
          <w:i/>
          <w:iCs/>
        </w:rPr>
        <w:t xml:space="preserve"> </w:t>
      </w:r>
      <w:proofErr w:type="spellStart"/>
      <w:r w:rsidRPr="005E42D2">
        <w:rPr>
          <w:i/>
          <w:iCs/>
        </w:rPr>
        <w:t>review</w:t>
      </w:r>
      <w:proofErr w:type="spellEnd"/>
      <w:r w:rsidRPr="005E42D2">
        <w:rPr>
          <w:i/>
          <w:iCs/>
        </w:rPr>
        <w:t xml:space="preserve">. </w:t>
      </w:r>
      <w:proofErr w:type="spellStart"/>
      <w:r w:rsidRPr="005E42D2">
        <w:rPr>
          <w:i/>
          <w:iCs/>
        </w:rPr>
        <w:t>Healthcare</w:t>
      </w:r>
      <w:proofErr w:type="spellEnd"/>
      <w:r w:rsidRPr="005E42D2">
        <w:rPr>
          <w:i/>
          <w:iCs/>
        </w:rPr>
        <w:t xml:space="preserve">, 11(23), 3039. </w:t>
      </w:r>
      <w:hyperlink r:id="rId9" w:history="1">
        <w:r w:rsidRPr="005E42D2">
          <w:rPr>
            <w:rStyle w:val="Hipervnculo"/>
            <w:i/>
            <w:iCs/>
          </w:rPr>
          <w:t>https://doi.org/10.3390/healthcare11233039</w:t>
        </w:r>
      </w:hyperlink>
    </w:p>
    <w:p w14:paraId="5E2FD329" w14:textId="77777777" w:rsidR="00251E62" w:rsidRPr="005E42D2" w:rsidRDefault="00251E62" w:rsidP="00251E62">
      <w:pPr>
        <w:rPr>
          <w:i/>
          <w:iCs/>
        </w:rPr>
      </w:pPr>
      <w:proofErr w:type="spellStart"/>
      <w:r w:rsidRPr="005E42D2">
        <w:rPr>
          <w:i/>
          <w:iCs/>
        </w:rPr>
        <w:t>Taipei</w:t>
      </w:r>
      <w:proofErr w:type="spellEnd"/>
      <w:r w:rsidRPr="005E42D2">
        <w:rPr>
          <w:i/>
          <w:iCs/>
        </w:rPr>
        <w:t xml:space="preserve"> Times. (2023, 8 de noviembre). Los espacios verdes se asocian con una menor tasa de suicidios.</w:t>
      </w:r>
    </w:p>
    <w:p w14:paraId="6BC4AF3F" w14:textId="77777777" w:rsidR="00251E62" w:rsidRPr="005E42D2" w:rsidRDefault="00251E62" w:rsidP="00251E62">
      <w:pPr>
        <w:rPr>
          <w:i/>
          <w:iCs/>
        </w:rPr>
      </w:pPr>
      <w:hyperlink r:id="rId10" w:history="1">
        <w:r w:rsidRPr="005E42D2">
          <w:rPr>
            <w:rStyle w:val="Hipervnculo"/>
            <w:i/>
            <w:iCs/>
          </w:rPr>
          <w:t>https://www.taipeitimes.com/News/taiwan/archives/2023/11/08/2003808863</w:t>
        </w:r>
      </w:hyperlink>
    </w:p>
    <w:p w14:paraId="7383FE8B" w14:textId="77777777" w:rsidR="00251E62" w:rsidRPr="005E42D2" w:rsidRDefault="00251E62" w:rsidP="00251E62">
      <w:pPr>
        <w:rPr>
          <w:i/>
          <w:iCs/>
        </w:rPr>
      </w:pPr>
      <w:r w:rsidRPr="005E42D2">
        <w:rPr>
          <w:b/>
          <w:bCs/>
          <w:i/>
          <w:iCs/>
        </w:rPr>
        <w:t xml:space="preserve">Central News Agency. (2023, 7 de noviembre). El acceso a espacios verdes se asocia con menores tasas de suicidio: estudio de la NCKU. Focus Taiwan. </w:t>
      </w:r>
      <w:hyperlink r:id="rId11" w:tgtFrame="_new" w:history="1">
        <w:r w:rsidRPr="005E42D2">
          <w:rPr>
            <w:rStyle w:val="Hipervnculo"/>
            <w:b/>
            <w:bCs/>
            <w:i/>
            <w:iCs/>
          </w:rPr>
          <w:t>https://focustaiwan.tw/sci-tech/202311070010</w:t>
        </w:r>
      </w:hyperlink>
    </w:p>
    <w:p w14:paraId="29C901AD" w14:textId="77777777" w:rsidR="00251E62" w:rsidRPr="005E42D2" w:rsidRDefault="00251E62" w:rsidP="00251E62">
      <w:pPr>
        <w:rPr>
          <w:b/>
          <w:bCs/>
          <w:i/>
          <w:iCs/>
        </w:rPr>
      </w:pPr>
      <w:r w:rsidRPr="005E42D2">
        <w:rPr>
          <w:b/>
          <w:bCs/>
          <w:i/>
          <w:iCs/>
        </w:rPr>
        <w:t xml:space="preserve">Central News Agency. (2023, 7 de noviembre). Green </w:t>
      </w:r>
      <w:proofErr w:type="spellStart"/>
      <w:r w:rsidRPr="005E42D2">
        <w:rPr>
          <w:b/>
          <w:bCs/>
          <w:i/>
          <w:iCs/>
        </w:rPr>
        <w:t>space</w:t>
      </w:r>
      <w:proofErr w:type="spellEnd"/>
      <w:r w:rsidRPr="005E42D2">
        <w:rPr>
          <w:b/>
          <w:bCs/>
          <w:i/>
          <w:iCs/>
        </w:rPr>
        <w:t xml:space="preserve"> </w:t>
      </w:r>
      <w:proofErr w:type="spellStart"/>
      <w:r w:rsidRPr="005E42D2">
        <w:rPr>
          <w:b/>
          <w:bCs/>
          <w:i/>
          <w:iCs/>
        </w:rPr>
        <w:t>access</w:t>
      </w:r>
      <w:proofErr w:type="spellEnd"/>
      <w:r w:rsidRPr="005E42D2">
        <w:rPr>
          <w:b/>
          <w:bCs/>
          <w:i/>
          <w:iCs/>
        </w:rPr>
        <w:t xml:space="preserve"> </w:t>
      </w:r>
      <w:proofErr w:type="spellStart"/>
      <w:r w:rsidRPr="005E42D2">
        <w:rPr>
          <w:b/>
          <w:bCs/>
          <w:i/>
          <w:iCs/>
        </w:rPr>
        <w:t>associated</w:t>
      </w:r>
      <w:proofErr w:type="spellEnd"/>
      <w:r w:rsidRPr="005E42D2">
        <w:rPr>
          <w:b/>
          <w:bCs/>
          <w:i/>
          <w:iCs/>
        </w:rPr>
        <w:t xml:space="preserve"> </w:t>
      </w:r>
      <w:proofErr w:type="spellStart"/>
      <w:r w:rsidRPr="005E42D2">
        <w:rPr>
          <w:b/>
          <w:bCs/>
          <w:i/>
          <w:iCs/>
        </w:rPr>
        <w:t>with</w:t>
      </w:r>
      <w:proofErr w:type="spellEnd"/>
      <w:r w:rsidRPr="005E42D2">
        <w:rPr>
          <w:b/>
          <w:bCs/>
          <w:i/>
          <w:iCs/>
        </w:rPr>
        <w:t xml:space="preserve"> </w:t>
      </w:r>
      <w:proofErr w:type="spellStart"/>
      <w:r w:rsidRPr="005E42D2">
        <w:rPr>
          <w:b/>
          <w:bCs/>
          <w:i/>
          <w:iCs/>
        </w:rPr>
        <w:t>lower</w:t>
      </w:r>
      <w:proofErr w:type="spellEnd"/>
      <w:r w:rsidRPr="005E42D2">
        <w:rPr>
          <w:b/>
          <w:bCs/>
          <w:i/>
          <w:iCs/>
        </w:rPr>
        <w:t xml:space="preserve"> suicide </w:t>
      </w:r>
      <w:proofErr w:type="spellStart"/>
      <w:r w:rsidRPr="005E42D2">
        <w:rPr>
          <w:b/>
          <w:bCs/>
          <w:i/>
          <w:iCs/>
        </w:rPr>
        <w:t>rates</w:t>
      </w:r>
      <w:proofErr w:type="spellEnd"/>
      <w:r w:rsidRPr="005E42D2">
        <w:rPr>
          <w:b/>
          <w:bCs/>
          <w:i/>
          <w:iCs/>
        </w:rPr>
        <w:t xml:space="preserve">: NCKU </w:t>
      </w:r>
      <w:proofErr w:type="spellStart"/>
      <w:r w:rsidRPr="005E42D2">
        <w:rPr>
          <w:b/>
          <w:bCs/>
          <w:i/>
          <w:iCs/>
        </w:rPr>
        <w:t>study</w:t>
      </w:r>
      <w:proofErr w:type="spellEnd"/>
      <w:r w:rsidRPr="005E42D2">
        <w:rPr>
          <w:b/>
          <w:bCs/>
          <w:i/>
          <w:iCs/>
        </w:rPr>
        <w:t xml:space="preserve">. Focus Taiwan. </w:t>
      </w:r>
      <w:hyperlink r:id="rId12" w:tgtFrame="_new" w:history="1">
        <w:r w:rsidRPr="005E42D2">
          <w:rPr>
            <w:rStyle w:val="Hipervnculo"/>
            <w:b/>
            <w:bCs/>
            <w:i/>
            <w:iCs/>
          </w:rPr>
          <w:t>https://focustaiwan.tw/sci-tech/202311070010</w:t>
        </w:r>
      </w:hyperlink>
    </w:p>
    <w:p w14:paraId="1F5201F9" w14:textId="77777777" w:rsidR="00251E62" w:rsidRPr="005E42D2" w:rsidRDefault="00251E62" w:rsidP="00251E62">
      <w:pPr>
        <w:rPr>
          <w:b/>
          <w:bCs/>
          <w:i/>
          <w:iCs/>
        </w:rPr>
      </w:pPr>
      <w:r w:rsidRPr="005E42D2">
        <w:rPr>
          <w:b/>
          <w:bCs/>
          <w:i/>
          <w:iCs/>
        </w:rPr>
        <w:t xml:space="preserve">Kim, G., Miller, P. A., Nowak, D. J., &amp; Lee, W. (2022). Urban </w:t>
      </w:r>
      <w:proofErr w:type="spellStart"/>
      <w:r w:rsidRPr="005E42D2">
        <w:rPr>
          <w:b/>
          <w:bCs/>
          <w:i/>
          <w:iCs/>
        </w:rPr>
        <w:t>parks</w:t>
      </w:r>
      <w:proofErr w:type="spellEnd"/>
      <w:r w:rsidRPr="005E42D2">
        <w:rPr>
          <w:b/>
          <w:bCs/>
          <w:i/>
          <w:iCs/>
        </w:rPr>
        <w:t xml:space="preserve"> as a </w:t>
      </w:r>
      <w:proofErr w:type="spellStart"/>
      <w:r w:rsidRPr="005E42D2">
        <w:rPr>
          <w:b/>
          <w:bCs/>
          <w:i/>
          <w:iCs/>
        </w:rPr>
        <w:t>potential</w:t>
      </w:r>
      <w:proofErr w:type="spellEnd"/>
      <w:r w:rsidRPr="005E42D2">
        <w:rPr>
          <w:b/>
          <w:bCs/>
          <w:i/>
          <w:iCs/>
        </w:rPr>
        <w:t xml:space="preserve"> </w:t>
      </w:r>
      <w:proofErr w:type="spellStart"/>
      <w:r w:rsidRPr="005E42D2">
        <w:rPr>
          <w:b/>
          <w:bCs/>
          <w:i/>
          <w:iCs/>
        </w:rPr>
        <w:t>mitigator</w:t>
      </w:r>
      <w:proofErr w:type="spellEnd"/>
      <w:r w:rsidRPr="005E42D2">
        <w:rPr>
          <w:b/>
          <w:bCs/>
          <w:i/>
          <w:iCs/>
        </w:rPr>
        <w:t xml:space="preserve"> </w:t>
      </w:r>
      <w:proofErr w:type="spellStart"/>
      <w:r w:rsidRPr="005E42D2">
        <w:rPr>
          <w:b/>
          <w:bCs/>
          <w:i/>
          <w:iCs/>
        </w:rPr>
        <w:t>of</w:t>
      </w:r>
      <w:proofErr w:type="spellEnd"/>
      <w:r w:rsidRPr="005E42D2">
        <w:rPr>
          <w:b/>
          <w:bCs/>
          <w:i/>
          <w:iCs/>
        </w:rPr>
        <w:t xml:space="preserve"> suicide </w:t>
      </w:r>
      <w:proofErr w:type="spellStart"/>
      <w:r w:rsidRPr="005E42D2">
        <w:rPr>
          <w:b/>
          <w:bCs/>
          <w:i/>
          <w:iCs/>
        </w:rPr>
        <w:t>rates</w:t>
      </w:r>
      <w:proofErr w:type="spellEnd"/>
      <w:r w:rsidRPr="005E42D2">
        <w:rPr>
          <w:b/>
          <w:bCs/>
          <w:i/>
          <w:iCs/>
        </w:rPr>
        <w:t xml:space="preserve"> </w:t>
      </w:r>
      <w:proofErr w:type="spellStart"/>
      <w:r w:rsidRPr="005E42D2">
        <w:rPr>
          <w:b/>
          <w:bCs/>
          <w:i/>
          <w:iCs/>
        </w:rPr>
        <w:t>resulting</w:t>
      </w:r>
      <w:proofErr w:type="spellEnd"/>
      <w:r w:rsidRPr="005E42D2">
        <w:rPr>
          <w:b/>
          <w:bCs/>
          <w:i/>
          <w:iCs/>
        </w:rPr>
        <w:t xml:space="preserve"> </w:t>
      </w:r>
      <w:proofErr w:type="spellStart"/>
      <w:r w:rsidRPr="005E42D2">
        <w:rPr>
          <w:b/>
          <w:bCs/>
          <w:i/>
          <w:iCs/>
        </w:rPr>
        <w:t>from</w:t>
      </w:r>
      <w:proofErr w:type="spellEnd"/>
      <w:r w:rsidRPr="005E42D2">
        <w:rPr>
          <w:b/>
          <w:bCs/>
          <w:i/>
          <w:iCs/>
        </w:rPr>
        <w:t xml:space="preserve"> global </w:t>
      </w:r>
      <w:proofErr w:type="spellStart"/>
      <w:r w:rsidRPr="005E42D2">
        <w:rPr>
          <w:b/>
          <w:bCs/>
          <w:i/>
          <w:iCs/>
        </w:rPr>
        <w:t>pandemics</w:t>
      </w:r>
      <w:proofErr w:type="spellEnd"/>
      <w:r w:rsidRPr="005E42D2">
        <w:rPr>
          <w:b/>
          <w:bCs/>
          <w:i/>
          <w:iCs/>
        </w:rPr>
        <w:t xml:space="preserve">: </w:t>
      </w:r>
      <w:proofErr w:type="spellStart"/>
      <w:r w:rsidRPr="005E42D2">
        <w:rPr>
          <w:b/>
          <w:bCs/>
          <w:i/>
          <w:iCs/>
        </w:rPr>
        <w:t>Empirical</w:t>
      </w:r>
      <w:proofErr w:type="spellEnd"/>
      <w:r w:rsidRPr="005E42D2">
        <w:rPr>
          <w:b/>
          <w:bCs/>
          <w:i/>
          <w:iCs/>
        </w:rPr>
        <w:t xml:space="preserve"> </w:t>
      </w:r>
      <w:proofErr w:type="spellStart"/>
      <w:r w:rsidRPr="005E42D2">
        <w:rPr>
          <w:b/>
          <w:bCs/>
          <w:i/>
          <w:iCs/>
        </w:rPr>
        <w:t>evidence</w:t>
      </w:r>
      <w:proofErr w:type="spellEnd"/>
      <w:r w:rsidRPr="005E42D2">
        <w:rPr>
          <w:b/>
          <w:bCs/>
          <w:i/>
          <w:iCs/>
        </w:rPr>
        <w:t xml:space="preserve"> </w:t>
      </w:r>
      <w:proofErr w:type="spellStart"/>
      <w:r w:rsidRPr="005E42D2">
        <w:rPr>
          <w:b/>
          <w:bCs/>
          <w:i/>
          <w:iCs/>
        </w:rPr>
        <w:lastRenderedPageBreak/>
        <w:t>from</w:t>
      </w:r>
      <w:proofErr w:type="spellEnd"/>
      <w:r w:rsidRPr="005E42D2">
        <w:rPr>
          <w:b/>
          <w:bCs/>
          <w:i/>
          <w:iCs/>
        </w:rPr>
        <w:t xml:space="preserve"> </w:t>
      </w:r>
      <w:proofErr w:type="spellStart"/>
      <w:r w:rsidRPr="005E42D2">
        <w:rPr>
          <w:b/>
          <w:bCs/>
          <w:i/>
          <w:iCs/>
        </w:rPr>
        <w:t>past</w:t>
      </w:r>
      <w:proofErr w:type="spellEnd"/>
      <w:r w:rsidRPr="005E42D2">
        <w:rPr>
          <w:b/>
          <w:bCs/>
          <w:i/>
          <w:iCs/>
        </w:rPr>
        <w:t xml:space="preserve"> </w:t>
      </w:r>
      <w:proofErr w:type="spellStart"/>
      <w:r w:rsidRPr="005E42D2">
        <w:rPr>
          <w:b/>
          <w:bCs/>
          <w:i/>
          <w:iCs/>
        </w:rPr>
        <w:t>experiences</w:t>
      </w:r>
      <w:proofErr w:type="spellEnd"/>
      <w:r w:rsidRPr="005E42D2">
        <w:rPr>
          <w:b/>
          <w:bCs/>
          <w:i/>
          <w:iCs/>
        </w:rPr>
        <w:t xml:space="preserve"> in </w:t>
      </w:r>
      <w:proofErr w:type="spellStart"/>
      <w:r w:rsidRPr="005E42D2">
        <w:rPr>
          <w:b/>
          <w:bCs/>
          <w:i/>
          <w:iCs/>
        </w:rPr>
        <w:t>Seoul</w:t>
      </w:r>
      <w:proofErr w:type="spellEnd"/>
      <w:r w:rsidRPr="005E42D2">
        <w:rPr>
          <w:b/>
          <w:bCs/>
          <w:i/>
          <w:iCs/>
        </w:rPr>
        <w:t xml:space="preserve">, Korea. </w:t>
      </w:r>
      <w:proofErr w:type="spellStart"/>
      <w:r w:rsidRPr="005E42D2">
        <w:rPr>
          <w:b/>
          <w:bCs/>
          <w:i/>
          <w:iCs/>
        </w:rPr>
        <w:t>Sustainability</w:t>
      </w:r>
      <w:proofErr w:type="spellEnd"/>
      <w:r w:rsidRPr="005E42D2">
        <w:rPr>
          <w:b/>
          <w:bCs/>
          <w:i/>
          <w:iCs/>
        </w:rPr>
        <w:t xml:space="preserve">, 14(8), 4673. </w:t>
      </w:r>
      <w:hyperlink r:id="rId13" w:tgtFrame="_new" w:history="1">
        <w:r w:rsidRPr="005E42D2">
          <w:rPr>
            <w:rStyle w:val="Hipervnculo"/>
            <w:b/>
            <w:bCs/>
            <w:i/>
            <w:iCs/>
          </w:rPr>
          <w:t>https://doi.org/10.3390/su14084673</w:t>
        </w:r>
      </w:hyperlink>
    </w:p>
    <w:p w14:paraId="282262CF" w14:textId="77777777" w:rsidR="00251E62" w:rsidRPr="005E42D2" w:rsidRDefault="00251E62" w:rsidP="00251E62">
      <w:pPr>
        <w:rPr>
          <w:b/>
          <w:bCs/>
          <w:i/>
          <w:iCs/>
        </w:rPr>
      </w:pPr>
      <w:r w:rsidRPr="005E42D2">
        <w:rPr>
          <w:b/>
          <w:bCs/>
          <w:i/>
          <w:iCs/>
        </w:rPr>
        <w:t xml:space="preserve">Pool, J.-R. (2022, 29 de noviembre). Cómo los bosques cercanos y lejanos benefician a los habitantes de las ciudades. </w:t>
      </w:r>
      <w:proofErr w:type="spellStart"/>
      <w:r w:rsidRPr="005E42D2">
        <w:rPr>
          <w:b/>
          <w:bCs/>
          <w:i/>
          <w:iCs/>
        </w:rPr>
        <w:t>UrbanShift</w:t>
      </w:r>
      <w:proofErr w:type="spellEnd"/>
      <w:r w:rsidRPr="005E42D2">
        <w:rPr>
          <w:b/>
          <w:bCs/>
          <w:i/>
          <w:iCs/>
        </w:rPr>
        <w:t xml:space="preserve">. </w:t>
      </w:r>
      <w:hyperlink r:id="rId14" w:tgtFrame="_new" w:history="1">
        <w:r w:rsidRPr="005E42D2">
          <w:rPr>
            <w:rStyle w:val="Hipervnculo"/>
            <w:b/>
            <w:bCs/>
            <w:i/>
            <w:iCs/>
          </w:rPr>
          <w:t>https://es.shiftcities.org/post/how-forests-near-and-far-benefit-people-cities</w:t>
        </w:r>
      </w:hyperlink>
    </w:p>
    <w:p w14:paraId="4A355F43" w14:textId="77777777" w:rsidR="00251E62" w:rsidRPr="005E42D2" w:rsidRDefault="00251E62" w:rsidP="00251E62">
      <w:pPr>
        <w:rPr>
          <w:b/>
          <w:bCs/>
          <w:i/>
          <w:iCs/>
        </w:rPr>
      </w:pPr>
      <w:r w:rsidRPr="005E42D2">
        <w:rPr>
          <w:b/>
          <w:bCs/>
          <w:i/>
          <w:iCs/>
        </w:rPr>
        <w:t xml:space="preserve">Moore, G. M. (2020). </w:t>
      </w:r>
      <w:proofErr w:type="spellStart"/>
      <w:r w:rsidRPr="005E42D2">
        <w:rPr>
          <w:b/>
          <w:bCs/>
          <w:i/>
          <w:iCs/>
        </w:rPr>
        <w:t>It</w:t>
      </w:r>
      <w:proofErr w:type="spellEnd"/>
      <w:r w:rsidRPr="005E42D2">
        <w:rPr>
          <w:b/>
          <w:bCs/>
          <w:i/>
          <w:iCs/>
        </w:rPr>
        <w:t xml:space="preserve"> </w:t>
      </w:r>
      <w:proofErr w:type="spellStart"/>
      <w:r w:rsidRPr="005E42D2">
        <w:rPr>
          <w:b/>
          <w:bCs/>
          <w:i/>
          <w:iCs/>
        </w:rPr>
        <w:t>isn’t</w:t>
      </w:r>
      <w:proofErr w:type="spellEnd"/>
      <w:r w:rsidRPr="005E42D2">
        <w:rPr>
          <w:b/>
          <w:bCs/>
          <w:i/>
          <w:iCs/>
        </w:rPr>
        <w:t xml:space="preserve"> </w:t>
      </w:r>
      <w:proofErr w:type="spellStart"/>
      <w:r w:rsidRPr="005E42D2">
        <w:rPr>
          <w:b/>
          <w:bCs/>
          <w:i/>
          <w:iCs/>
        </w:rPr>
        <w:t>rocket</w:t>
      </w:r>
      <w:proofErr w:type="spellEnd"/>
      <w:r w:rsidRPr="005E42D2">
        <w:rPr>
          <w:b/>
          <w:bCs/>
          <w:i/>
          <w:iCs/>
        </w:rPr>
        <w:t xml:space="preserve"> </w:t>
      </w:r>
      <w:proofErr w:type="spellStart"/>
      <w:r w:rsidRPr="005E42D2">
        <w:rPr>
          <w:b/>
          <w:bCs/>
          <w:i/>
          <w:iCs/>
        </w:rPr>
        <w:t>science</w:t>
      </w:r>
      <w:proofErr w:type="spellEnd"/>
      <w:r w:rsidRPr="005E42D2">
        <w:rPr>
          <w:b/>
          <w:bCs/>
          <w:i/>
          <w:iCs/>
        </w:rPr>
        <w:t xml:space="preserve">: Street </w:t>
      </w:r>
      <w:proofErr w:type="spellStart"/>
      <w:r w:rsidRPr="005E42D2">
        <w:rPr>
          <w:b/>
          <w:bCs/>
          <w:i/>
          <w:iCs/>
        </w:rPr>
        <w:t>trees</w:t>
      </w:r>
      <w:proofErr w:type="spellEnd"/>
      <w:r w:rsidRPr="005E42D2">
        <w:rPr>
          <w:b/>
          <w:bCs/>
          <w:i/>
          <w:iCs/>
        </w:rPr>
        <w:t xml:space="preserve"> can </w:t>
      </w:r>
      <w:proofErr w:type="spellStart"/>
      <w:r w:rsidRPr="005E42D2">
        <w:rPr>
          <w:b/>
          <w:bCs/>
          <w:i/>
          <w:iCs/>
        </w:rPr>
        <w:t>make</w:t>
      </w:r>
      <w:proofErr w:type="spellEnd"/>
      <w:r w:rsidRPr="005E42D2">
        <w:rPr>
          <w:b/>
          <w:bCs/>
          <w:i/>
          <w:iCs/>
        </w:rPr>
        <w:t xml:space="preserve"> a </w:t>
      </w:r>
      <w:proofErr w:type="spellStart"/>
      <w:r w:rsidRPr="005E42D2">
        <w:rPr>
          <w:b/>
          <w:bCs/>
          <w:i/>
          <w:iCs/>
        </w:rPr>
        <w:t>difference</w:t>
      </w:r>
      <w:proofErr w:type="spellEnd"/>
      <w:r w:rsidRPr="005E42D2">
        <w:rPr>
          <w:b/>
          <w:bCs/>
          <w:i/>
          <w:iCs/>
        </w:rPr>
        <w:t xml:space="preserve"> in </w:t>
      </w:r>
      <w:proofErr w:type="spellStart"/>
      <w:r w:rsidRPr="005E42D2">
        <w:rPr>
          <w:b/>
          <w:bCs/>
          <w:i/>
          <w:iCs/>
        </w:rPr>
        <w:t>climate</w:t>
      </w:r>
      <w:proofErr w:type="spellEnd"/>
      <w:r w:rsidRPr="005E42D2">
        <w:rPr>
          <w:b/>
          <w:bCs/>
          <w:i/>
          <w:iCs/>
        </w:rPr>
        <w:t xml:space="preserve"> </w:t>
      </w:r>
      <w:proofErr w:type="spellStart"/>
      <w:proofErr w:type="gramStart"/>
      <w:r w:rsidRPr="005E42D2">
        <w:rPr>
          <w:b/>
          <w:bCs/>
          <w:i/>
          <w:iCs/>
        </w:rPr>
        <w:t>change</w:t>
      </w:r>
      <w:proofErr w:type="spellEnd"/>
      <w:r w:rsidRPr="005E42D2">
        <w:rPr>
          <w:b/>
          <w:bCs/>
          <w:i/>
          <w:iCs/>
        </w:rPr>
        <w:t>!.</w:t>
      </w:r>
      <w:proofErr w:type="gramEnd"/>
      <w:r w:rsidRPr="005E42D2">
        <w:rPr>
          <w:b/>
          <w:bCs/>
          <w:i/>
          <w:iCs/>
        </w:rPr>
        <w:t xml:space="preserve"> En G. Williams (Ed.), </w:t>
      </w:r>
      <w:proofErr w:type="spellStart"/>
      <w:r w:rsidRPr="005E42D2">
        <w:rPr>
          <w:b/>
          <w:bCs/>
          <w:i/>
          <w:iCs/>
        </w:rPr>
        <w:t>Proceedings</w:t>
      </w:r>
      <w:proofErr w:type="spellEnd"/>
      <w:r w:rsidRPr="005E42D2">
        <w:rPr>
          <w:b/>
          <w:bCs/>
          <w:i/>
          <w:iCs/>
        </w:rPr>
        <w:t xml:space="preserve"> </w:t>
      </w:r>
      <w:proofErr w:type="spellStart"/>
      <w:r w:rsidRPr="005E42D2">
        <w:rPr>
          <w:b/>
          <w:bCs/>
          <w:i/>
          <w:iCs/>
        </w:rPr>
        <w:t>of</w:t>
      </w:r>
      <w:proofErr w:type="spellEnd"/>
      <w:r w:rsidRPr="005E42D2">
        <w:rPr>
          <w:b/>
          <w:bCs/>
          <w:i/>
          <w:iCs/>
        </w:rPr>
        <w:t xml:space="preserve"> </w:t>
      </w:r>
      <w:proofErr w:type="spellStart"/>
      <w:r w:rsidRPr="005E42D2">
        <w:rPr>
          <w:b/>
          <w:bCs/>
          <w:i/>
          <w:iCs/>
        </w:rPr>
        <w:t>the</w:t>
      </w:r>
      <w:proofErr w:type="spellEnd"/>
      <w:r w:rsidRPr="005E42D2">
        <w:rPr>
          <w:b/>
          <w:bCs/>
          <w:i/>
          <w:iCs/>
        </w:rPr>
        <w:t xml:space="preserve"> 21st </w:t>
      </w:r>
      <w:proofErr w:type="spellStart"/>
      <w:r w:rsidRPr="005E42D2">
        <w:rPr>
          <w:b/>
          <w:bCs/>
          <w:i/>
          <w:iCs/>
        </w:rPr>
        <w:t>National</w:t>
      </w:r>
      <w:proofErr w:type="spellEnd"/>
      <w:r w:rsidRPr="005E42D2">
        <w:rPr>
          <w:b/>
          <w:bCs/>
          <w:i/>
          <w:iCs/>
        </w:rPr>
        <w:t xml:space="preserve"> Street Tree </w:t>
      </w:r>
      <w:proofErr w:type="spellStart"/>
      <w:r w:rsidRPr="005E42D2">
        <w:rPr>
          <w:b/>
          <w:bCs/>
          <w:i/>
          <w:iCs/>
        </w:rPr>
        <w:t>Symposium</w:t>
      </w:r>
      <w:proofErr w:type="spellEnd"/>
      <w:r w:rsidRPr="005E42D2">
        <w:rPr>
          <w:b/>
          <w:bCs/>
          <w:i/>
          <w:iCs/>
        </w:rPr>
        <w:t xml:space="preserve">. TREENET. </w:t>
      </w:r>
      <w:hyperlink r:id="rId15" w:tgtFrame="_new" w:history="1">
        <w:r w:rsidRPr="005E42D2">
          <w:rPr>
            <w:rStyle w:val="Hipervnculo"/>
            <w:b/>
            <w:bCs/>
            <w:i/>
            <w:iCs/>
          </w:rPr>
          <w:t>https://treenet.org/resource/it-isnt-rocket-science-street-trees-can-make-a-difference-in-climate-change/</w:t>
        </w:r>
      </w:hyperlink>
    </w:p>
    <w:p w14:paraId="7C9472CA" w14:textId="77777777" w:rsidR="00251E62" w:rsidRPr="005E42D2" w:rsidRDefault="00251E62" w:rsidP="00251E62">
      <w:pPr>
        <w:rPr>
          <w:b/>
          <w:bCs/>
          <w:i/>
          <w:iCs/>
        </w:rPr>
      </w:pPr>
      <w:r w:rsidRPr="005E42D2">
        <w:rPr>
          <w:b/>
          <w:bCs/>
          <w:i/>
          <w:iCs/>
        </w:rPr>
        <w:t xml:space="preserve">Burden, D. (2006). 22 </w:t>
      </w:r>
      <w:proofErr w:type="spellStart"/>
      <w:r w:rsidRPr="005E42D2">
        <w:rPr>
          <w:b/>
          <w:bCs/>
          <w:i/>
          <w:iCs/>
        </w:rPr>
        <w:t>benefits</w:t>
      </w:r>
      <w:proofErr w:type="spellEnd"/>
      <w:r w:rsidRPr="005E42D2">
        <w:rPr>
          <w:b/>
          <w:bCs/>
          <w:i/>
          <w:iCs/>
        </w:rPr>
        <w:t xml:space="preserve"> </w:t>
      </w:r>
      <w:proofErr w:type="spellStart"/>
      <w:r w:rsidRPr="005E42D2">
        <w:rPr>
          <w:b/>
          <w:bCs/>
          <w:i/>
          <w:iCs/>
        </w:rPr>
        <w:t>of</w:t>
      </w:r>
      <w:proofErr w:type="spellEnd"/>
      <w:r w:rsidRPr="005E42D2">
        <w:rPr>
          <w:b/>
          <w:bCs/>
          <w:i/>
          <w:iCs/>
        </w:rPr>
        <w:t xml:space="preserve"> </w:t>
      </w:r>
      <w:proofErr w:type="spellStart"/>
      <w:r w:rsidRPr="005E42D2">
        <w:rPr>
          <w:b/>
          <w:bCs/>
          <w:i/>
          <w:iCs/>
        </w:rPr>
        <w:t>urban</w:t>
      </w:r>
      <w:proofErr w:type="spellEnd"/>
      <w:r w:rsidRPr="005E42D2">
        <w:rPr>
          <w:b/>
          <w:bCs/>
          <w:i/>
          <w:iCs/>
        </w:rPr>
        <w:t xml:space="preserve"> </w:t>
      </w:r>
      <w:proofErr w:type="spellStart"/>
      <w:r w:rsidRPr="005E42D2">
        <w:rPr>
          <w:b/>
          <w:bCs/>
          <w:i/>
          <w:iCs/>
        </w:rPr>
        <w:t>street</w:t>
      </w:r>
      <w:proofErr w:type="spellEnd"/>
      <w:r w:rsidRPr="005E42D2">
        <w:rPr>
          <w:b/>
          <w:bCs/>
          <w:i/>
          <w:iCs/>
        </w:rPr>
        <w:t xml:space="preserve"> </w:t>
      </w:r>
      <w:proofErr w:type="spellStart"/>
      <w:r w:rsidRPr="005E42D2">
        <w:rPr>
          <w:b/>
          <w:bCs/>
          <w:i/>
          <w:iCs/>
        </w:rPr>
        <w:t>trees</w:t>
      </w:r>
      <w:proofErr w:type="spellEnd"/>
      <w:r w:rsidRPr="005E42D2">
        <w:rPr>
          <w:b/>
          <w:bCs/>
          <w:i/>
          <w:iCs/>
        </w:rPr>
        <w:t xml:space="preserve">. </w:t>
      </w:r>
      <w:proofErr w:type="spellStart"/>
      <w:r w:rsidRPr="005E42D2">
        <w:rPr>
          <w:b/>
          <w:bCs/>
          <w:i/>
          <w:iCs/>
        </w:rPr>
        <w:t>Sustainable</w:t>
      </w:r>
      <w:proofErr w:type="spellEnd"/>
      <w:r w:rsidRPr="005E42D2">
        <w:rPr>
          <w:b/>
          <w:bCs/>
          <w:i/>
          <w:iCs/>
        </w:rPr>
        <w:t xml:space="preserve"> CT. </w:t>
      </w:r>
      <w:hyperlink r:id="rId16" w:tgtFrame="_new" w:history="1">
        <w:r w:rsidRPr="005E42D2">
          <w:rPr>
            <w:rStyle w:val="Hipervnculo"/>
            <w:b/>
            <w:bCs/>
            <w:i/>
            <w:iCs/>
          </w:rPr>
          <w:t>https://sustainablect.org/fileadmin/media/Content/For_resources/LNR/1._Urban_Street_Trees.pdf</w:t>
        </w:r>
      </w:hyperlink>
    </w:p>
    <w:p w14:paraId="6604AD56" w14:textId="77777777" w:rsidR="00251E62" w:rsidRPr="005E42D2" w:rsidRDefault="00251E62" w:rsidP="00251E62">
      <w:pPr>
        <w:rPr>
          <w:b/>
          <w:bCs/>
          <w:i/>
          <w:iCs/>
        </w:rPr>
      </w:pPr>
      <w:proofErr w:type="spellStart"/>
      <w:r w:rsidRPr="005E42D2">
        <w:rPr>
          <w:b/>
          <w:bCs/>
          <w:i/>
          <w:iCs/>
        </w:rPr>
        <w:t>Spreading</w:t>
      </w:r>
      <w:proofErr w:type="spellEnd"/>
      <w:r w:rsidRPr="005E42D2">
        <w:rPr>
          <w:b/>
          <w:bCs/>
          <w:i/>
          <w:iCs/>
        </w:rPr>
        <w:t xml:space="preserve"> Roots. (2024). </w:t>
      </w:r>
      <w:proofErr w:type="spellStart"/>
      <w:r w:rsidRPr="005E42D2">
        <w:rPr>
          <w:b/>
          <w:bCs/>
          <w:i/>
          <w:iCs/>
        </w:rPr>
        <w:t>Economic</w:t>
      </w:r>
      <w:proofErr w:type="spellEnd"/>
      <w:r w:rsidRPr="005E42D2">
        <w:rPr>
          <w:b/>
          <w:bCs/>
          <w:i/>
          <w:iCs/>
        </w:rPr>
        <w:t xml:space="preserve"> </w:t>
      </w:r>
      <w:proofErr w:type="spellStart"/>
      <w:r w:rsidRPr="005E42D2">
        <w:rPr>
          <w:b/>
          <w:bCs/>
          <w:i/>
          <w:iCs/>
        </w:rPr>
        <w:t>benefits</w:t>
      </w:r>
      <w:proofErr w:type="spellEnd"/>
      <w:r w:rsidRPr="005E42D2">
        <w:rPr>
          <w:b/>
          <w:bCs/>
          <w:i/>
          <w:iCs/>
        </w:rPr>
        <w:t xml:space="preserve">: A </w:t>
      </w:r>
      <w:proofErr w:type="spellStart"/>
      <w:r w:rsidRPr="005E42D2">
        <w:rPr>
          <w:b/>
          <w:bCs/>
          <w:i/>
          <w:iCs/>
        </w:rPr>
        <w:t>selection</w:t>
      </w:r>
      <w:proofErr w:type="spellEnd"/>
      <w:r w:rsidRPr="005E42D2">
        <w:rPr>
          <w:b/>
          <w:bCs/>
          <w:i/>
          <w:iCs/>
        </w:rPr>
        <w:t xml:space="preserve"> </w:t>
      </w:r>
      <w:proofErr w:type="spellStart"/>
      <w:r w:rsidRPr="005E42D2">
        <w:rPr>
          <w:b/>
          <w:bCs/>
          <w:i/>
          <w:iCs/>
        </w:rPr>
        <w:t>of</w:t>
      </w:r>
      <w:proofErr w:type="spellEnd"/>
      <w:r w:rsidRPr="005E42D2">
        <w:rPr>
          <w:b/>
          <w:bCs/>
          <w:i/>
          <w:iCs/>
        </w:rPr>
        <w:t xml:space="preserve"> </w:t>
      </w:r>
      <w:proofErr w:type="spellStart"/>
      <w:r w:rsidRPr="005E42D2">
        <w:rPr>
          <w:b/>
          <w:bCs/>
          <w:i/>
          <w:iCs/>
        </w:rPr>
        <w:t>facts</w:t>
      </w:r>
      <w:proofErr w:type="spellEnd"/>
      <w:r w:rsidRPr="005E42D2">
        <w:rPr>
          <w:b/>
          <w:bCs/>
          <w:i/>
          <w:iCs/>
        </w:rPr>
        <w:t xml:space="preserve"> and </w:t>
      </w:r>
      <w:proofErr w:type="spellStart"/>
      <w:r w:rsidRPr="005E42D2">
        <w:rPr>
          <w:b/>
          <w:bCs/>
          <w:i/>
          <w:iCs/>
        </w:rPr>
        <w:t>resources</w:t>
      </w:r>
      <w:proofErr w:type="spellEnd"/>
      <w:r w:rsidRPr="005E42D2">
        <w:rPr>
          <w:b/>
          <w:bCs/>
          <w:i/>
          <w:iCs/>
        </w:rPr>
        <w:t xml:space="preserve"> </w:t>
      </w:r>
      <w:proofErr w:type="spellStart"/>
      <w:r w:rsidRPr="005E42D2">
        <w:rPr>
          <w:b/>
          <w:bCs/>
          <w:i/>
          <w:iCs/>
        </w:rPr>
        <w:t>supported</w:t>
      </w:r>
      <w:proofErr w:type="spellEnd"/>
      <w:r w:rsidRPr="005E42D2">
        <w:rPr>
          <w:b/>
          <w:bCs/>
          <w:i/>
          <w:iCs/>
        </w:rPr>
        <w:t xml:space="preserve"> </w:t>
      </w:r>
      <w:proofErr w:type="spellStart"/>
      <w:r w:rsidRPr="005E42D2">
        <w:rPr>
          <w:b/>
          <w:bCs/>
          <w:i/>
          <w:iCs/>
        </w:rPr>
        <w:t>by</w:t>
      </w:r>
      <w:proofErr w:type="spellEnd"/>
      <w:r w:rsidRPr="005E42D2">
        <w:rPr>
          <w:b/>
          <w:bCs/>
          <w:i/>
          <w:iCs/>
        </w:rPr>
        <w:t xml:space="preserve"> </w:t>
      </w:r>
      <w:proofErr w:type="spellStart"/>
      <w:r w:rsidRPr="005E42D2">
        <w:rPr>
          <w:b/>
          <w:bCs/>
          <w:i/>
          <w:iCs/>
        </w:rPr>
        <w:t>research</w:t>
      </w:r>
      <w:proofErr w:type="spellEnd"/>
      <w:r w:rsidRPr="005E42D2">
        <w:rPr>
          <w:b/>
          <w:bCs/>
          <w:i/>
          <w:iCs/>
        </w:rPr>
        <w:t xml:space="preserve">. </w:t>
      </w:r>
      <w:hyperlink r:id="rId17" w:tgtFrame="_new" w:history="1">
        <w:r w:rsidRPr="005E42D2">
          <w:rPr>
            <w:rStyle w:val="Hipervnculo"/>
            <w:b/>
            <w:bCs/>
            <w:i/>
            <w:iCs/>
          </w:rPr>
          <w:t>https://spreadingroots.org/wp-content/uploads/2025/04/Benefits-Economic.pdf</w:t>
        </w:r>
      </w:hyperlink>
    </w:p>
    <w:p w14:paraId="5C7AA31E" w14:textId="77777777" w:rsidR="00251E62" w:rsidRPr="005E42D2" w:rsidRDefault="00251E62" w:rsidP="00251E62">
      <w:pPr>
        <w:rPr>
          <w:b/>
          <w:bCs/>
          <w:i/>
          <w:iCs/>
        </w:rPr>
      </w:pPr>
      <w:r w:rsidRPr="005E42D2">
        <w:rPr>
          <w:b/>
          <w:bCs/>
          <w:i/>
          <w:iCs/>
        </w:rPr>
        <w:t xml:space="preserve">Priego González de Canales, C. (2002). Beneficios del arbolado urbano. Consejo Superior de Investigaciones Científicas (CSIC). </w:t>
      </w:r>
      <w:hyperlink r:id="rId18" w:tgtFrame="_new" w:history="1">
        <w:r w:rsidRPr="005E42D2">
          <w:rPr>
            <w:rStyle w:val="Hipervnculo"/>
            <w:b/>
            <w:bCs/>
            <w:i/>
            <w:iCs/>
          </w:rPr>
          <w:t>https://digital.csic.es/bitstream/10261/24578/1/Beneficios%20del%20arbolado%20urbano.pdf</w:t>
        </w:r>
      </w:hyperlink>
    </w:p>
    <w:p w14:paraId="67D09ECC" w14:textId="77777777" w:rsidR="00251E62" w:rsidRPr="005E42D2" w:rsidRDefault="00251E62" w:rsidP="00251E62">
      <w:pPr>
        <w:rPr>
          <w:b/>
          <w:bCs/>
          <w:i/>
          <w:iCs/>
        </w:rPr>
      </w:pPr>
      <w:r w:rsidRPr="005E42D2">
        <w:rPr>
          <w:b/>
          <w:bCs/>
          <w:i/>
          <w:iCs/>
        </w:rPr>
        <w:t xml:space="preserve">Pineo, R., &amp; Barton, S. (2009). Human </w:t>
      </w:r>
      <w:proofErr w:type="spellStart"/>
      <w:r w:rsidRPr="005E42D2">
        <w:rPr>
          <w:b/>
          <w:bCs/>
          <w:i/>
          <w:iCs/>
        </w:rPr>
        <w:t>benefits</w:t>
      </w:r>
      <w:proofErr w:type="spellEnd"/>
      <w:r w:rsidRPr="005E42D2">
        <w:rPr>
          <w:b/>
          <w:bCs/>
          <w:i/>
          <w:iCs/>
        </w:rPr>
        <w:t xml:space="preserve"> </w:t>
      </w:r>
      <w:proofErr w:type="spellStart"/>
      <w:r w:rsidRPr="005E42D2">
        <w:rPr>
          <w:b/>
          <w:bCs/>
          <w:i/>
          <w:iCs/>
        </w:rPr>
        <w:t>of</w:t>
      </w:r>
      <w:proofErr w:type="spellEnd"/>
      <w:r w:rsidRPr="005E42D2">
        <w:rPr>
          <w:b/>
          <w:bCs/>
          <w:i/>
          <w:iCs/>
        </w:rPr>
        <w:t xml:space="preserve"> </w:t>
      </w:r>
      <w:proofErr w:type="spellStart"/>
      <w:r w:rsidRPr="005E42D2">
        <w:rPr>
          <w:b/>
          <w:bCs/>
          <w:i/>
          <w:iCs/>
        </w:rPr>
        <w:t>green</w:t>
      </w:r>
      <w:proofErr w:type="spellEnd"/>
      <w:r w:rsidRPr="005E42D2">
        <w:rPr>
          <w:b/>
          <w:bCs/>
          <w:i/>
          <w:iCs/>
        </w:rPr>
        <w:t xml:space="preserve"> </w:t>
      </w:r>
      <w:proofErr w:type="spellStart"/>
      <w:r w:rsidRPr="005E42D2">
        <w:rPr>
          <w:b/>
          <w:bCs/>
          <w:i/>
          <w:iCs/>
        </w:rPr>
        <w:t>spaces</w:t>
      </w:r>
      <w:proofErr w:type="spellEnd"/>
      <w:r w:rsidRPr="005E42D2">
        <w:rPr>
          <w:b/>
          <w:bCs/>
          <w:i/>
          <w:iCs/>
        </w:rPr>
        <w:t xml:space="preserve">. </w:t>
      </w:r>
      <w:proofErr w:type="spellStart"/>
      <w:r w:rsidRPr="005E42D2">
        <w:rPr>
          <w:b/>
          <w:bCs/>
          <w:i/>
          <w:iCs/>
        </w:rPr>
        <w:t>University</w:t>
      </w:r>
      <w:proofErr w:type="spellEnd"/>
      <w:r w:rsidRPr="005E42D2">
        <w:rPr>
          <w:b/>
          <w:bCs/>
          <w:i/>
          <w:iCs/>
        </w:rPr>
        <w:t xml:space="preserve"> </w:t>
      </w:r>
      <w:proofErr w:type="spellStart"/>
      <w:r w:rsidRPr="005E42D2">
        <w:rPr>
          <w:b/>
          <w:bCs/>
          <w:i/>
          <w:iCs/>
        </w:rPr>
        <w:t>of</w:t>
      </w:r>
      <w:proofErr w:type="spellEnd"/>
      <w:r w:rsidRPr="005E42D2">
        <w:rPr>
          <w:b/>
          <w:bCs/>
          <w:i/>
          <w:iCs/>
        </w:rPr>
        <w:t xml:space="preserve"> Delaware Cooperative </w:t>
      </w:r>
      <w:proofErr w:type="spellStart"/>
      <w:r w:rsidRPr="005E42D2">
        <w:rPr>
          <w:b/>
          <w:bCs/>
          <w:i/>
          <w:iCs/>
        </w:rPr>
        <w:t>Extension</w:t>
      </w:r>
      <w:proofErr w:type="spellEnd"/>
      <w:r w:rsidRPr="005E42D2">
        <w:rPr>
          <w:b/>
          <w:bCs/>
          <w:i/>
          <w:iCs/>
        </w:rPr>
        <w:t xml:space="preserve">. </w:t>
      </w:r>
      <w:hyperlink r:id="rId19" w:tgtFrame="_new" w:history="1">
        <w:r w:rsidRPr="005E42D2">
          <w:rPr>
            <w:rStyle w:val="Hipervnculo"/>
            <w:b/>
            <w:bCs/>
            <w:i/>
            <w:iCs/>
          </w:rPr>
          <w:t>https://www.udel.edu/content/dam/udelImages/canr/pdfs/extension/factsheets/Human-Benefits-of-Green-Spaces.pdf</w:t>
        </w:r>
      </w:hyperlink>
    </w:p>
    <w:p w14:paraId="4968DD56" w14:textId="77777777" w:rsidR="00251E62" w:rsidRPr="005E42D2" w:rsidRDefault="00251E62" w:rsidP="00251E62">
      <w:pPr>
        <w:rPr>
          <w:b/>
          <w:bCs/>
          <w:i/>
          <w:iCs/>
        </w:rPr>
      </w:pPr>
      <w:r w:rsidRPr="005E42D2">
        <w:rPr>
          <w:b/>
          <w:bCs/>
          <w:i/>
          <w:iCs/>
        </w:rPr>
        <w:t xml:space="preserve">Nuccitelli, D. (2023, 28 de marzo). The </w:t>
      </w:r>
      <w:proofErr w:type="spellStart"/>
      <w:r w:rsidRPr="005E42D2">
        <w:rPr>
          <w:b/>
          <w:bCs/>
          <w:i/>
          <w:iCs/>
        </w:rPr>
        <w:t>little-known</w:t>
      </w:r>
      <w:proofErr w:type="spellEnd"/>
      <w:r w:rsidRPr="005E42D2">
        <w:rPr>
          <w:b/>
          <w:bCs/>
          <w:i/>
          <w:iCs/>
        </w:rPr>
        <w:t xml:space="preserve"> </w:t>
      </w:r>
      <w:proofErr w:type="spellStart"/>
      <w:r w:rsidRPr="005E42D2">
        <w:rPr>
          <w:b/>
          <w:bCs/>
          <w:i/>
          <w:iCs/>
        </w:rPr>
        <w:t>physical</w:t>
      </w:r>
      <w:proofErr w:type="spellEnd"/>
      <w:r w:rsidRPr="005E42D2">
        <w:rPr>
          <w:b/>
          <w:bCs/>
          <w:i/>
          <w:iCs/>
        </w:rPr>
        <w:t xml:space="preserve"> and mental </w:t>
      </w:r>
      <w:proofErr w:type="spellStart"/>
      <w:r w:rsidRPr="005E42D2">
        <w:rPr>
          <w:b/>
          <w:bCs/>
          <w:i/>
          <w:iCs/>
        </w:rPr>
        <w:t>health</w:t>
      </w:r>
      <w:proofErr w:type="spellEnd"/>
      <w:r w:rsidRPr="005E42D2">
        <w:rPr>
          <w:b/>
          <w:bCs/>
          <w:i/>
          <w:iCs/>
        </w:rPr>
        <w:t xml:space="preserve"> </w:t>
      </w:r>
      <w:proofErr w:type="spellStart"/>
      <w:r w:rsidRPr="005E42D2">
        <w:rPr>
          <w:b/>
          <w:bCs/>
          <w:i/>
          <w:iCs/>
        </w:rPr>
        <w:t>benefits</w:t>
      </w:r>
      <w:proofErr w:type="spellEnd"/>
      <w:r w:rsidRPr="005E42D2">
        <w:rPr>
          <w:b/>
          <w:bCs/>
          <w:i/>
          <w:iCs/>
        </w:rPr>
        <w:t xml:space="preserve"> </w:t>
      </w:r>
      <w:proofErr w:type="spellStart"/>
      <w:r w:rsidRPr="005E42D2">
        <w:rPr>
          <w:b/>
          <w:bCs/>
          <w:i/>
          <w:iCs/>
        </w:rPr>
        <w:t>of</w:t>
      </w:r>
      <w:proofErr w:type="spellEnd"/>
      <w:r w:rsidRPr="005E42D2">
        <w:rPr>
          <w:b/>
          <w:bCs/>
          <w:i/>
          <w:iCs/>
        </w:rPr>
        <w:t xml:space="preserve"> </w:t>
      </w:r>
      <w:proofErr w:type="spellStart"/>
      <w:r w:rsidRPr="005E42D2">
        <w:rPr>
          <w:b/>
          <w:bCs/>
          <w:i/>
          <w:iCs/>
        </w:rPr>
        <w:t>urban</w:t>
      </w:r>
      <w:proofErr w:type="spellEnd"/>
      <w:r w:rsidRPr="005E42D2">
        <w:rPr>
          <w:b/>
          <w:bCs/>
          <w:i/>
          <w:iCs/>
        </w:rPr>
        <w:t xml:space="preserve"> </w:t>
      </w:r>
      <w:proofErr w:type="spellStart"/>
      <w:r w:rsidRPr="005E42D2">
        <w:rPr>
          <w:b/>
          <w:bCs/>
          <w:i/>
          <w:iCs/>
        </w:rPr>
        <w:t>trees</w:t>
      </w:r>
      <w:proofErr w:type="spellEnd"/>
      <w:r w:rsidRPr="005E42D2">
        <w:rPr>
          <w:b/>
          <w:bCs/>
          <w:i/>
          <w:iCs/>
        </w:rPr>
        <w:t xml:space="preserve">. </w:t>
      </w:r>
      <w:proofErr w:type="spellStart"/>
      <w:r w:rsidRPr="005E42D2">
        <w:rPr>
          <w:b/>
          <w:bCs/>
          <w:i/>
          <w:iCs/>
        </w:rPr>
        <w:t>Citizens</w:t>
      </w:r>
      <w:proofErr w:type="spellEnd"/>
      <w:r w:rsidRPr="005E42D2">
        <w:rPr>
          <w:b/>
          <w:bCs/>
          <w:i/>
          <w:iCs/>
        </w:rPr>
        <w:t xml:space="preserve">’ </w:t>
      </w:r>
      <w:proofErr w:type="spellStart"/>
      <w:r w:rsidRPr="005E42D2">
        <w:rPr>
          <w:b/>
          <w:bCs/>
          <w:i/>
          <w:iCs/>
        </w:rPr>
        <w:t>Climate</w:t>
      </w:r>
      <w:proofErr w:type="spellEnd"/>
      <w:r w:rsidRPr="005E42D2">
        <w:rPr>
          <w:b/>
          <w:bCs/>
          <w:i/>
          <w:iCs/>
        </w:rPr>
        <w:t xml:space="preserve"> Lobby. </w:t>
      </w:r>
      <w:hyperlink r:id="rId20" w:tgtFrame="_new" w:history="1">
        <w:r w:rsidRPr="005E42D2">
          <w:rPr>
            <w:rStyle w:val="Hipervnculo"/>
            <w:b/>
            <w:bCs/>
            <w:i/>
            <w:iCs/>
          </w:rPr>
          <w:t>https://citizensclimatelobby.org/blog/policy/the-little-known-physical-and-mental-health-benefits-of-urban-trees/</w:t>
        </w:r>
      </w:hyperlink>
    </w:p>
    <w:p w14:paraId="5700154A" w14:textId="77777777" w:rsidR="00251E62" w:rsidRPr="005E42D2" w:rsidRDefault="00251E62" w:rsidP="00251E62">
      <w:pPr>
        <w:rPr>
          <w:b/>
          <w:bCs/>
          <w:i/>
          <w:iCs/>
        </w:rPr>
      </w:pPr>
      <w:r w:rsidRPr="005E42D2">
        <w:rPr>
          <w:b/>
          <w:bCs/>
          <w:i/>
          <w:iCs/>
        </w:rPr>
        <w:t xml:space="preserve">Salazar, V., Padilla, F., &amp; Gutiérrez, P. (2025). La restauración ecológica del Parque México en Aguascalientes, una alternativa para mitigar el cambio climático y fortalecer el bienestar urbano. Universidad Nacional Autónoma de México. </w:t>
      </w:r>
      <w:hyperlink r:id="rId21" w:tgtFrame="_new" w:history="1">
        <w:r w:rsidRPr="005E42D2">
          <w:rPr>
            <w:rStyle w:val="Hipervnculo"/>
            <w:b/>
            <w:bCs/>
            <w:i/>
            <w:iCs/>
          </w:rPr>
          <w:t>https://ru.iiec.unam.mx/7887/1/3.%20027-Salazar-Padilla-Guti%C3%A9rrez-Final.pdf</w:t>
        </w:r>
      </w:hyperlink>
    </w:p>
    <w:p w14:paraId="393DAB0C" w14:textId="77777777" w:rsidR="00251E62" w:rsidRPr="005E42D2" w:rsidRDefault="00251E62" w:rsidP="00251E62">
      <w:pPr>
        <w:rPr>
          <w:b/>
          <w:bCs/>
          <w:i/>
          <w:iCs/>
        </w:rPr>
      </w:pPr>
      <w:r w:rsidRPr="005E42D2">
        <w:rPr>
          <w:b/>
          <w:bCs/>
          <w:i/>
          <w:iCs/>
        </w:rPr>
        <w:t xml:space="preserve">Tree San Diego. (s. f.). Beneficios del bosque urbano. </w:t>
      </w:r>
      <w:hyperlink r:id="rId22" w:tgtFrame="_new" w:history="1">
        <w:r w:rsidRPr="005E42D2">
          <w:rPr>
            <w:rStyle w:val="Hipervnculo"/>
            <w:b/>
            <w:bCs/>
            <w:i/>
            <w:iCs/>
          </w:rPr>
          <w:t>https://www.treesandiego.org/es/urban-forest-benefits</w:t>
        </w:r>
      </w:hyperlink>
    </w:p>
    <w:p w14:paraId="0DD7CC2C" w14:textId="77777777" w:rsidR="00251E62" w:rsidRPr="005E42D2" w:rsidRDefault="00251E62" w:rsidP="00251E62">
      <w:pPr>
        <w:rPr>
          <w:b/>
          <w:bCs/>
          <w:i/>
          <w:iCs/>
        </w:rPr>
      </w:pPr>
      <w:r w:rsidRPr="005E42D2">
        <w:rPr>
          <w:b/>
          <w:bCs/>
          <w:i/>
          <w:iCs/>
        </w:rPr>
        <w:lastRenderedPageBreak/>
        <w:t xml:space="preserve">Ayuntamiento de Huesca. (s. f.). Beneficios del bosque urbano. </w:t>
      </w:r>
      <w:hyperlink r:id="rId23" w:tgtFrame="_new" w:history="1">
        <w:r w:rsidRPr="005E42D2">
          <w:rPr>
            <w:rStyle w:val="Hipervnculo"/>
            <w:b/>
            <w:bCs/>
            <w:i/>
            <w:iCs/>
          </w:rPr>
          <w:t>https://www.huesca.es/areas/medio-ambiente/espacios-verdes/bosque-urbano/beneficios-del-bosque-urbano</w:t>
        </w:r>
      </w:hyperlink>
    </w:p>
    <w:p w14:paraId="2AC05B2C" w14:textId="77777777" w:rsidR="00251E62" w:rsidRPr="005E42D2" w:rsidRDefault="00251E62" w:rsidP="00251E62">
      <w:pPr>
        <w:rPr>
          <w:b/>
          <w:bCs/>
          <w:i/>
          <w:iCs/>
        </w:rPr>
      </w:pPr>
      <w:r w:rsidRPr="005E42D2">
        <w:rPr>
          <w:b/>
          <w:bCs/>
          <w:i/>
          <w:iCs/>
        </w:rPr>
        <w:t xml:space="preserve">City </w:t>
      </w:r>
      <w:proofErr w:type="spellStart"/>
      <w:r w:rsidRPr="005E42D2">
        <w:rPr>
          <w:b/>
          <w:bCs/>
          <w:i/>
          <w:iCs/>
        </w:rPr>
        <w:t>of</w:t>
      </w:r>
      <w:proofErr w:type="spellEnd"/>
      <w:r w:rsidRPr="005E42D2">
        <w:rPr>
          <w:b/>
          <w:bCs/>
          <w:i/>
          <w:iCs/>
        </w:rPr>
        <w:t xml:space="preserve"> Pleasant Hill. (2014). </w:t>
      </w:r>
      <w:proofErr w:type="spellStart"/>
      <w:r w:rsidRPr="005E42D2">
        <w:rPr>
          <w:b/>
          <w:bCs/>
          <w:i/>
          <w:iCs/>
        </w:rPr>
        <w:t>Exhibit</w:t>
      </w:r>
      <w:proofErr w:type="spellEnd"/>
      <w:r w:rsidRPr="005E42D2">
        <w:rPr>
          <w:b/>
          <w:bCs/>
          <w:i/>
          <w:iCs/>
        </w:rPr>
        <w:t xml:space="preserve"> G [Documento PDF]. </w:t>
      </w:r>
      <w:hyperlink r:id="rId24" w:tgtFrame="_new" w:history="1">
        <w:r w:rsidRPr="005E42D2">
          <w:rPr>
            <w:rStyle w:val="Hipervnculo"/>
            <w:b/>
            <w:bCs/>
            <w:i/>
            <w:iCs/>
          </w:rPr>
          <w:t>https://www.phillca.gov/DocumentCenter/View/12395/4-22-14-pc-2-exhibit-G?bidId=</w:t>
        </w:r>
      </w:hyperlink>
    </w:p>
    <w:p w14:paraId="307680C0" w14:textId="77777777" w:rsidR="00251E62" w:rsidRPr="005E42D2" w:rsidRDefault="00251E62" w:rsidP="00251E62">
      <w:pPr>
        <w:rPr>
          <w:i/>
          <w:iCs/>
        </w:rPr>
      </w:pPr>
      <w:r w:rsidRPr="005E42D2">
        <w:rPr>
          <w:i/>
          <w:iCs/>
        </w:rPr>
        <w:t xml:space="preserve">Warwick District Council. (s. f.). The </w:t>
      </w:r>
      <w:proofErr w:type="spellStart"/>
      <w:r w:rsidRPr="005E42D2">
        <w:rPr>
          <w:i/>
          <w:iCs/>
        </w:rPr>
        <w:t>benefits</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urban</w:t>
      </w:r>
      <w:proofErr w:type="spellEnd"/>
      <w:r w:rsidRPr="005E42D2">
        <w:rPr>
          <w:i/>
          <w:iCs/>
        </w:rPr>
        <w:t xml:space="preserve"> </w:t>
      </w:r>
      <w:proofErr w:type="spellStart"/>
      <w:r w:rsidRPr="005E42D2">
        <w:rPr>
          <w:i/>
          <w:iCs/>
        </w:rPr>
        <w:t>trees</w:t>
      </w:r>
      <w:proofErr w:type="spellEnd"/>
      <w:r w:rsidRPr="005E42D2">
        <w:rPr>
          <w:i/>
          <w:iCs/>
        </w:rPr>
        <w:t xml:space="preserve">. </w:t>
      </w:r>
      <w:hyperlink r:id="rId25" w:tgtFrame="_new" w:history="1">
        <w:r w:rsidRPr="005E42D2">
          <w:rPr>
            <w:rStyle w:val="Hipervnculo"/>
            <w:i/>
            <w:iCs/>
          </w:rPr>
          <w:t>https://www.warwickdc.gov.uk/info/20323/trees_and_woodland/577/the_benefits_of_urban_trees</w:t>
        </w:r>
      </w:hyperlink>
    </w:p>
    <w:p w14:paraId="4D361074" w14:textId="77777777" w:rsidR="00251E62" w:rsidRPr="005E42D2" w:rsidRDefault="00251E62" w:rsidP="00251E62">
      <w:pPr>
        <w:rPr>
          <w:i/>
          <w:iCs/>
        </w:rPr>
      </w:pPr>
      <w:r w:rsidRPr="005E42D2">
        <w:rPr>
          <w:i/>
          <w:iCs/>
        </w:rPr>
        <w:t xml:space="preserve">Conniff, R. (2012, 1 de octubre). </w:t>
      </w:r>
      <w:proofErr w:type="gramStart"/>
      <w:r w:rsidRPr="005E42D2">
        <w:rPr>
          <w:i/>
          <w:iCs/>
        </w:rPr>
        <w:t xml:space="preserve">Can </w:t>
      </w:r>
      <w:proofErr w:type="spellStart"/>
      <w:r w:rsidRPr="005E42D2">
        <w:rPr>
          <w:i/>
          <w:iCs/>
        </w:rPr>
        <w:t>trees</w:t>
      </w:r>
      <w:proofErr w:type="spellEnd"/>
      <w:r w:rsidRPr="005E42D2">
        <w:rPr>
          <w:i/>
          <w:iCs/>
        </w:rPr>
        <w:t xml:space="preserve"> stop </w:t>
      </w:r>
      <w:proofErr w:type="spellStart"/>
      <w:r w:rsidRPr="005E42D2">
        <w:rPr>
          <w:i/>
          <w:iCs/>
        </w:rPr>
        <w:t>crime</w:t>
      </w:r>
      <w:proofErr w:type="spellEnd"/>
      <w:r w:rsidRPr="005E42D2">
        <w:rPr>
          <w:i/>
          <w:iCs/>
        </w:rPr>
        <w:t>?</w:t>
      </w:r>
      <w:proofErr w:type="gramEnd"/>
      <w:r w:rsidRPr="005E42D2">
        <w:rPr>
          <w:i/>
          <w:iCs/>
        </w:rPr>
        <w:t xml:space="preserve"> Strange </w:t>
      </w:r>
      <w:proofErr w:type="spellStart"/>
      <w:r w:rsidRPr="005E42D2">
        <w:rPr>
          <w:i/>
          <w:iCs/>
        </w:rPr>
        <w:t>Behaviors</w:t>
      </w:r>
      <w:proofErr w:type="spellEnd"/>
      <w:r w:rsidRPr="005E42D2">
        <w:rPr>
          <w:i/>
          <w:iCs/>
        </w:rPr>
        <w:t xml:space="preserve">. </w:t>
      </w:r>
      <w:hyperlink r:id="rId26" w:tgtFrame="_new" w:history="1">
        <w:r w:rsidRPr="005E42D2">
          <w:rPr>
            <w:rStyle w:val="Hipervnculo"/>
            <w:i/>
            <w:iCs/>
          </w:rPr>
          <w:t>https://strangebehaviors.wordpress.com/2012/10/01/can-trees-stop-crime/</w:t>
        </w:r>
      </w:hyperlink>
    </w:p>
    <w:p w14:paraId="2E220FA7" w14:textId="77777777" w:rsidR="00251E62" w:rsidRPr="005E42D2" w:rsidRDefault="00251E62" w:rsidP="00251E62">
      <w:pPr>
        <w:rPr>
          <w:i/>
          <w:iCs/>
        </w:rPr>
      </w:pPr>
      <w:r w:rsidRPr="005E42D2">
        <w:rPr>
          <w:i/>
          <w:iCs/>
        </w:rPr>
        <w:t xml:space="preserve">Magill, R. J. (2013, 29 de julio). The top social </w:t>
      </w:r>
      <w:proofErr w:type="spellStart"/>
      <w:r w:rsidRPr="005E42D2">
        <w:rPr>
          <w:i/>
          <w:iCs/>
        </w:rPr>
        <w:t>benefits</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urban</w:t>
      </w:r>
      <w:proofErr w:type="spellEnd"/>
      <w:r w:rsidRPr="005E42D2">
        <w:rPr>
          <w:i/>
          <w:iCs/>
        </w:rPr>
        <w:t xml:space="preserve"> </w:t>
      </w:r>
      <w:proofErr w:type="spellStart"/>
      <w:r w:rsidRPr="005E42D2">
        <w:rPr>
          <w:i/>
          <w:iCs/>
        </w:rPr>
        <w:t>forestry</w:t>
      </w:r>
      <w:proofErr w:type="spellEnd"/>
      <w:r w:rsidRPr="005E42D2">
        <w:rPr>
          <w:i/>
          <w:iCs/>
        </w:rPr>
        <w:t xml:space="preserve">. </w:t>
      </w:r>
      <w:proofErr w:type="spellStart"/>
      <w:r w:rsidRPr="005E42D2">
        <w:rPr>
          <w:i/>
          <w:iCs/>
        </w:rPr>
        <w:t>Citygreen</w:t>
      </w:r>
      <w:proofErr w:type="spellEnd"/>
      <w:r w:rsidRPr="005E42D2">
        <w:rPr>
          <w:i/>
          <w:iCs/>
        </w:rPr>
        <w:t xml:space="preserve">. </w:t>
      </w:r>
      <w:hyperlink r:id="rId27" w:tgtFrame="_new" w:history="1">
        <w:r w:rsidRPr="005E42D2">
          <w:rPr>
            <w:rStyle w:val="Hipervnculo"/>
            <w:i/>
            <w:iCs/>
          </w:rPr>
          <w:t>https://citygreen.com/top-urban-forestry-social-benefits/</w:t>
        </w:r>
      </w:hyperlink>
    </w:p>
    <w:p w14:paraId="64AAAC0B" w14:textId="1B7B6C00" w:rsidR="00251E62" w:rsidRPr="00550A8E" w:rsidRDefault="00251E62">
      <w:pPr>
        <w:rPr>
          <w:i/>
          <w:iCs/>
        </w:rPr>
      </w:pPr>
      <w:r w:rsidRPr="005E42D2">
        <w:rPr>
          <w:i/>
          <w:iCs/>
        </w:rPr>
        <w:t xml:space="preserve">Young, C. (2004, 1 de septiembre). Green </w:t>
      </w:r>
      <w:proofErr w:type="spellStart"/>
      <w:r w:rsidRPr="005E42D2">
        <w:rPr>
          <w:i/>
          <w:iCs/>
        </w:rPr>
        <w:t>peace</w:t>
      </w:r>
      <w:proofErr w:type="spellEnd"/>
      <w:r w:rsidRPr="005E42D2">
        <w:rPr>
          <w:i/>
          <w:iCs/>
        </w:rPr>
        <w:t xml:space="preserve">: </w:t>
      </w:r>
      <w:proofErr w:type="spellStart"/>
      <w:proofErr w:type="gramStart"/>
      <w:r w:rsidRPr="005E42D2">
        <w:rPr>
          <w:i/>
          <w:iCs/>
        </w:rPr>
        <w:t>What</w:t>
      </w:r>
      <w:proofErr w:type="spellEnd"/>
      <w:r w:rsidRPr="005E42D2">
        <w:rPr>
          <w:i/>
          <w:iCs/>
        </w:rPr>
        <w:t xml:space="preserve"> </w:t>
      </w:r>
      <w:proofErr w:type="spellStart"/>
      <w:r w:rsidRPr="005E42D2">
        <w:rPr>
          <w:i/>
          <w:iCs/>
        </w:rPr>
        <w:t>could</w:t>
      </w:r>
      <w:proofErr w:type="spellEnd"/>
      <w:r w:rsidRPr="005E42D2">
        <w:rPr>
          <w:i/>
          <w:iCs/>
        </w:rPr>
        <w:t xml:space="preserve"> </w:t>
      </w:r>
      <w:proofErr w:type="spellStart"/>
      <w:r w:rsidRPr="005E42D2">
        <w:rPr>
          <w:i/>
          <w:iCs/>
        </w:rPr>
        <w:t>help</w:t>
      </w:r>
      <w:proofErr w:type="spellEnd"/>
      <w:r w:rsidRPr="005E42D2">
        <w:rPr>
          <w:i/>
          <w:iCs/>
        </w:rPr>
        <w:t xml:space="preserve"> do </w:t>
      </w:r>
      <w:proofErr w:type="spellStart"/>
      <w:r w:rsidRPr="005E42D2">
        <w:rPr>
          <w:i/>
          <w:iCs/>
        </w:rPr>
        <w:t>the</w:t>
      </w:r>
      <w:proofErr w:type="spellEnd"/>
      <w:r w:rsidRPr="005E42D2">
        <w:rPr>
          <w:i/>
          <w:iCs/>
        </w:rPr>
        <w:t xml:space="preserve"> </w:t>
      </w:r>
      <w:proofErr w:type="spellStart"/>
      <w:r w:rsidRPr="005E42D2">
        <w:rPr>
          <w:i/>
          <w:iCs/>
        </w:rPr>
        <w:t>work</w:t>
      </w:r>
      <w:proofErr w:type="spellEnd"/>
      <w:r w:rsidRPr="005E42D2">
        <w:rPr>
          <w:i/>
          <w:iCs/>
        </w:rPr>
        <w:t xml:space="preserve"> </w:t>
      </w:r>
      <w:proofErr w:type="spellStart"/>
      <w:r w:rsidRPr="005E42D2">
        <w:rPr>
          <w:i/>
          <w:iCs/>
        </w:rPr>
        <w:t>of</w:t>
      </w:r>
      <w:proofErr w:type="spellEnd"/>
      <w:r w:rsidRPr="005E42D2">
        <w:rPr>
          <w:i/>
          <w:iCs/>
        </w:rPr>
        <w:t xml:space="preserve"> </w:t>
      </w:r>
      <w:proofErr w:type="spellStart"/>
      <w:r w:rsidRPr="005E42D2">
        <w:rPr>
          <w:i/>
          <w:iCs/>
        </w:rPr>
        <w:t>medication</w:t>
      </w:r>
      <w:proofErr w:type="spellEnd"/>
      <w:r w:rsidRPr="005E42D2">
        <w:rPr>
          <w:i/>
          <w:iCs/>
        </w:rPr>
        <w:t xml:space="preserve">, </w:t>
      </w:r>
      <w:proofErr w:type="spellStart"/>
      <w:r w:rsidRPr="005E42D2">
        <w:rPr>
          <w:i/>
          <w:iCs/>
        </w:rPr>
        <w:t>meditation</w:t>
      </w:r>
      <w:proofErr w:type="spellEnd"/>
      <w:r w:rsidRPr="005E42D2">
        <w:rPr>
          <w:i/>
          <w:iCs/>
        </w:rPr>
        <w:t xml:space="preserve">, and </w:t>
      </w:r>
      <w:proofErr w:type="spellStart"/>
      <w:r w:rsidRPr="005E42D2">
        <w:rPr>
          <w:i/>
          <w:iCs/>
        </w:rPr>
        <w:t>community</w:t>
      </w:r>
      <w:proofErr w:type="spellEnd"/>
      <w:r w:rsidRPr="005E42D2">
        <w:rPr>
          <w:i/>
          <w:iCs/>
        </w:rPr>
        <w:t xml:space="preserve"> </w:t>
      </w:r>
      <w:proofErr w:type="spellStart"/>
      <w:r w:rsidRPr="005E42D2">
        <w:rPr>
          <w:i/>
          <w:iCs/>
        </w:rPr>
        <w:t>police</w:t>
      </w:r>
      <w:proofErr w:type="spellEnd"/>
      <w:r w:rsidRPr="005E42D2">
        <w:rPr>
          <w:i/>
          <w:iCs/>
        </w:rPr>
        <w:t xml:space="preserve"> </w:t>
      </w:r>
      <w:proofErr w:type="spellStart"/>
      <w:r w:rsidRPr="005E42D2">
        <w:rPr>
          <w:i/>
          <w:iCs/>
        </w:rPr>
        <w:t>officers</w:t>
      </w:r>
      <w:proofErr w:type="spellEnd"/>
      <w:r w:rsidRPr="005E42D2">
        <w:rPr>
          <w:i/>
          <w:iCs/>
        </w:rPr>
        <w:t>?</w:t>
      </w:r>
      <w:proofErr w:type="gramEnd"/>
      <w:r w:rsidRPr="005E42D2">
        <w:rPr>
          <w:i/>
          <w:iCs/>
        </w:rPr>
        <w:t xml:space="preserve"> The </w:t>
      </w:r>
      <w:proofErr w:type="spellStart"/>
      <w:r w:rsidRPr="005E42D2">
        <w:rPr>
          <w:i/>
          <w:iCs/>
        </w:rPr>
        <w:t>answer's</w:t>
      </w:r>
      <w:proofErr w:type="spellEnd"/>
      <w:r w:rsidRPr="005E42D2">
        <w:rPr>
          <w:i/>
          <w:iCs/>
        </w:rPr>
        <w:t xml:space="preserve"> in </w:t>
      </w:r>
      <w:proofErr w:type="spellStart"/>
      <w:r w:rsidRPr="005E42D2">
        <w:rPr>
          <w:i/>
          <w:iCs/>
        </w:rPr>
        <w:t>your</w:t>
      </w:r>
      <w:proofErr w:type="spellEnd"/>
      <w:r w:rsidRPr="005E42D2">
        <w:rPr>
          <w:i/>
          <w:iCs/>
        </w:rPr>
        <w:t xml:space="preserve"> </w:t>
      </w:r>
      <w:proofErr w:type="spellStart"/>
      <w:r w:rsidRPr="005E42D2">
        <w:rPr>
          <w:i/>
          <w:iCs/>
        </w:rPr>
        <w:t>backyard</w:t>
      </w:r>
      <w:proofErr w:type="spellEnd"/>
      <w:r w:rsidRPr="005E42D2">
        <w:rPr>
          <w:i/>
          <w:iCs/>
        </w:rPr>
        <w:t xml:space="preserve">. </w:t>
      </w:r>
      <w:proofErr w:type="spellStart"/>
      <w:r w:rsidRPr="005E42D2">
        <w:rPr>
          <w:i/>
          <w:iCs/>
        </w:rPr>
        <w:t>Greater</w:t>
      </w:r>
      <w:proofErr w:type="spellEnd"/>
      <w:r w:rsidRPr="005E42D2">
        <w:rPr>
          <w:i/>
          <w:iCs/>
        </w:rPr>
        <w:t xml:space="preserve"> Good. </w:t>
      </w:r>
      <w:hyperlink r:id="rId28" w:tgtFrame="_new" w:history="1">
        <w:r w:rsidRPr="005E42D2">
          <w:rPr>
            <w:rStyle w:val="Hipervnculo"/>
            <w:i/>
            <w:iCs/>
          </w:rPr>
          <w:t>https://greatergood.berkeley.edu/article/item/green_peace</w:t>
        </w:r>
      </w:hyperlink>
    </w:p>
    <w:sectPr w:rsidR="00251E62" w:rsidRPr="00550A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B3"/>
    <w:rsid w:val="000B2E2E"/>
    <w:rsid w:val="001C7F34"/>
    <w:rsid w:val="0020184A"/>
    <w:rsid w:val="00251E62"/>
    <w:rsid w:val="002E21E3"/>
    <w:rsid w:val="002F73DF"/>
    <w:rsid w:val="00306927"/>
    <w:rsid w:val="003112DF"/>
    <w:rsid w:val="003E0C6D"/>
    <w:rsid w:val="00471A06"/>
    <w:rsid w:val="00550A8E"/>
    <w:rsid w:val="005A1BD3"/>
    <w:rsid w:val="005A6D0E"/>
    <w:rsid w:val="00624A0F"/>
    <w:rsid w:val="00647599"/>
    <w:rsid w:val="006D5BDB"/>
    <w:rsid w:val="008A7BE7"/>
    <w:rsid w:val="00902BC4"/>
    <w:rsid w:val="009413AF"/>
    <w:rsid w:val="00953EE4"/>
    <w:rsid w:val="00B60AFB"/>
    <w:rsid w:val="00CB4396"/>
    <w:rsid w:val="00CD30B3"/>
    <w:rsid w:val="00D076E6"/>
    <w:rsid w:val="00D127D4"/>
    <w:rsid w:val="00DE787D"/>
    <w:rsid w:val="00EA6678"/>
    <w:rsid w:val="00F96E1F"/>
    <w:rsid w:val="00FC2E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1DD7"/>
  <w15:chartTrackingRefBased/>
  <w15:docId w15:val="{2808F3DA-DDE1-472B-82CC-C3A39D52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B3"/>
    <w:pPr>
      <w:spacing w:line="278" w:lineRule="auto"/>
    </w:pPr>
    <w:rPr>
      <w:sz w:val="24"/>
      <w:szCs w:val="24"/>
    </w:rPr>
  </w:style>
  <w:style w:type="paragraph" w:styleId="Ttulo1">
    <w:name w:val="heading 1"/>
    <w:basedOn w:val="Normal"/>
    <w:next w:val="Normal"/>
    <w:link w:val="Ttulo1Car"/>
    <w:uiPriority w:val="9"/>
    <w:qFormat/>
    <w:rsid w:val="00CD30B3"/>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30B3"/>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30B3"/>
    <w:pPr>
      <w:keepNext/>
      <w:keepLines/>
      <w:spacing w:before="160" w:after="80" w:line="259"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0B3"/>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Ttulo5">
    <w:name w:val="heading 5"/>
    <w:basedOn w:val="Normal"/>
    <w:next w:val="Normal"/>
    <w:link w:val="Ttulo5Car"/>
    <w:uiPriority w:val="9"/>
    <w:semiHidden/>
    <w:unhideWhenUsed/>
    <w:qFormat/>
    <w:rsid w:val="00CD30B3"/>
    <w:pPr>
      <w:keepNext/>
      <w:keepLines/>
      <w:spacing w:before="80" w:after="40" w:line="259" w:lineRule="auto"/>
      <w:outlineLvl w:val="4"/>
    </w:pPr>
    <w:rPr>
      <w:rFonts w:eastAsiaTheme="majorEastAsia" w:cstheme="majorBidi"/>
      <w:color w:val="0F4761" w:themeColor="accent1" w:themeShade="BF"/>
      <w:sz w:val="22"/>
      <w:szCs w:val="22"/>
    </w:rPr>
  </w:style>
  <w:style w:type="paragraph" w:styleId="Ttulo6">
    <w:name w:val="heading 6"/>
    <w:basedOn w:val="Normal"/>
    <w:next w:val="Normal"/>
    <w:link w:val="Ttulo6Car"/>
    <w:uiPriority w:val="9"/>
    <w:semiHidden/>
    <w:unhideWhenUsed/>
    <w:qFormat/>
    <w:rsid w:val="00CD30B3"/>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Ttulo7">
    <w:name w:val="heading 7"/>
    <w:basedOn w:val="Normal"/>
    <w:next w:val="Normal"/>
    <w:link w:val="Ttulo7Car"/>
    <w:uiPriority w:val="9"/>
    <w:semiHidden/>
    <w:unhideWhenUsed/>
    <w:qFormat/>
    <w:rsid w:val="00CD30B3"/>
    <w:pPr>
      <w:keepNext/>
      <w:keepLines/>
      <w:spacing w:before="40" w:after="0" w:line="259" w:lineRule="auto"/>
      <w:outlineLvl w:val="6"/>
    </w:pPr>
    <w:rPr>
      <w:rFonts w:eastAsiaTheme="majorEastAsia" w:cstheme="majorBidi"/>
      <w:color w:val="595959" w:themeColor="text1" w:themeTint="A6"/>
      <w:sz w:val="22"/>
      <w:szCs w:val="22"/>
    </w:rPr>
  </w:style>
  <w:style w:type="paragraph" w:styleId="Ttulo8">
    <w:name w:val="heading 8"/>
    <w:basedOn w:val="Normal"/>
    <w:next w:val="Normal"/>
    <w:link w:val="Ttulo8Car"/>
    <w:uiPriority w:val="9"/>
    <w:semiHidden/>
    <w:unhideWhenUsed/>
    <w:qFormat/>
    <w:rsid w:val="00CD30B3"/>
    <w:pPr>
      <w:keepNext/>
      <w:keepLines/>
      <w:spacing w:after="0" w:line="259" w:lineRule="auto"/>
      <w:outlineLvl w:val="7"/>
    </w:pPr>
    <w:rPr>
      <w:rFonts w:eastAsiaTheme="majorEastAsia" w:cstheme="majorBidi"/>
      <w:i/>
      <w:iCs/>
      <w:color w:val="272727" w:themeColor="text1" w:themeTint="D8"/>
      <w:sz w:val="22"/>
      <w:szCs w:val="22"/>
    </w:rPr>
  </w:style>
  <w:style w:type="paragraph" w:styleId="Ttulo9">
    <w:name w:val="heading 9"/>
    <w:basedOn w:val="Normal"/>
    <w:next w:val="Normal"/>
    <w:link w:val="Ttulo9Car"/>
    <w:uiPriority w:val="9"/>
    <w:semiHidden/>
    <w:unhideWhenUsed/>
    <w:qFormat/>
    <w:rsid w:val="00CD30B3"/>
    <w:pPr>
      <w:keepNext/>
      <w:keepLines/>
      <w:spacing w:after="0" w:line="259" w:lineRule="auto"/>
      <w:outlineLvl w:val="8"/>
    </w:pPr>
    <w:rPr>
      <w:rFonts w:eastAsiaTheme="majorEastAsia" w:cstheme="majorBidi"/>
      <w:color w:val="272727" w:themeColor="text1" w:themeTint="D8"/>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3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3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0B3"/>
    <w:rPr>
      <w:rFonts w:eastAsiaTheme="majorEastAsia" w:cstheme="majorBidi"/>
      <w:color w:val="272727" w:themeColor="text1" w:themeTint="D8"/>
    </w:rPr>
  </w:style>
  <w:style w:type="paragraph" w:styleId="Ttulo">
    <w:name w:val="Title"/>
    <w:basedOn w:val="Normal"/>
    <w:next w:val="Normal"/>
    <w:link w:val="TtuloCar"/>
    <w:uiPriority w:val="10"/>
    <w:qFormat/>
    <w:rsid w:val="00CD3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0B3"/>
    <w:pPr>
      <w:numPr>
        <w:ilvl w:val="1"/>
      </w:numPr>
      <w:spacing w:line="259"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0B3"/>
    <w:pPr>
      <w:spacing w:before="160" w:line="259" w:lineRule="auto"/>
      <w:jc w:val="center"/>
    </w:pPr>
    <w:rPr>
      <w:i/>
      <w:iCs/>
      <w:color w:val="404040" w:themeColor="text1" w:themeTint="BF"/>
      <w:sz w:val="22"/>
      <w:szCs w:val="22"/>
    </w:rPr>
  </w:style>
  <w:style w:type="character" w:customStyle="1" w:styleId="CitaCar">
    <w:name w:val="Cita Car"/>
    <w:basedOn w:val="Fuentedeprrafopredeter"/>
    <w:link w:val="Cita"/>
    <w:uiPriority w:val="29"/>
    <w:rsid w:val="00CD30B3"/>
    <w:rPr>
      <w:i/>
      <w:iCs/>
      <w:color w:val="404040" w:themeColor="text1" w:themeTint="BF"/>
    </w:rPr>
  </w:style>
  <w:style w:type="paragraph" w:styleId="Prrafodelista">
    <w:name w:val="List Paragraph"/>
    <w:basedOn w:val="Normal"/>
    <w:uiPriority w:val="34"/>
    <w:qFormat/>
    <w:rsid w:val="00CD30B3"/>
    <w:pPr>
      <w:spacing w:line="259" w:lineRule="auto"/>
      <w:ind w:left="720"/>
      <w:contextualSpacing/>
    </w:pPr>
    <w:rPr>
      <w:sz w:val="22"/>
      <w:szCs w:val="22"/>
    </w:rPr>
  </w:style>
  <w:style w:type="character" w:styleId="nfasisintenso">
    <w:name w:val="Intense Emphasis"/>
    <w:basedOn w:val="Fuentedeprrafopredeter"/>
    <w:uiPriority w:val="21"/>
    <w:qFormat/>
    <w:rsid w:val="00CD30B3"/>
    <w:rPr>
      <w:i/>
      <w:iCs/>
      <w:color w:val="0F4761" w:themeColor="accent1" w:themeShade="BF"/>
    </w:rPr>
  </w:style>
  <w:style w:type="paragraph" w:styleId="Citadestacada">
    <w:name w:val="Intense Quote"/>
    <w:basedOn w:val="Normal"/>
    <w:next w:val="Normal"/>
    <w:link w:val="CitadestacadaCar"/>
    <w:uiPriority w:val="30"/>
    <w:qFormat/>
    <w:rsid w:val="00CD30B3"/>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CitadestacadaCar">
    <w:name w:val="Cita destacada Car"/>
    <w:basedOn w:val="Fuentedeprrafopredeter"/>
    <w:link w:val="Citadestacada"/>
    <w:uiPriority w:val="30"/>
    <w:rsid w:val="00CD30B3"/>
    <w:rPr>
      <w:i/>
      <w:iCs/>
      <w:color w:val="0F4761" w:themeColor="accent1" w:themeShade="BF"/>
    </w:rPr>
  </w:style>
  <w:style w:type="character" w:styleId="Referenciaintensa">
    <w:name w:val="Intense Reference"/>
    <w:basedOn w:val="Fuentedeprrafopredeter"/>
    <w:uiPriority w:val="32"/>
    <w:qFormat/>
    <w:rsid w:val="00CD30B3"/>
    <w:rPr>
      <w:b/>
      <w:bCs/>
      <w:smallCaps/>
      <w:color w:val="0F4761" w:themeColor="accent1" w:themeShade="BF"/>
      <w:spacing w:val="5"/>
    </w:rPr>
  </w:style>
  <w:style w:type="table" w:styleId="Tablaconcuadrcula">
    <w:name w:val="Table Grid"/>
    <w:basedOn w:val="Tablanormal"/>
    <w:uiPriority w:val="39"/>
    <w:rsid w:val="00CD30B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D30B3"/>
    <w:rPr>
      <w:b/>
      <w:bCs/>
    </w:rPr>
  </w:style>
  <w:style w:type="character" w:styleId="Hipervnculo">
    <w:name w:val="Hyperlink"/>
    <w:basedOn w:val="Fuentedeprrafopredeter"/>
    <w:uiPriority w:val="99"/>
    <w:unhideWhenUsed/>
    <w:rsid w:val="00251E6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eatergood.berkeley.edu/article/item/green_peace" TargetMode="External"/><Relationship Id="rId13" Type="http://schemas.openxmlformats.org/officeDocument/2006/relationships/hyperlink" Target="https://doi.org/10.3390/su14084673" TargetMode="External"/><Relationship Id="rId18" Type="http://schemas.openxmlformats.org/officeDocument/2006/relationships/hyperlink" Target="https://digital.csic.es/bitstream/10261/24578/1/Beneficios%20del%20arbolado%20urbano.pdf" TargetMode="External"/><Relationship Id="rId26" Type="http://schemas.openxmlformats.org/officeDocument/2006/relationships/hyperlink" Target="https://strangebehaviors.wordpress.com/2012/10/01/can-trees-stop-crime/" TargetMode="External"/><Relationship Id="rId3" Type="http://schemas.openxmlformats.org/officeDocument/2006/relationships/webSettings" Target="webSettings.xml"/><Relationship Id="rId21" Type="http://schemas.openxmlformats.org/officeDocument/2006/relationships/hyperlink" Target="https://ru.iiec.unam.mx/7887/1/3.%20027-Salazar-Padilla-Guti%C3%A9rrez-Final.pdf" TargetMode="External"/><Relationship Id="rId7" Type="http://schemas.openxmlformats.org/officeDocument/2006/relationships/hyperlink" Target="https://doi.org/10.3389/fpubh.2022.902480" TargetMode="External"/><Relationship Id="rId12" Type="http://schemas.openxmlformats.org/officeDocument/2006/relationships/hyperlink" Target="https://focustaiwan.tw/sci-tech/202311070010" TargetMode="External"/><Relationship Id="rId17" Type="http://schemas.openxmlformats.org/officeDocument/2006/relationships/hyperlink" Target="https://spreadingroots.org/wp-content/uploads/2025/04/Benefits-Economic.pdf" TargetMode="External"/><Relationship Id="rId25" Type="http://schemas.openxmlformats.org/officeDocument/2006/relationships/hyperlink" Target="https://www.warwickdc.gov.uk/info/20323/trees_and_woodland/577/the_benefits_of_urban_trees" TargetMode="External"/><Relationship Id="rId2" Type="http://schemas.openxmlformats.org/officeDocument/2006/relationships/settings" Target="settings.xml"/><Relationship Id="rId16" Type="http://schemas.openxmlformats.org/officeDocument/2006/relationships/hyperlink" Target="https://sustainablect.org/fileadmin/media/Content/For_resources/LNR/1._Urban_Street_Trees.pdf" TargetMode="External"/><Relationship Id="rId20" Type="http://schemas.openxmlformats.org/officeDocument/2006/relationships/hyperlink" Target="https://citizensclimatelobby.org/blog/policy/the-little-known-physical-and-mental-health-benefits-of-urban-trees/"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uicideinfo.ca/resource/acute-mental-health-benefits-of-nature/" TargetMode="External"/><Relationship Id="rId11" Type="http://schemas.openxmlformats.org/officeDocument/2006/relationships/hyperlink" Target="https://focustaiwan.tw/sci-tech/202311070010" TargetMode="External"/><Relationship Id="rId24" Type="http://schemas.openxmlformats.org/officeDocument/2006/relationships/hyperlink" Target="https://www.phillca.gov/DocumentCenter/View/12395/4-22-14-pc-2-exhibit-G?bidId=" TargetMode="External"/><Relationship Id="rId5" Type="http://schemas.openxmlformats.org/officeDocument/2006/relationships/hyperlink" Target="https://es.weforum.org/stories/2025/05/como-disenar-entornos-urbanos-para-prevenir-las-ciudades-ansiosas-y-mejorar-el-bienestar-mental/" TargetMode="External"/><Relationship Id="rId15" Type="http://schemas.openxmlformats.org/officeDocument/2006/relationships/hyperlink" Target="https://treenet.org/resource/it-isnt-rocket-science-street-trees-can-make-a-difference-in-climate-change/" TargetMode="External"/><Relationship Id="rId23" Type="http://schemas.openxmlformats.org/officeDocument/2006/relationships/hyperlink" Target="https://www.huesca.es/areas/medio-ambiente/espacios-verdes/bosque-urbano/beneficios-del-bosque-urbano" TargetMode="External"/><Relationship Id="rId28" Type="http://schemas.openxmlformats.org/officeDocument/2006/relationships/hyperlink" Target="https://greatergood.berkeley.edu/article/item/green_peace" TargetMode="External"/><Relationship Id="rId10" Type="http://schemas.openxmlformats.org/officeDocument/2006/relationships/hyperlink" Target="https://www.taipeitimes.com/News/taiwan/archives/2023/11/08/2003808863" TargetMode="External"/><Relationship Id="rId19" Type="http://schemas.openxmlformats.org/officeDocument/2006/relationships/hyperlink" Target="https://www.udel.edu/content/dam/udelImages/canr/pdfs/extension/factsheets/Human-Benefits-of-Green-Spaces.pdf" TargetMode="External"/><Relationship Id="rId4" Type="http://schemas.openxmlformats.org/officeDocument/2006/relationships/hyperlink" Target="https://storymaps.arcgis.com/stories/9ff381a158e64eb98c9a0f0c23defec9" TargetMode="External"/><Relationship Id="rId9" Type="http://schemas.openxmlformats.org/officeDocument/2006/relationships/hyperlink" Target="https://doi.org/10.3390/healthcare11233039" TargetMode="External"/><Relationship Id="rId14" Type="http://schemas.openxmlformats.org/officeDocument/2006/relationships/hyperlink" Target="https://es.shiftcities.org/post/how-forests-near-and-far-benefit-people-cities" TargetMode="External"/><Relationship Id="rId22" Type="http://schemas.openxmlformats.org/officeDocument/2006/relationships/hyperlink" Target="https://www.treesandiego.org/es/urban-forest-benefits" TargetMode="External"/><Relationship Id="rId27" Type="http://schemas.openxmlformats.org/officeDocument/2006/relationships/hyperlink" Target="https://citygreen.com/top-urban-forestry-social-benefits/"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33</Pages>
  <Words>10923</Words>
  <Characters>60081</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gonzalez</dc:creator>
  <cp:keywords/>
  <dc:description/>
  <cp:lastModifiedBy>Famous 451</cp:lastModifiedBy>
  <cp:revision>3</cp:revision>
  <dcterms:created xsi:type="dcterms:W3CDTF">2026-06-24T18:51:00Z</dcterms:created>
  <dcterms:modified xsi:type="dcterms:W3CDTF">2026-06-29T19:58:00Z</dcterms:modified>
</cp:coreProperties>
</file>