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Acknowledgements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work used Expanse at San Diego Supercomputer Center through allocation CHE240095 from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Advanced Cyberinfrastructure Coordination Ecosystem: Services &amp; Support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(ACCESS) program, which is supported by National Science Foundation grants #2138259, #2138286, #2138307, #2137603, and #2138296.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81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Dataset: Allamandola, L; Bauschlicher, C; Boersma, C; Hudgins, D; Mattioda, A; Ricca, A. The NASA Ames PAH IR Spectroscopic Database. Astrobiology Habitable Environment Database. Retrieved Date: Mar 4, 2025. https://doi.org/10.48667/6p1n-w007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Gaussian 16, Revision </w:t>
      </w:r>
      <w:r w:rsidDel="00000000" w:rsidR="00000000" w:rsidRPr="00000000">
        <w:rPr>
          <w:rFonts w:ascii="Times New Roman" w:cs="Times New Roman" w:eastAsia="Times New Roman" w:hAnsi="Times New Roman"/>
          <w:color w:val="cd0000"/>
          <w:sz w:val="24"/>
          <w:szCs w:val="24"/>
          <w:highlight w:val="white"/>
          <w:rtl w:val="0"/>
        </w:rPr>
        <w:t xml:space="preserve">C.01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M. J. Frisch, G. W. Trucks, H. B. Schlegel, G. E. Scuseria, M. A. Robb, J. R. Cheeseman, G. Scalmani, V. Barone, G. A. Petersson, H. Nakatsuji, X. Li, M. Caricato, A. V. Marenich, J. Bloino, B. G. Janesko, R. Gomperts, B. Mennucci, H. P. Hratchian, J. V. Ortiz, A. F. Izmaylov, J. L. Sonnenberg, D. Williams-Young, F. Ding, F. Lipparini, F. Egidi, J. Goings, B. Peng, A. Petrone, T. Henderson, D. Ranasinghe, V. G. Zakrzewski, J. Gao, N. Rega, G. Zheng, W. Liang, M. Hada, M. Ehara, K. Toyota, R. Fukuda, J. Hasegawa, M. Ishida, T. Nakajima, Y. Honda, O. Kitao, H. Nakai, T. Vreven, K. Throssell, J. A. Montgomery, Jr., J. E. Peralta, F. Ogliaro, M. J. Bearpark, J. J. Heyd, E. N. Brothers, K. N. Kudin, V. N. Staroverov, T. A. Keith, R. Kobayashi, J. Normand, K. Raghavachari, A. P. Rendell, J. C. Burant, S. S. Iyengar, J. Tomasi, M. Cossi, J. M. Millam, M. Klene, C. Adamo, R. Cammi, J. W. Ochterski, R. L. Martin, K. Morokuma, O. Farkas, J. B. Foresman, and D. J. Fox, Gaussian, Inc., Wallingford CT, 2016.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A. D. Becke, “Density-functional thermochemistry. III. The role of exact exchange,”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J. Chem. Phys.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(1993) 5648-52. DOI: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c42ea"/>
            <w:sz w:val="24"/>
            <w:szCs w:val="24"/>
            <w:highlight w:val="white"/>
            <w:rtl w:val="0"/>
          </w:rPr>
          <w:t xml:space="preserve">10.1063/1.464913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1d35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34"/>
          <w:szCs w:val="3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720"/>
        <w:rPr>
          <w:rFonts w:ascii="Times New Roman" w:cs="Times New Roman" w:eastAsia="Times New Roman" w:hAnsi="Times New Roman"/>
          <w:color w:val="001d35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F. Weigend and R. Ahlrichs, “Balanced basis sets of split valence, triple zeta valence and quadruple zeta valence quality for H to Rn: Design and assessment of accuracy,”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1d35"/>
          <w:sz w:val="24"/>
          <w:szCs w:val="24"/>
          <w:highlight w:val="white"/>
          <w:rtl w:val="0"/>
        </w:rPr>
        <w:t xml:space="preserve">Phys. Chem. Chem. Phys.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(2005) 3297-305. DOI: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2c42ea"/>
            <w:sz w:val="24"/>
            <w:szCs w:val="24"/>
            <w:highlight w:val="white"/>
            <w:rtl w:val="0"/>
          </w:rPr>
          <w:t xml:space="preserve">10.1039/B508541A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1d35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hanging="720"/>
        <w:rPr>
          <w:rFonts w:ascii="Times New Roman" w:cs="Times New Roman" w:eastAsia="Times New Roman" w:hAnsi="Times New Roman"/>
          <w:color w:val="001d35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F. Weigend, “Accurate Coulomb-fitting basis sets for H to Rn,”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1d35"/>
          <w:sz w:val="24"/>
          <w:szCs w:val="24"/>
          <w:highlight w:val="white"/>
          <w:rtl w:val="0"/>
        </w:rPr>
        <w:t xml:space="preserve">Phys. Chem. Chem. Phys.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(2006) 1057-65. DOI: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2c42ea"/>
            <w:sz w:val="24"/>
            <w:szCs w:val="24"/>
            <w:highlight w:val="white"/>
            <w:rtl w:val="0"/>
          </w:rPr>
          <w:t xml:space="preserve">10.1039/B515623H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x.doi.org/10.1039/B515623H" TargetMode="External"/><Relationship Id="rId9" Type="http://schemas.openxmlformats.org/officeDocument/2006/relationships/hyperlink" Target="http://dx.doi.org/10.1039/B508541A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x.doi.org/10.1063/1.464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