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1F4D78"/>
          <w:sz w:val="48"/>
        </w:rPr>
        <w:t>Private Outbound Sales Engine Strategy</w:t>
      </w:r>
    </w:p>
    <w:p>
      <w:pPr>
        <w:spacing w:after="280"/>
      </w:pPr>
      <w:r>
        <w:rPr>
          <w:rFonts w:ascii="Calibri" w:hAnsi="Calibri"/>
          <w:color w:val="5A5A5A"/>
          <w:sz w:val="24"/>
        </w:rPr>
        <w:t>A private-first plan for building, using, proving, and later productizing an AI-assisted outbound system</w:t>
      </w:r>
    </w:p>
    <w:p>
      <w:r>
        <w:rPr>
          <w:rFonts w:ascii="Calibri" w:hAnsi="Calibri"/>
          <w:color w:val="5A5A5A"/>
          <w:sz w:val="20"/>
        </w:rPr>
        <w:t>Prepared for: Michelle Mendez | Date: July 4, 2026 | Status: Working strategy</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r>
              <w:rPr>
                <w:rFonts w:ascii="Calibri" w:hAnsi="Calibri"/>
                <w:b/>
                <w:color w:val="1F4D78"/>
              </w:rPr>
              <w:t xml:space="preserve">Core recommendation: </w:t>
            </w:r>
            <w:r>
              <w:rPr>
                <w:rFonts w:ascii="Calibri" w:hAnsi="Calibri"/>
              </w:rPr>
              <w:t>Do not begin by rebuilding a full cold-email platform. Build your internal outbound command center first, connect it to proven sending infrastructure, and productize only the parts that create measurable lift for your own pipeline.</w:t>
            </w:r>
          </w:p>
        </w:tc>
      </w:tr>
    </w:tbl>
    <w:p>
      <w:pPr>
        <w:spacing w:after="120"/>
      </w:pPr>
    </w:p>
    <w:p>
      <w:r>
        <w:br w:type="page"/>
      </w:r>
    </w:p>
    <w:p>
      <w:pPr>
        <w:pStyle w:val="Heading1"/>
      </w:pPr>
      <w:r>
        <w:rPr>
          <w:rFonts w:ascii="Calibri" w:hAnsi="Calibri"/>
          <w:b/>
          <w:color w:val="2E74B5"/>
          <w:sz w:val="32"/>
        </w:rPr>
        <w:t>Executive Summary</w:t>
      </w:r>
    </w:p>
    <w:p>
      <w:r>
        <w:rPr>
          <w:rFonts w:ascii="Calibri" w:hAnsi="Calibri"/>
        </w:rPr>
        <w:t>The target system is a private outbound sales engine inspired by done-for-you outbound offers: it finds good-fit prospects, enriches and scores them, drafts personalized campaign touches, tracks sending health, classifies replies, and turns qualified conversations into booked meetings. The first version should serve your own pipeline before it tries to serve other users.</w:t>
      </w:r>
    </w:p>
    <w:p>
      <w:r>
        <w:rPr>
          <w:rFonts w:ascii="Calibri" w:hAnsi="Calibri"/>
        </w:rPr>
        <w:t>The strategic advantage is not sending more email. The advantage is building a repeatable operating system that improves targeting, message quality, reply handling, and conversion learning over time. Treat every campaign as a controlled experiment with documented inputs, outputs, and decision rules.</w:t>
      </w:r>
    </w:p>
    <w:p>
      <w:pPr>
        <w:pStyle w:val="ListBullet"/>
      </w:pPr>
      <w:r>
        <w:rPr>
          <w:rFonts w:ascii="Calibri" w:hAnsi="Calibri"/>
        </w:rPr>
        <w:t>Private phase: use the system yourself, keep human approval on high-risk messages, and measure meetings and revenue rather than vanity metrics.</w:t>
      </w:r>
    </w:p>
    <w:p>
      <w:pPr>
        <w:pStyle w:val="ListBullet"/>
      </w:pPr>
      <w:r>
        <w:rPr>
          <w:rFonts w:ascii="Calibri" w:hAnsi="Calibri"/>
        </w:rPr>
        <w:t>Proof phase: identify the playbooks, lead signals, personalization patterns, and reply workflows that consistently outperform manual work.</w:t>
      </w:r>
    </w:p>
    <w:p>
      <w:pPr>
        <w:pStyle w:val="ListBullet"/>
      </w:pPr>
      <w:r>
        <w:rPr>
          <w:rFonts w:ascii="Calibri" w:hAnsi="Calibri"/>
        </w:rPr>
        <w:t>Public phase: package the proven parts into software, templates, managed services, or a hybrid offer once the internal case study is strong.</w:t>
      </w:r>
    </w:p>
    <w:p>
      <w:pPr>
        <w:pStyle w:val="Heading1"/>
      </w:pPr>
      <w:r>
        <w:rPr>
          <w:rFonts w:ascii="Calibri" w:hAnsi="Calibri"/>
          <w:b/>
          <w:color w:val="2E74B5"/>
          <w:sz w:val="32"/>
        </w:rPr>
        <w:t>System Blueprint</w:t>
      </w:r>
    </w:p>
    <w:p>
      <w:r>
        <w:rPr>
          <w:rFonts w:ascii="Calibri" w:hAnsi="Calibri"/>
        </w:rPr>
        <w:t>The system should be modular so it can start as a practical internal workflow and grow into a product later.</w:t>
      </w:r>
    </w:p>
    <w:tbl>
      <w:tblPr>
        <w:tblStyle w:val="TableGrid"/>
        <w:tblW w:type="dxa" w:w="9360"/>
        <w:tblLayout w:type="fixed"/>
        <w:tblLook w:firstColumn="1" w:firstRow="1" w:lastColumn="0" w:lastRow="0" w:noHBand="0" w:noVBand="1" w:val="04A0"/>
        <w:tblInd w:w="120" w:type="dxa"/>
      </w:tblPr>
      <w:tblGrid>
        <w:gridCol w:w="1944"/>
        <w:gridCol w:w="3816"/>
        <w:gridCol w:w="3600"/>
      </w:tblGrid>
      <w:tr>
        <w:trPr>
          <w:tblHeader w:val="true"/>
          <w:cantSplit/>
        </w:trPr>
        <w:tc>
          <w:tcPr>
            <w:tcW w:type="dxa" w:w="1944"/>
            <w:tcMar>
              <w:top w:w="80" w:type="dxa"/>
              <w:start w:w="120" w:type="dxa"/>
              <w:bottom w:w="80" w:type="dxa"/>
              <w:end w:w="120" w:type="dxa"/>
            </w:tcMar>
            <w:vAlign w:val="center"/>
            <w:shd w:fill="E8EEF5"/>
          </w:tcPr>
          <w:p>
            <w:pPr>
              <w:jc w:val="center"/>
            </w:pPr>
            <w:r>
              <w:rPr>
                <w:rFonts w:ascii="Calibri" w:hAnsi="Calibri"/>
                <w:b/>
                <w:color w:val="202020"/>
              </w:rPr>
              <w:t>Module</w:t>
            </w:r>
          </w:p>
        </w:tc>
        <w:tc>
          <w:tcPr>
            <w:tcW w:type="dxa" w:w="3816"/>
            <w:tcMar>
              <w:top w:w="80" w:type="dxa"/>
              <w:start w:w="120" w:type="dxa"/>
              <w:bottom w:w="80" w:type="dxa"/>
              <w:end w:w="120" w:type="dxa"/>
            </w:tcMar>
            <w:vAlign w:val="center"/>
            <w:shd w:fill="E8EEF5"/>
          </w:tcPr>
          <w:p>
            <w:pPr>
              <w:jc w:val="center"/>
            </w:pPr>
            <w:r>
              <w:rPr>
                <w:rFonts w:ascii="Calibri" w:hAnsi="Calibri"/>
                <w:b/>
                <w:color w:val="202020"/>
              </w:rPr>
              <w:t>Private MVP Behavior</w:t>
            </w:r>
          </w:p>
        </w:tc>
        <w:tc>
          <w:tcPr>
            <w:tcW w:type="dxa" w:w="3600"/>
            <w:tcMar>
              <w:top w:w="80" w:type="dxa"/>
              <w:start w:w="120" w:type="dxa"/>
              <w:bottom w:w="80" w:type="dxa"/>
              <w:end w:w="120" w:type="dxa"/>
            </w:tcMar>
            <w:vAlign w:val="center"/>
            <w:shd w:fill="E8EEF5"/>
          </w:tcPr>
          <w:p>
            <w:pPr>
              <w:jc w:val="center"/>
            </w:pPr>
            <w:r>
              <w:rPr>
                <w:rFonts w:ascii="Calibri" w:hAnsi="Calibri"/>
                <w:b/>
                <w:color w:val="202020"/>
              </w:rPr>
              <w:t>Later Product Behavior</w:t>
            </w:r>
          </w:p>
        </w:tc>
      </w:tr>
      <w:tr>
        <w:trPr>
          <w:cantSplit/>
        </w:trPr>
        <w:tc>
          <w:tcPr>
            <w:tcW w:type="dxa" w:w="1944"/>
            <w:tcMar>
              <w:top w:w="80" w:type="dxa"/>
              <w:start w:w="120" w:type="dxa"/>
              <w:bottom w:w="80" w:type="dxa"/>
              <w:end w:w="120" w:type="dxa"/>
            </w:tcMar>
            <w:vAlign w:val="center"/>
          </w:tcPr>
          <w:p>
            <w:pPr>
              <w:jc w:val="center"/>
            </w:pPr>
            <w:r>
              <w:rPr>
                <w:rFonts w:ascii="Calibri" w:hAnsi="Calibri"/>
                <w:sz w:val="20"/>
              </w:rPr>
              <w:t>Lead database</w:t>
            </w:r>
          </w:p>
        </w:tc>
        <w:tc>
          <w:tcPr>
            <w:tcW w:type="dxa" w:w="3816"/>
            <w:tcMar>
              <w:top w:w="80" w:type="dxa"/>
              <w:start w:w="120" w:type="dxa"/>
              <w:bottom w:w="80" w:type="dxa"/>
              <w:end w:w="120" w:type="dxa"/>
            </w:tcMar>
            <w:vAlign w:val="center"/>
          </w:tcPr>
          <w:p>
            <w:pPr>
              <w:jc w:val="left"/>
            </w:pPr>
            <w:r>
              <w:rPr>
                <w:rFonts w:ascii="Calibri" w:hAnsi="Calibri"/>
                <w:sz w:val="20"/>
              </w:rPr>
              <w:t>Import CSVs from existing lists, directories, and enrichment tools; track fit, status, source, and suppression.</w:t>
            </w:r>
          </w:p>
        </w:tc>
        <w:tc>
          <w:tcPr>
            <w:tcW w:type="dxa" w:w="3600"/>
            <w:tcMar>
              <w:top w:w="80" w:type="dxa"/>
              <w:start w:w="120" w:type="dxa"/>
              <w:bottom w:w="80" w:type="dxa"/>
              <w:end w:w="120" w:type="dxa"/>
            </w:tcMar>
            <w:vAlign w:val="center"/>
          </w:tcPr>
          <w:p>
            <w:pPr>
              <w:jc w:val="left"/>
            </w:pPr>
            <w:r>
              <w:rPr>
                <w:rFonts w:ascii="Calibri" w:hAnsi="Calibri"/>
                <w:sz w:val="20"/>
              </w:rPr>
              <w:t>Multi-workspace lead management, deduplication, enrichment history, permissions, and audit logs.</w:t>
            </w:r>
          </w:p>
        </w:tc>
      </w:tr>
      <w:tr>
        <w:trPr>
          <w:cantSplit/>
        </w:trPr>
        <w:tc>
          <w:tcPr>
            <w:tcW w:type="dxa" w:w="1944"/>
            <w:tcMar>
              <w:top w:w="80" w:type="dxa"/>
              <w:start w:w="120" w:type="dxa"/>
              <w:bottom w:w="80" w:type="dxa"/>
              <w:end w:w="120" w:type="dxa"/>
            </w:tcMar>
            <w:vAlign w:val="center"/>
          </w:tcPr>
          <w:p>
            <w:pPr>
              <w:jc w:val="center"/>
            </w:pPr>
            <w:r>
              <w:rPr>
                <w:rFonts w:ascii="Calibri" w:hAnsi="Calibri"/>
                <w:sz w:val="20"/>
              </w:rPr>
              <w:t>Prospecting engine</w:t>
            </w:r>
          </w:p>
        </w:tc>
        <w:tc>
          <w:tcPr>
            <w:tcW w:type="dxa" w:w="3816"/>
            <w:tcMar>
              <w:top w:w="80" w:type="dxa"/>
              <w:start w:w="120" w:type="dxa"/>
              <w:bottom w:w="80" w:type="dxa"/>
              <w:end w:w="120" w:type="dxa"/>
            </w:tcMar>
            <w:vAlign w:val="center"/>
          </w:tcPr>
          <w:p>
            <w:pPr>
              <w:jc w:val="left"/>
            </w:pPr>
            <w:r>
              <w:rPr>
                <w:rFonts w:ascii="Calibri" w:hAnsi="Calibri"/>
                <w:sz w:val="20"/>
              </w:rPr>
              <w:t>Use focused sources for your best niche; enrich company, contact, and website data before outreach.</w:t>
            </w:r>
          </w:p>
        </w:tc>
        <w:tc>
          <w:tcPr>
            <w:tcW w:type="dxa" w:w="3600"/>
            <w:tcMar>
              <w:top w:w="80" w:type="dxa"/>
              <w:start w:w="120" w:type="dxa"/>
              <w:bottom w:w="80" w:type="dxa"/>
              <w:end w:w="120" w:type="dxa"/>
            </w:tcMar>
            <w:vAlign w:val="center"/>
          </w:tcPr>
          <w:p>
            <w:pPr>
              <w:jc w:val="left"/>
            </w:pPr>
            <w:r>
              <w:rPr>
                <w:rFonts w:ascii="Calibri" w:hAnsi="Calibri"/>
                <w:sz w:val="20"/>
              </w:rPr>
              <w:t>Source connectors, saved searches, niche templates, and quality scoring.</w:t>
            </w:r>
          </w:p>
        </w:tc>
      </w:tr>
      <w:tr>
        <w:trPr>
          <w:cantSplit/>
        </w:trPr>
        <w:tc>
          <w:tcPr>
            <w:tcW w:type="dxa" w:w="1944"/>
            <w:tcMar>
              <w:top w:w="80" w:type="dxa"/>
              <w:start w:w="120" w:type="dxa"/>
              <w:bottom w:w="80" w:type="dxa"/>
              <w:end w:w="120" w:type="dxa"/>
            </w:tcMar>
            <w:vAlign w:val="center"/>
          </w:tcPr>
          <w:p>
            <w:pPr>
              <w:jc w:val="center"/>
            </w:pPr>
            <w:r>
              <w:rPr>
                <w:rFonts w:ascii="Calibri" w:hAnsi="Calibri"/>
                <w:sz w:val="20"/>
              </w:rPr>
              <w:t>AI qualification</w:t>
            </w:r>
          </w:p>
        </w:tc>
        <w:tc>
          <w:tcPr>
            <w:tcW w:type="dxa" w:w="3816"/>
            <w:tcMar>
              <w:top w:w="80" w:type="dxa"/>
              <w:start w:w="120" w:type="dxa"/>
              <w:bottom w:w="80" w:type="dxa"/>
              <w:end w:w="120" w:type="dxa"/>
            </w:tcMar>
            <w:vAlign w:val="center"/>
          </w:tcPr>
          <w:p>
            <w:pPr>
              <w:jc w:val="left"/>
            </w:pPr>
            <w:r>
              <w:rPr>
                <w:rFonts w:ascii="Calibri" w:hAnsi="Calibri"/>
                <w:sz w:val="20"/>
              </w:rPr>
              <w:t>Score leads as good fit, maybe, bad fit, or needs review using clear rules.</w:t>
            </w:r>
          </w:p>
        </w:tc>
        <w:tc>
          <w:tcPr>
            <w:tcW w:type="dxa" w:w="3600"/>
            <w:tcMar>
              <w:top w:w="80" w:type="dxa"/>
              <w:start w:w="120" w:type="dxa"/>
              <w:bottom w:w="80" w:type="dxa"/>
              <w:end w:w="120" w:type="dxa"/>
            </w:tcMar>
            <w:vAlign w:val="center"/>
          </w:tcPr>
          <w:p>
            <w:pPr>
              <w:jc w:val="left"/>
            </w:pPr>
            <w:r>
              <w:rPr>
                <w:rFonts w:ascii="Calibri" w:hAnsi="Calibri"/>
                <w:sz w:val="20"/>
              </w:rPr>
              <w:t>Custom scoring models by industry, feedback loops, and team-level review queues.</w:t>
            </w:r>
          </w:p>
        </w:tc>
      </w:tr>
      <w:tr>
        <w:trPr>
          <w:cantSplit/>
        </w:trPr>
        <w:tc>
          <w:tcPr>
            <w:tcW w:type="dxa" w:w="1944"/>
            <w:tcMar>
              <w:top w:w="80" w:type="dxa"/>
              <w:start w:w="120" w:type="dxa"/>
              <w:bottom w:w="80" w:type="dxa"/>
              <w:end w:w="120" w:type="dxa"/>
            </w:tcMar>
            <w:vAlign w:val="center"/>
          </w:tcPr>
          <w:p>
            <w:pPr>
              <w:jc w:val="center"/>
            </w:pPr>
            <w:r>
              <w:rPr>
                <w:rFonts w:ascii="Calibri" w:hAnsi="Calibri"/>
                <w:sz w:val="20"/>
              </w:rPr>
              <w:t>Personalization</w:t>
            </w:r>
          </w:p>
        </w:tc>
        <w:tc>
          <w:tcPr>
            <w:tcW w:type="dxa" w:w="3816"/>
            <w:tcMar>
              <w:top w:w="80" w:type="dxa"/>
              <w:start w:w="120" w:type="dxa"/>
              <w:bottom w:w="80" w:type="dxa"/>
              <w:end w:w="120" w:type="dxa"/>
            </w:tcMar>
            <w:vAlign w:val="center"/>
          </w:tcPr>
          <w:p>
            <w:pPr>
              <w:jc w:val="left"/>
            </w:pPr>
            <w:r>
              <w:rPr>
                <w:rFonts w:ascii="Calibri" w:hAnsi="Calibri"/>
                <w:sz w:val="20"/>
              </w:rPr>
              <w:t>Generate short, editable openers based on role, company, website, and likely pain point.</w:t>
            </w:r>
          </w:p>
        </w:tc>
        <w:tc>
          <w:tcPr>
            <w:tcW w:type="dxa" w:w="3600"/>
            <w:tcMar>
              <w:top w:w="80" w:type="dxa"/>
              <w:start w:w="120" w:type="dxa"/>
              <w:bottom w:w="80" w:type="dxa"/>
              <w:end w:w="120" w:type="dxa"/>
            </w:tcMar>
            <w:vAlign w:val="center"/>
          </w:tcPr>
          <w:p>
            <w:pPr>
              <w:jc w:val="left"/>
            </w:pPr>
            <w:r>
              <w:rPr>
                <w:rFonts w:ascii="Calibri" w:hAnsi="Calibri"/>
                <w:sz w:val="20"/>
              </w:rPr>
              <w:t>Reusable personalization recipes, approval workflows, and performance comparisons.</w:t>
            </w:r>
          </w:p>
        </w:tc>
      </w:tr>
      <w:tr>
        <w:trPr>
          <w:cantSplit/>
        </w:trPr>
        <w:tc>
          <w:tcPr>
            <w:tcW w:type="dxa" w:w="1944"/>
            <w:tcMar>
              <w:top w:w="80" w:type="dxa"/>
              <w:start w:w="120" w:type="dxa"/>
              <w:bottom w:w="80" w:type="dxa"/>
              <w:end w:w="120" w:type="dxa"/>
            </w:tcMar>
            <w:vAlign w:val="center"/>
          </w:tcPr>
          <w:p>
            <w:pPr>
              <w:jc w:val="center"/>
            </w:pPr>
            <w:r>
              <w:rPr>
                <w:rFonts w:ascii="Calibri" w:hAnsi="Calibri"/>
                <w:sz w:val="20"/>
              </w:rPr>
              <w:t>Campaign builder</w:t>
            </w:r>
          </w:p>
        </w:tc>
        <w:tc>
          <w:tcPr>
            <w:tcW w:type="dxa" w:w="3816"/>
            <w:tcMar>
              <w:top w:w="80" w:type="dxa"/>
              <w:start w:w="120" w:type="dxa"/>
              <w:bottom w:w="80" w:type="dxa"/>
              <w:end w:w="120" w:type="dxa"/>
            </w:tcMar>
            <w:vAlign w:val="center"/>
          </w:tcPr>
          <w:p>
            <w:pPr>
              <w:jc w:val="left"/>
            </w:pPr>
            <w:r>
              <w:rPr>
                <w:rFonts w:ascii="Calibri" w:hAnsi="Calibri"/>
                <w:sz w:val="20"/>
              </w:rPr>
              <w:t>Create concise 3-4 step sequences with versioned angles and manual launch approval.</w:t>
            </w:r>
          </w:p>
        </w:tc>
        <w:tc>
          <w:tcPr>
            <w:tcW w:type="dxa" w:w="3600"/>
            <w:tcMar>
              <w:top w:w="80" w:type="dxa"/>
              <w:start w:w="120" w:type="dxa"/>
              <w:bottom w:w="80" w:type="dxa"/>
              <w:end w:w="120" w:type="dxa"/>
            </w:tcMar>
            <w:vAlign w:val="center"/>
          </w:tcPr>
          <w:p>
            <w:pPr>
              <w:jc w:val="left"/>
            </w:pPr>
            <w:r>
              <w:rPr>
                <w:rFonts w:ascii="Calibri" w:hAnsi="Calibri"/>
                <w:sz w:val="20"/>
              </w:rPr>
              <w:t>Template library, experiments, segmentation, and collaborative editing.</w:t>
            </w:r>
          </w:p>
        </w:tc>
      </w:tr>
      <w:tr>
        <w:trPr>
          <w:cantSplit/>
        </w:trPr>
        <w:tc>
          <w:tcPr>
            <w:tcW w:type="dxa" w:w="1944"/>
            <w:tcMar>
              <w:top w:w="80" w:type="dxa"/>
              <w:start w:w="120" w:type="dxa"/>
              <w:bottom w:w="80" w:type="dxa"/>
              <w:end w:w="120" w:type="dxa"/>
            </w:tcMar>
            <w:vAlign w:val="center"/>
          </w:tcPr>
          <w:p>
            <w:pPr>
              <w:jc w:val="center"/>
            </w:pPr>
            <w:r>
              <w:rPr>
                <w:rFonts w:ascii="Calibri" w:hAnsi="Calibri"/>
                <w:sz w:val="20"/>
              </w:rPr>
              <w:t>Sending layer</w:t>
            </w:r>
          </w:p>
        </w:tc>
        <w:tc>
          <w:tcPr>
            <w:tcW w:type="dxa" w:w="3816"/>
            <w:tcMar>
              <w:top w:w="80" w:type="dxa"/>
              <w:start w:w="120" w:type="dxa"/>
              <w:bottom w:w="80" w:type="dxa"/>
              <w:end w:w="120" w:type="dxa"/>
            </w:tcMar>
            <w:vAlign w:val="center"/>
          </w:tcPr>
          <w:p>
            <w:pPr>
              <w:jc w:val="left"/>
            </w:pPr>
            <w:r>
              <w:rPr>
                <w:rFonts w:ascii="Calibri" w:hAnsi="Calibri"/>
                <w:sz w:val="20"/>
              </w:rPr>
              <w:t>Use Instantly, Smartlead, Lemlist, or another mature sender for deliverability-heavy execution.</w:t>
            </w:r>
          </w:p>
        </w:tc>
        <w:tc>
          <w:tcPr>
            <w:tcW w:type="dxa" w:w="3600"/>
            <w:tcMar>
              <w:top w:w="80" w:type="dxa"/>
              <w:start w:w="120" w:type="dxa"/>
              <w:bottom w:w="80" w:type="dxa"/>
              <w:end w:w="120" w:type="dxa"/>
            </w:tcMar>
            <w:vAlign w:val="center"/>
          </w:tcPr>
          <w:p>
            <w:pPr>
              <w:jc w:val="left"/>
            </w:pPr>
            <w:r>
              <w:rPr>
                <w:rFonts w:ascii="Calibri" w:hAnsi="Calibri"/>
                <w:sz w:val="20"/>
              </w:rPr>
              <w:t>Optional native sending only after compliance, reputation, bounce, and unsubscribe systems are mature.</w:t>
            </w:r>
          </w:p>
        </w:tc>
      </w:tr>
      <w:tr>
        <w:trPr>
          <w:cantSplit/>
        </w:trPr>
        <w:tc>
          <w:tcPr>
            <w:tcW w:type="dxa" w:w="1944"/>
            <w:tcMar>
              <w:top w:w="80" w:type="dxa"/>
              <w:start w:w="120" w:type="dxa"/>
              <w:bottom w:w="80" w:type="dxa"/>
              <w:end w:w="120" w:type="dxa"/>
            </w:tcMar>
            <w:vAlign w:val="center"/>
          </w:tcPr>
          <w:p>
            <w:pPr>
              <w:jc w:val="center"/>
            </w:pPr>
            <w:r>
              <w:rPr>
                <w:rFonts w:ascii="Calibri" w:hAnsi="Calibri"/>
                <w:sz w:val="20"/>
              </w:rPr>
              <w:t>Reply agent</w:t>
            </w:r>
          </w:p>
        </w:tc>
        <w:tc>
          <w:tcPr>
            <w:tcW w:type="dxa" w:w="3816"/>
            <w:tcMar>
              <w:top w:w="80" w:type="dxa"/>
              <w:start w:w="120" w:type="dxa"/>
              <w:bottom w:w="80" w:type="dxa"/>
              <w:end w:w="120" w:type="dxa"/>
            </w:tcMar>
            <w:vAlign w:val="center"/>
          </w:tcPr>
          <w:p>
            <w:pPr>
              <w:jc w:val="left"/>
            </w:pPr>
            <w:r>
              <w:rPr>
                <w:rFonts w:ascii="Calibri" w:hAnsi="Calibri"/>
                <w:sz w:val="20"/>
              </w:rPr>
              <w:t>Classify replies and draft responses for human approval.</w:t>
            </w:r>
          </w:p>
        </w:tc>
        <w:tc>
          <w:tcPr>
            <w:tcW w:type="dxa" w:w="3600"/>
            <w:tcMar>
              <w:top w:w="80" w:type="dxa"/>
              <w:start w:w="120" w:type="dxa"/>
              <w:bottom w:w="80" w:type="dxa"/>
              <w:end w:w="120" w:type="dxa"/>
            </w:tcMar>
            <w:vAlign w:val="center"/>
          </w:tcPr>
          <w:p>
            <w:pPr>
              <w:jc w:val="left"/>
            </w:pPr>
            <w:r>
              <w:rPr>
                <w:rFonts w:ascii="Calibri" w:hAnsi="Calibri"/>
                <w:sz w:val="20"/>
              </w:rPr>
              <w:t>Configurable auto-replies for low-risk categories plus CRM and calendar handoff.</w:t>
            </w:r>
          </w:p>
        </w:tc>
      </w:tr>
      <w:tr>
        <w:trPr>
          <w:cantSplit/>
        </w:trPr>
        <w:tc>
          <w:tcPr>
            <w:tcW w:type="dxa" w:w="1944"/>
            <w:tcMar>
              <w:top w:w="80" w:type="dxa"/>
              <w:start w:w="120" w:type="dxa"/>
              <w:bottom w:w="80" w:type="dxa"/>
              <w:end w:w="120" w:type="dxa"/>
            </w:tcMar>
            <w:vAlign w:val="center"/>
          </w:tcPr>
          <w:p>
            <w:pPr>
              <w:jc w:val="center"/>
            </w:pPr>
            <w:r>
              <w:rPr>
                <w:rFonts w:ascii="Calibri" w:hAnsi="Calibri"/>
                <w:sz w:val="20"/>
              </w:rPr>
              <w:t>Dashboard</w:t>
            </w:r>
          </w:p>
        </w:tc>
        <w:tc>
          <w:tcPr>
            <w:tcW w:type="dxa" w:w="3816"/>
            <w:tcMar>
              <w:top w:w="80" w:type="dxa"/>
              <w:start w:w="120" w:type="dxa"/>
              <w:bottom w:w="80" w:type="dxa"/>
              <w:end w:w="120" w:type="dxa"/>
            </w:tcMar>
            <w:vAlign w:val="center"/>
          </w:tcPr>
          <w:p>
            <w:pPr>
              <w:jc w:val="left"/>
            </w:pPr>
            <w:r>
              <w:rPr>
                <w:rFonts w:ascii="Calibri" w:hAnsi="Calibri"/>
                <w:sz w:val="20"/>
              </w:rPr>
              <w:t>Track input quality, positive replies, meetings, opportunities, unsubscribes, bounces, and domain health.</w:t>
            </w:r>
          </w:p>
        </w:tc>
        <w:tc>
          <w:tcPr>
            <w:tcW w:type="dxa" w:w="3600"/>
            <w:tcMar>
              <w:top w:w="80" w:type="dxa"/>
              <w:start w:w="120" w:type="dxa"/>
              <w:bottom w:w="80" w:type="dxa"/>
              <w:end w:w="120" w:type="dxa"/>
            </w:tcMar>
            <w:vAlign w:val="center"/>
          </w:tcPr>
          <w:p>
            <w:pPr>
              <w:jc w:val="left"/>
            </w:pPr>
            <w:r>
              <w:rPr>
                <w:rFonts w:ascii="Calibri" w:hAnsi="Calibri"/>
                <w:sz w:val="20"/>
              </w:rPr>
              <w:t>Client dashboards, attribution, alerts, reporting exports, and billing-aware usage metrics.</w:t>
            </w:r>
          </w:p>
        </w:tc>
      </w:tr>
    </w:tbl>
    <w:p>
      <w:pPr>
        <w:spacing w:after="120"/>
      </w:pPr>
    </w:p>
    <w:p>
      <w:pPr>
        <w:pStyle w:val="Heading1"/>
      </w:pPr>
      <w:r>
        <w:rPr>
          <w:rFonts w:ascii="Calibri" w:hAnsi="Calibri"/>
          <w:b/>
          <w:color w:val="2E74B5"/>
          <w:sz w:val="32"/>
        </w:rPr>
        <w:t>MVP Roadmap</w:t>
      </w:r>
    </w:p>
    <w:tbl>
      <w:tblPr>
        <w:tblStyle w:val="TableGrid"/>
        <w:tblW w:type="dxa" w:w="9360"/>
        <w:tblLayout w:type="fixed"/>
        <w:tblLook w:firstColumn="1" w:firstRow="1" w:lastColumn="0" w:lastRow="0" w:noHBand="0" w:noVBand="1" w:val="04A0"/>
        <w:tblInd w:w="120" w:type="dxa"/>
      </w:tblPr>
      <w:tblGrid>
        <w:gridCol w:w="2088"/>
        <w:gridCol w:w="4824"/>
        <w:gridCol w:w="2448"/>
      </w:tblGrid>
      <w:tr>
        <w:trPr>
          <w:tblHeader w:val="true"/>
          <w:cantSplit/>
        </w:trPr>
        <w:tc>
          <w:tcPr>
            <w:tcW w:type="dxa" w:w="2088"/>
            <w:tcMar>
              <w:top w:w="80" w:type="dxa"/>
              <w:start w:w="120" w:type="dxa"/>
              <w:bottom w:w="80" w:type="dxa"/>
              <w:end w:w="120" w:type="dxa"/>
            </w:tcMar>
            <w:vAlign w:val="center"/>
            <w:shd w:fill="F2F4F7"/>
          </w:tcPr>
          <w:p>
            <w:pPr>
              <w:jc w:val="center"/>
            </w:pPr>
            <w:r>
              <w:rPr>
                <w:rFonts w:ascii="Calibri" w:hAnsi="Calibri"/>
                <w:b/>
                <w:color w:val="202020"/>
              </w:rPr>
              <w:t>Phase</w:t>
            </w:r>
          </w:p>
        </w:tc>
        <w:tc>
          <w:tcPr>
            <w:tcW w:type="dxa" w:w="4824"/>
            <w:tcMar>
              <w:top w:w="80" w:type="dxa"/>
              <w:start w:w="120" w:type="dxa"/>
              <w:bottom w:w="80" w:type="dxa"/>
              <w:end w:w="120" w:type="dxa"/>
            </w:tcMar>
            <w:vAlign w:val="center"/>
            <w:shd w:fill="F2F4F7"/>
          </w:tcPr>
          <w:p>
            <w:pPr>
              <w:jc w:val="center"/>
            </w:pPr>
            <w:r>
              <w:rPr>
                <w:rFonts w:ascii="Calibri" w:hAnsi="Calibri"/>
                <w:b/>
                <w:color w:val="202020"/>
              </w:rPr>
              <w:t>Build</w:t>
            </w:r>
          </w:p>
        </w:tc>
        <w:tc>
          <w:tcPr>
            <w:tcW w:type="dxa" w:w="2448"/>
            <w:tcMar>
              <w:top w:w="80" w:type="dxa"/>
              <w:start w:w="120" w:type="dxa"/>
              <w:bottom w:w="80" w:type="dxa"/>
              <w:end w:w="120" w:type="dxa"/>
            </w:tcMar>
            <w:vAlign w:val="center"/>
            <w:shd w:fill="F2F4F7"/>
          </w:tcPr>
          <w:p>
            <w:pPr>
              <w:jc w:val="center"/>
            </w:pPr>
            <w:r>
              <w:rPr>
                <w:rFonts w:ascii="Calibri" w:hAnsi="Calibri"/>
                <w:b/>
                <w:color w:val="202020"/>
              </w:rPr>
              <w:t>Success Gate</w:t>
            </w:r>
          </w:p>
        </w:tc>
      </w:tr>
      <w:tr>
        <w:trPr>
          <w:cantSplit/>
        </w:trPr>
        <w:tc>
          <w:tcPr>
            <w:tcW w:type="dxa" w:w="2088"/>
            <w:tcMar>
              <w:top w:w="80" w:type="dxa"/>
              <w:start w:w="120" w:type="dxa"/>
              <w:bottom w:w="80" w:type="dxa"/>
              <w:end w:w="120" w:type="dxa"/>
            </w:tcMar>
            <w:vAlign w:val="center"/>
          </w:tcPr>
          <w:p>
            <w:pPr>
              <w:jc w:val="left"/>
            </w:pPr>
            <w:r>
              <w:rPr>
                <w:rFonts w:ascii="Calibri" w:hAnsi="Calibri"/>
                <w:sz w:val="20"/>
              </w:rPr>
              <w:t>1. Spreadsheet-assisted workflow</w:t>
            </w:r>
          </w:p>
        </w:tc>
        <w:tc>
          <w:tcPr>
            <w:tcW w:type="dxa" w:w="4824"/>
            <w:tcMar>
              <w:top w:w="80" w:type="dxa"/>
              <w:start w:w="120" w:type="dxa"/>
              <w:bottom w:w="80" w:type="dxa"/>
              <w:end w:w="120" w:type="dxa"/>
            </w:tcMar>
            <w:vAlign w:val="center"/>
          </w:tcPr>
          <w:p>
            <w:pPr>
              <w:jc w:val="left"/>
            </w:pPr>
            <w:r>
              <w:rPr>
                <w:rFonts w:ascii="Calibri" w:hAnsi="Calibri"/>
                <w:sz w:val="20"/>
              </w:rPr>
              <w:t>Use existing spreadsheets as the lead source. Add structured columns for fit score, segment, message angle, status, and suppression.</w:t>
            </w:r>
          </w:p>
        </w:tc>
        <w:tc>
          <w:tcPr>
            <w:tcW w:type="dxa" w:w="2448"/>
            <w:tcMar>
              <w:top w:w="80" w:type="dxa"/>
              <w:start w:w="120" w:type="dxa"/>
              <w:bottom w:w="80" w:type="dxa"/>
              <w:end w:w="120" w:type="dxa"/>
            </w:tcMar>
            <w:vAlign w:val="center"/>
          </w:tcPr>
          <w:p>
            <w:pPr>
              <w:jc w:val="left"/>
            </w:pPr>
            <w:r>
              <w:rPr>
                <w:rFonts w:ascii="Calibri" w:hAnsi="Calibri"/>
                <w:sz w:val="20"/>
              </w:rPr>
              <w:t>You can run one narrow campaign with clean targeting and manually reviewed AI drafts.</w:t>
            </w:r>
          </w:p>
        </w:tc>
      </w:tr>
      <w:tr>
        <w:trPr>
          <w:cantSplit/>
        </w:trPr>
        <w:tc>
          <w:tcPr>
            <w:tcW w:type="dxa" w:w="2088"/>
            <w:tcMar>
              <w:top w:w="80" w:type="dxa"/>
              <w:start w:w="120" w:type="dxa"/>
              <w:bottom w:w="80" w:type="dxa"/>
              <w:end w:w="120" w:type="dxa"/>
            </w:tcMar>
            <w:vAlign w:val="center"/>
          </w:tcPr>
          <w:p>
            <w:pPr>
              <w:jc w:val="left"/>
            </w:pPr>
            <w:r>
              <w:rPr>
                <w:rFonts w:ascii="Calibri" w:hAnsi="Calibri"/>
                <w:sz w:val="20"/>
              </w:rPr>
              <w:t>2. Internal command center</w:t>
            </w:r>
          </w:p>
        </w:tc>
        <w:tc>
          <w:tcPr>
            <w:tcW w:type="dxa" w:w="4824"/>
            <w:tcMar>
              <w:top w:w="80" w:type="dxa"/>
              <w:start w:w="120" w:type="dxa"/>
              <w:bottom w:w="80" w:type="dxa"/>
              <w:end w:w="120" w:type="dxa"/>
            </w:tcMar>
            <w:vAlign w:val="center"/>
          </w:tcPr>
          <w:p>
            <w:pPr>
              <w:jc w:val="left"/>
            </w:pPr>
            <w:r>
              <w:rPr>
                <w:rFonts w:ascii="Calibri" w:hAnsi="Calibri"/>
                <w:sz w:val="20"/>
              </w:rPr>
              <w:t>Build a small dashboard for imports, scoring, campaign draft review, reply triage, and performance tracking.</w:t>
            </w:r>
          </w:p>
        </w:tc>
        <w:tc>
          <w:tcPr>
            <w:tcW w:type="dxa" w:w="2448"/>
            <w:tcMar>
              <w:top w:w="80" w:type="dxa"/>
              <w:start w:w="120" w:type="dxa"/>
              <w:bottom w:w="80" w:type="dxa"/>
              <w:end w:w="120" w:type="dxa"/>
            </w:tcMar>
            <w:vAlign w:val="center"/>
          </w:tcPr>
          <w:p>
            <w:pPr>
              <w:jc w:val="left"/>
            </w:pPr>
            <w:r>
              <w:rPr>
                <w:rFonts w:ascii="Calibri" w:hAnsi="Calibri"/>
                <w:sz w:val="20"/>
              </w:rPr>
              <w:t>You reduce manual prep time while maintaining or improving positive reply quality.</w:t>
            </w:r>
          </w:p>
        </w:tc>
      </w:tr>
      <w:tr>
        <w:trPr>
          <w:cantSplit/>
        </w:trPr>
        <w:tc>
          <w:tcPr>
            <w:tcW w:type="dxa" w:w="2088"/>
            <w:tcMar>
              <w:top w:w="80" w:type="dxa"/>
              <w:start w:w="120" w:type="dxa"/>
              <w:bottom w:w="80" w:type="dxa"/>
              <w:end w:w="120" w:type="dxa"/>
            </w:tcMar>
            <w:vAlign w:val="center"/>
          </w:tcPr>
          <w:p>
            <w:pPr>
              <w:jc w:val="left"/>
            </w:pPr>
            <w:r>
              <w:rPr>
                <w:rFonts w:ascii="Calibri" w:hAnsi="Calibri"/>
                <w:sz w:val="20"/>
              </w:rPr>
              <w:t>3. Automation layer</w:t>
            </w:r>
          </w:p>
        </w:tc>
        <w:tc>
          <w:tcPr>
            <w:tcW w:type="dxa" w:w="4824"/>
            <w:tcMar>
              <w:top w:w="80" w:type="dxa"/>
              <w:start w:w="120" w:type="dxa"/>
              <w:bottom w:w="80" w:type="dxa"/>
              <w:end w:w="120" w:type="dxa"/>
            </w:tcMar>
            <w:vAlign w:val="center"/>
          </w:tcPr>
          <w:p>
            <w:pPr>
              <w:jc w:val="left"/>
            </w:pPr>
            <w:r>
              <w:rPr>
                <w:rFonts w:ascii="Calibri" w:hAnsi="Calibri"/>
                <w:sz w:val="20"/>
              </w:rPr>
              <w:t>Add scheduled enrichment, campaign generation, webhook-based reply classification, and task creation.</w:t>
            </w:r>
          </w:p>
        </w:tc>
        <w:tc>
          <w:tcPr>
            <w:tcW w:type="dxa" w:w="2448"/>
            <w:tcMar>
              <w:top w:w="80" w:type="dxa"/>
              <w:start w:w="120" w:type="dxa"/>
              <w:bottom w:w="80" w:type="dxa"/>
              <w:end w:w="120" w:type="dxa"/>
            </w:tcMar>
            <w:vAlign w:val="center"/>
          </w:tcPr>
          <w:p>
            <w:pPr>
              <w:jc w:val="left"/>
            </w:pPr>
            <w:r>
              <w:rPr>
                <w:rFonts w:ascii="Calibri" w:hAnsi="Calibri"/>
                <w:sz w:val="20"/>
              </w:rPr>
              <w:t>You can operate weekly campaigns with clear human checkpoints and low error rates.</w:t>
            </w:r>
          </w:p>
        </w:tc>
      </w:tr>
      <w:tr>
        <w:trPr>
          <w:cantSplit/>
        </w:trPr>
        <w:tc>
          <w:tcPr>
            <w:tcW w:type="dxa" w:w="2088"/>
            <w:tcMar>
              <w:top w:w="80" w:type="dxa"/>
              <w:start w:w="120" w:type="dxa"/>
              <w:bottom w:w="80" w:type="dxa"/>
              <w:end w:w="120" w:type="dxa"/>
            </w:tcMar>
            <w:vAlign w:val="center"/>
          </w:tcPr>
          <w:p>
            <w:pPr>
              <w:jc w:val="center"/>
            </w:pPr>
            <w:r>
              <w:rPr>
                <w:rFonts w:ascii="Calibri" w:hAnsi="Calibri"/>
                <w:sz w:val="20"/>
              </w:rPr>
              <w:t>4. Proof package</w:t>
            </w:r>
          </w:p>
        </w:tc>
        <w:tc>
          <w:tcPr>
            <w:tcW w:type="dxa" w:w="4824"/>
            <w:tcMar>
              <w:top w:w="80" w:type="dxa"/>
              <w:start w:w="120" w:type="dxa"/>
              <w:bottom w:w="80" w:type="dxa"/>
              <w:end w:w="120" w:type="dxa"/>
            </w:tcMar>
            <w:vAlign w:val="center"/>
          </w:tcPr>
          <w:p>
            <w:pPr>
              <w:jc w:val="left"/>
            </w:pPr>
            <w:r>
              <w:rPr>
                <w:rFonts w:ascii="Calibri" w:hAnsi="Calibri"/>
                <w:sz w:val="20"/>
              </w:rPr>
              <w:t>Document the niche, offer, lead source, campaign versions, reply patterns, meeting outcomes, and revenue impact.</w:t>
            </w:r>
          </w:p>
        </w:tc>
        <w:tc>
          <w:tcPr>
            <w:tcW w:type="dxa" w:w="2448"/>
            <w:tcMar>
              <w:top w:w="80" w:type="dxa"/>
              <w:start w:w="120" w:type="dxa"/>
              <w:bottom w:w="80" w:type="dxa"/>
              <w:end w:w="120" w:type="dxa"/>
            </w:tcMar>
            <w:vAlign w:val="center"/>
          </w:tcPr>
          <w:p>
            <w:pPr>
              <w:jc w:val="left"/>
            </w:pPr>
            <w:r>
              <w:rPr>
                <w:rFonts w:ascii="Calibri" w:hAnsi="Calibri"/>
                <w:sz w:val="20"/>
              </w:rPr>
              <w:t>You have a credible internal case study with repeatable metrics.</w:t>
            </w:r>
          </w:p>
        </w:tc>
      </w:tr>
      <w:tr>
        <w:trPr>
          <w:cantSplit/>
        </w:trPr>
        <w:tc>
          <w:tcPr>
            <w:tcW w:type="dxa" w:w="2088"/>
            <w:tcMar>
              <w:top w:w="80" w:type="dxa"/>
              <w:start w:w="120" w:type="dxa"/>
              <w:bottom w:w="80" w:type="dxa"/>
              <w:end w:w="120" w:type="dxa"/>
            </w:tcMar>
            <w:vAlign w:val="center"/>
          </w:tcPr>
          <w:p>
            <w:pPr>
              <w:jc w:val="center"/>
            </w:pPr>
            <w:r>
              <w:rPr>
                <w:rFonts w:ascii="Calibri" w:hAnsi="Calibri"/>
                <w:sz w:val="20"/>
              </w:rPr>
              <w:t>5. Public beta</w:t>
            </w:r>
          </w:p>
        </w:tc>
        <w:tc>
          <w:tcPr>
            <w:tcW w:type="dxa" w:w="4824"/>
            <w:tcMar>
              <w:top w:w="80" w:type="dxa"/>
              <w:start w:w="120" w:type="dxa"/>
              <w:bottom w:w="80" w:type="dxa"/>
              <w:end w:w="120" w:type="dxa"/>
            </w:tcMar>
            <w:vAlign w:val="center"/>
          </w:tcPr>
          <w:p>
            <w:pPr>
              <w:jc w:val="left"/>
            </w:pPr>
            <w:r>
              <w:rPr>
                <w:rFonts w:ascii="Calibri" w:hAnsi="Calibri"/>
                <w:sz w:val="20"/>
              </w:rPr>
              <w:t>Add accounts, billing, workspace isolation, onboarding, template libraries, and safer defaults.</w:t>
            </w:r>
          </w:p>
        </w:tc>
        <w:tc>
          <w:tcPr>
            <w:tcW w:type="dxa" w:w="2448"/>
            <w:tcMar>
              <w:top w:w="80" w:type="dxa"/>
              <w:start w:w="120" w:type="dxa"/>
              <w:bottom w:w="80" w:type="dxa"/>
              <w:end w:w="120" w:type="dxa"/>
            </w:tcMar>
            <w:vAlign w:val="center"/>
          </w:tcPr>
          <w:p>
            <w:pPr>
              <w:jc w:val="left"/>
            </w:pPr>
            <w:r>
              <w:rPr>
                <w:rFonts w:ascii="Calibri" w:hAnsi="Calibri"/>
                <w:sz w:val="20"/>
              </w:rPr>
              <w:t>Early users can achieve the same workflow without custom handholding.</w:t>
            </w:r>
          </w:p>
        </w:tc>
      </w:tr>
    </w:tbl>
    <w:p>
      <w:pPr>
        <w:spacing w:after="120"/>
      </w:pPr>
    </w:p>
    <w:p>
      <w:pPr>
        <w:pStyle w:val="Heading1"/>
      </w:pPr>
      <w:r>
        <w:rPr>
          <w:rFonts w:ascii="Calibri" w:hAnsi="Calibri"/>
          <w:b/>
          <w:color w:val="2E74B5"/>
          <w:sz w:val="32"/>
        </w:rPr>
        <w:t>Recommended MVP Stack</w:t>
      </w:r>
    </w:p>
    <w:p>
      <w:pPr>
        <w:pStyle w:val="ListBullet"/>
      </w:pPr>
      <w:r>
        <w:rPr>
          <w:rFonts w:ascii="Calibri" w:hAnsi="Calibri"/>
        </w:rPr>
        <w:t>Frontend: Next.js or a simple React dashboard focused on review queues and metrics.</w:t>
      </w:r>
    </w:p>
    <w:p>
      <w:pPr>
        <w:pStyle w:val="ListBullet"/>
      </w:pPr>
      <w:r>
        <w:rPr>
          <w:rFonts w:ascii="Calibri" w:hAnsi="Calibri"/>
        </w:rPr>
        <w:t>Backend: Next.js API routes, Node/Express, or a lightweight Python API if that fits the rest of your workflow better.</w:t>
      </w:r>
    </w:p>
    <w:p>
      <w:pPr>
        <w:pStyle w:val="ListBullet"/>
      </w:pPr>
      <w:r>
        <w:rPr>
          <w:rFonts w:ascii="Calibri" w:hAnsi="Calibri"/>
        </w:rPr>
        <w:t>Database: Supabase Postgres for leads, campaigns, replies, suppression, and metrics.</w:t>
      </w:r>
    </w:p>
    <w:p>
      <w:pPr>
        <w:pStyle w:val="ListBullet"/>
      </w:pPr>
      <w:r>
        <w:rPr>
          <w:rFonts w:ascii="Calibri" w:hAnsi="Calibri"/>
        </w:rPr>
        <w:t>Jobs and automation: Trigger.dev, Inngest, or BullMQ for enrichment, scoring, webhooks, and scheduled reporting.</w:t>
      </w:r>
    </w:p>
    <w:p>
      <w:pPr>
        <w:pStyle w:val="ListBullet"/>
      </w:pPr>
      <w:r>
        <w:rPr>
          <w:rFonts w:ascii="Calibri" w:hAnsi="Calibri"/>
        </w:rPr>
        <w:t>AI: OpenAI API for lead scoring, personalization drafts, reply classification, and playbook generation.</w:t>
      </w:r>
    </w:p>
    <w:p>
      <w:pPr>
        <w:pStyle w:val="ListBullet"/>
      </w:pPr>
      <w:r>
        <w:rPr>
          <w:rFonts w:ascii="Calibri" w:hAnsi="Calibri"/>
        </w:rPr>
        <w:t>Sending: start with Instantly, Smartlead, Lemlist, or another mature email platform rather than native sending.</w:t>
      </w:r>
    </w:p>
    <w:p>
      <w:pPr>
        <w:pStyle w:val="ListBullet"/>
      </w:pPr>
      <w:r>
        <w:rPr>
          <w:rFonts w:ascii="Calibri" w:hAnsi="Calibri"/>
        </w:rPr>
        <w:t>CRM and scheduling: HubSpot or Airtable plus Calendly at first; native CRM and calendar integrations can come later.</w:t>
      </w:r>
    </w:p>
    <w:p>
      <w:pPr>
        <w:pStyle w:val="Heading1"/>
      </w:pPr>
      <w:r>
        <w:rPr>
          <w:rFonts w:ascii="Calibri" w:hAnsi="Calibri"/>
          <w:b/>
          <w:color w:val="2E74B5"/>
          <w:sz w:val="32"/>
        </w:rPr>
        <w:t>Compliance and Deliverability Guardrails</w:t>
      </w:r>
    </w:p>
    <w:p>
      <w:r>
        <w:rPr>
          <w:rFonts w:ascii="Calibri" w:hAnsi="Calibri"/>
        </w:rPr>
        <w:t>This strategy assumes commercial B2B outreach in the United States. Build compliance into the workflow from day one; it is cheaper than retrofitting suppression, audit, and sender controls after problems appear.</w:t>
      </w:r>
    </w:p>
    <w:tbl>
      <w:tblPr>
        <w:tblStyle w:val="TableGrid"/>
        <w:tblW w:type="dxa" w:w="9360"/>
        <w:tblLayout w:type="fixed"/>
        <w:tblLook w:firstColumn="1" w:firstRow="1" w:lastColumn="0" w:lastRow="0" w:noHBand="0" w:noVBand="1" w:val="04A0"/>
        <w:tblInd w:w="120" w:type="dxa"/>
      </w:tblPr>
      <w:tblGrid>
        <w:gridCol w:w="2088"/>
        <w:gridCol w:w="4464"/>
        <w:gridCol w:w="2808"/>
      </w:tblGrid>
      <w:tr>
        <w:trPr>
          <w:tblHeader w:val="true"/>
          <w:cantSplit/>
        </w:trPr>
        <w:tc>
          <w:tcPr>
            <w:tcW w:type="dxa" w:w="2088"/>
            <w:tcMar>
              <w:top w:w="80" w:type="dxa"/>
              <w:start w:w="120" w:type="dxa"/>
              <w:bottom w:w="80" w:type="dxa"/>
              <w:end w:w="120" w:type="dxa"/>
            </w:tcMar>
            <w:vAlign w:val="center"/>
            <w:shd w:fill="F2F4F7"/>
          </w:tcPr>
          <w:p>
            <w:pPr>
              <w:jc w:val="center"/>
            </w:pPr>
            <w:r>
              <w:rPr>
                <w:rFonts w:ascii="Calibri" w:hAnsi="Calibri"/>
                <w:b/>
                <w:color w:val="202020"/>
              </w:rPr>
              <w:t>Guardrail</w:t>
            </w:r>
          </w:p>
        </w:tc>
        <w:tc>
          <w:tcPr>
            <w:tcW w:type="dxa" w:w="4464"/>
            <w:tcMar>
              <w:top w:w="80" w:type="dxa"/>
              <w:start w:w="120" w:type="dxa"/>
              <w:bottom w:w="80" w:type="dxa"/>
              <w:end w:w="120" w:type="dxa"/>
            </w:tcMar>
            <w:vAlign w:val="center"/>
            <w:shd w:fill="F2F4F7"/>
          </w:tcPr>
          <w:p>
            <w:pPr>
              <w:jc w:val="center"/>
            </w:pPr>
            <w:r>
              <w:rPr>
                <w:rFonts w:ascii="Calibri" w:hAnsi="Calibri"/>
                <w:b/>
                <w:color w:val="202020"/>
              </w:rPr>
              <w:t>Implementation Requirement</w:t>
            </w:r>
          </w:p>
        </w:tc>
        <w:tc>
          <w:tcPr>
            <w:tcW w:type="dxa" w:w="2808"/>
            <w:tcMar>
              <w:top w:w="80" w:type="dxa"/>
              <w:start w:w="120" w:type="dxa"/>
              <w:bottom w:w="80" w:type="dxa"/>
              <w:end w:w="120" w:type="dxa"/>
            </w:tcMar>
            <w:vAlign w:val="center"/>
            <w:shd w:fill="F2F4F7"/>
          </w:tcPr>
          <w:p>
            <w:pPr>
              <w:jc w:val="center"/>
            </w:pPr>
            <w:r>
              <w:rPr>
                <w:rFonts w:ascii="Calibri" w:hAnsi="Calibri"/>
                <w:b/>
                <w:color w:val="202020"/>
              </w:rPr>
              <w:t>Why It Matters</w:t>
            </w:r>
          </w:p>
        </w:tc>
      </w:tr>
      <w:tr>
        <w:trPr>
          <w:cantSplit/>
        </w:trPr>
        <w:tc>
          <w:tcPr>
            <w:tcW w:type="dxa" w:w="2088"/>
            <w:tcMar>
              <w:top w:w="80" w:type="dxa"/>
              <w:start w:w="120" w:type="dxa"/>
              <w:bottom w:w="80" w:type="dxa"/>
              <w:end w:w="120" w:type="dxa"/>
            </w:tcMar>
            <w:vAlign w:val="center"/>
          </w:tcPr>
          <w:p>
            <w:pPr>
              <w:jc w:val="center"/>
            </w:pPr>
            <w:r>
              <w:rPr>
                <w:rFonts w:ascii="Calibri" w:hAnsi="Calibri"/>
                <w:sz w:val="20"/>
              </w:rPr>
              <w:t>Truthful identity</w:t>
            </w:r>
          </w:p>
        </w:tc>
        <w:tc>
          <w:tcPr>
            <w:tcW w:type="dxa" w:w="4464"/>
            <w:tcMar>
              <w:top w:w="80" w:type="dxa"/>
              <w:start w:w="120" w:type="dxa"/>
              <w:bottom w:w="80" w:type="dxa"/>
              <w:end w:w="120" w:type="dxa"/>
            </w:tcMar>
            <w:vAlign w:val="center"/>
          </w:tcPr>
          <w:p>
            <w:pPr>
              <w:jc w:val="left"/>
            </w:pPr>
            <w:r>
              <w:rPr>
                <w:rFonts w:ascii="Calibri" w:hAnsi="Calibri"/>
                <w:sz w:val="20"/>
              </w:rPr>
              <w:t>Accurate From, Reply-To, routing information, and subject lines. Do not impersonate domains or people.</w:t>
            </w:r>
          </w:p>
        </w:tc>
        <w:tc>
          <w:tcPr>
            <w:tcW w:type="dxa" w:w="2808"/>
            <w:tcMar>
              <w:top w:w="80" w:type="dxa"/>
              <w:start w:w="120" w:type="dxa"/>
              <w:bottom w:w="80" w:type="dxa"/>
              <w:end w:w="120" w:type="dxa"/>
            </w:tcMar>
            <w:vAlign w:val="center"/>
          </w:tcPr>
          <w:p>
            <w:pPr>
              <w:jc w:val="left"/>
            </w:pPr>
            <w:r>
              <w:rPr>
                <w:rFonts w:ascii="Calibri" w:hAnsi="Calibri"/>
                <w:sz w:val="20"/>
              </w:rPr>
              <w:t>Required by CAN-SPAM and central to sender trust.</w:t>
            </w:r>
          </w:p>
        </w:tc>
      </w:tr>
      <w:tr>
        <w:trPr>
          <w:cantSplit/>
        </w:trPr>
        <w:tc>
          <w:tcPr>
            <w:tcW w:type="dxa" w:w="2088"/>
            <w:tcMar>
              <w:top w:w="80" w:type="dxa"/>
              <w:start w:w="120" w:type="dxa"/>
              <w:bottom w:w="80" w:type="dxa"/>
              <w:end w:w="120" w:type="dxa"/>
            </w:tcMar>
            <w:vAlign w:val="center"/>
          </w:tcPr>
          <w:p>
            <w:pPr>
              <w:jc w:val="left"/>
            </w:pPr>
            <w:r>
              <w:rPr>
                <w:rFonts w:ascii="Calibri" w:hAnsi="Calibri"/>
                <w:sz w:val="20"/>
              </w:rPr>
              <w:t>Ad and address disclosure</w:t>
            </w:r>
          </w:p>
        </w:tc>
        <w:tc>
          <w:tcPr>
            <w:tcW w:type="dxa" w:w="4464"/>
            <w:tcMar>
              <w:top w:w="80" w:type="dxa"/>
              <w:start w:w="120" w:type="dxa"/>
              <w:bottom w:w="80" w:type="dxa"/>
              <w:end w:w="120" w:type="dxa"/>
            </w:tcMar>
            <w:vAlign w:val="center"/>
          </w:tcPr>
          <w:p>
            <w:pPr>
              <w:jc w:val="left"/>
            </w:pPr>
            <w:r>
              <w:rPr>
                <w:rFonts w:ascii="Calibri" w:hAnsi="Calibri"/>
                <w:sz w:val="20"/>
              </w:rPr>
              <w:t>Include a valid physical postal address and clear commercial identification where required.</w:t>
            </w:r>
          </w:p>
        </w:tc>
        <w:tc>
          <w:tcPr>
            <w:tcW w:type="dxa" w:w="2808"/>
            <w:tcMar>
              <w:top w:w="80" w:type="dxa"/>
              <w:start w:w="120" w:type="dxa"/>
              <w:bottom w:w="80" w:type="dxa"/>
              <w:end w:w="120" w:type="dxa"/>
            </w:tcMar>
            <w:vAlign w:val="center"/>
          </w:tcPr>
          <w:p>
            <w:pPr>
              <w:jc w:val="left"/>
            </w:pPr>
            <w:r>
              <w:rPr>
                <w:rFonts w:ascii="Calibri" w:hAnsi="Calibri"/>
                <w:sz w:val="20"/>
              </w:rPr>
              <w:t>CAN-SPAM requires commercial messages to disclose location and not mislead recipients.</w:t>
            </w:r>
          </w:p>
        </w:tc>
      </w:tr>
      <w:tr>
        <w:trPr>
          <w:cantSplit/>
        </w:trPr>
        <w:tc>
          <w:tcPr>
            <w:tcW w:type="dxa" w:w="2088"/>
            <w:tcMar>
              <w:top w:w="80" w:type="dxa"/>
              <w:start w:w="120" w:type="dxa"/>
              <w:bottom w:w="80" w:type="dxa"/>
              <w:end w:w="120" w:type="dxa"/>
            </w:tcMar>
            <w:vAlign w:val="center"/>
          </w:tcPr>
          <w:p>
            <w:pPr>
              <w:jc w:val="center"/>
            </w:pPr>
            <w:r>
              <w:rPr>
                <w:rFonts w:ascii="Calibri" w:hAnsi="Calibri"/>
                <w:sz w:val="20"/>
              </w:rPr>
              <w:t>Opt-out</w:t>
            </w:r>
          </w:p>
        </w:tc>
        <w:tc>
          <w:tcPr>
            <w:tcW w:type="dxa" w:w="4464"/>
            <w:tcMar>
              <w:top w:w="80" w:type="dxa"/>
              <w:start w:w="120" w:type="dxa"/>
              <w:bottom w:w="80" w:type="dxa"/>
              <w:end w:w="120" w:type="dxa"/>
            </w:tcMar>
            <w:vAlign w:val="center"/>
          </w:tcPr>
          <w:p>
            <w:pPr>
              <w:jc w:val="left"/>
            </w:pPr>
            <w:r>
              <w:rPr>
                <w:rFonts w:ascii="Calibri" w:hAnsi="Calibri"/>
                <w:sz w:val="20"/>
              </w:rPr>
              <w:t>Every campaign must include a clear unsubscribe path and a suppression list that all sends check before launch.</w:t>
            </w:r>
          </w:p>
        </w:tc>
        <w:tc>
          <w:tcPr>
            <w:tcW w:type="dxa" w:w="2808"/>
            <w:tcMar>
              <w:top w:w="80" w:type="dxa"/>
              <w:start w:w="120" w:type="dxa"/>
              <w:bottom w:w="80" w:type="dxa"/>
              <w:end w:w="120" w:type="dxa"/>
            </w:tcMar>
            <w:vAlign w:val="center"/>
          </w:tcPr>
          <w:p>
            <w:pPr>
              <w:jc w:val="left"/>
            </w:pPr>
            <w:r>
              <w:rPr>
                <w:rFonts w:ascii="Calibri" w:hAnsi="Calibri"/>
                <w:sz w:val="20"/>
              </w:rPr>
              <w:t>Opt-out requests must be honored promptly; suppression should be global across campaigns.</w:t>
            </w:r>
          </w:p>
        </w:tc>
      </w:tr>
      <w:tr>
        <w:trPr>
          <w:cantSplit/>
        </w:trPr>
        <w:tc>
          <w:tcPr>
            <w:tcW w:type="dxa" w:w="2088"/>
            <w:tcMar>
              <w:top w:w="80" w:type="dxa"/>
              <w:start w:w="120" w:type="dxa"/>
              <w:bottom w:w="80" w:type="dxa"/>
              <w:end w:w="120" w:type="dxa"/>
            </w:tcMar>
            <w:vAlign w:val="center"/>
          </w:tcPr>
          <w:p>
            <w:pPr>
              <w:jc w:val="center"/>
            </w:pPr>
            <w:r>
              <w:rPr>
                <w:rFonts w:ascii="Calibri" w:hAnsi="Calibri"/>
                <w:sz w:val="20"/>
              </w:rPr>
              <w:t>Authentication</w:t>
            </w:r>
          </w:p>
        </w:tc>
        <w:tc>
          <w:tcPr>
            <w:tcW w:type="dxa" w:w="4464"/>
            <w:tcMar>
              <w:top w:w="80" w:type="dxa"/>
              <w:start w:w="120" w:type="dxa"/>
              <w:bottom w:w="80" w:type="dxa"/>
              <w:end w:w="120" w:type="dxa"/>
            </w:tcMar>
            <w:vAlign w:val="center"/>
          </w:tcPr>
          <w:p>
            <w:pPr>
              <w:jc w:val="left"/>
            </w:pPr>
            <w:r>
              <w:rPr>
                <w:rFonts w:ascii="Calibri" w:hAnsi="Calibri"/>
                <w:sz w:val="20"/>
              </w:rPr>
              <w:t>Require SPF or DKIM at minimum; for bulk-like sending use SPF, DKIM, and DMARC with alignment.</w:t>
            </w:r>
          </w:p>
        </w:tc>
        <w:tc>
          <w:tcPr>
            <w:tcW w:type="dxa" w:w="2808"/>
            <w:tcMar>
              <w:top w:w="80" w:type="dxa"/>
              <w:start w:w="120" w:type="dxa"/>
              <w:bottom w:w="80" w:type="dxa"/>
              <w:end w:w="120" w:type="dxa"/>
            </w:tcMar>
            <w:vAlign w:val="center"/>
          </w:tcPr>
          <w:p>
            <w:pPr>
              <w:jc w:val="left"/>
            </w:pPr>
            <w:r>
              <w:rPr>
                <w:rFonts w:ascii="Calibri" w:hAnsi="Calibri"/>
                <w:sz w:val="20"/>
              </w:rPr>
              <w:t>Gmail and Yahoo sender requirements emphasize authentication, alignment, and valid DNS.</w:t>
            </w:r>
          </w:p>
        </w:tc>
      </w:tr>
      <w:tr>
        <w:trPr>
          <w:cantSplit/>
        </w:trPr>
        <w:tc>
          <w:tcPr>
            <w:tcW w:type="dxa" w:w="2088"/>
            <w:tcMar>
              <w:top w:w="80" w:type="dxa"/>
              <w:start w:w="120" w:type="dxa"/>
              <w:bottom w:w="80" w:type="dxa"/>
              <w:end w:w="120" w:type="dxa"/>
            </w:tcMar>
            <w:vAlign w:val="center"/>
          </w:tcPr>
          <w:p>
            <w:pPr>
              <w:jc w:val="center"/>
            </w:pPr>
            <w:r>
              <w:rPr>
                <w:rFonts w:ascii="Calibri" w:hAnsi="Calibri"/>
                <w:sz w:val="20"/>
              </w:rPr>
              <w:t>Spam rate</w:t>
            </w:r>
          </w:p>
        </w:tc>
        <w:tc>
          <w:tcPr>
            <w:tcW w:type="dxa" w:w="4464"/>
            <w:tcMar>
              <w:top w:w="80" w:type="dxa"/>
              <w:start w:w="120" w:type="dxa"/>
              <w:bottom w:w="80" w:type="dxa"/>
              <w:end w:w="120" w:type="dxa"/>
            </w:tcMar>
            <w:vAlign w:val="center"/>
          </w:tcPr>
          <w:p>
            <w:pPr>
              <w:jc w:val="left"/>
            </w:pPr>
            <w:r>
              <w:rPr>
                <w:rFonts w:ascii="Calibri" w:hAnsi="Calibri"/>
                <w:sz w:val="20"/>
              </w:rPr>
              <w:t>Monitor Postmaster-style spam complaint indicators and pause domains before rates approach 0.3%.</w:t>
            </w:r>
          </w:p>
        </w:tc>
        <w:tc>
          <w:tcPr>
            <w:tcW w:type="dxa" w:w="2808"/>
            <w:tcMar>
              <w:top w:w="80" w:type="dxa"/>
              <w:start w:w="120" w:type="dxa"/>
              <w:bottom w:w="80" w:type="dxa"/>
              <w:end w:w="120" w:type="dxa"/>
            </w:tcMar>
            <w:vAlign w:val="center"/>
          </w:tcPr>
          <w:p>
            <w:pPr>
              <w:jc w:val="left"/>
            </w:pPr>
            <w:r>
              <w:rPr>
                <w:rFonts w:ascii="Calibri" w:hAnsi="Calibri"/>
                <w:sz w:val="20"/>
              </w:rPr>
              <w:t>Gmail and Yahoo both reference keeping spam rates below 0.3%; lower is safer.</w:t>
            </w:r>
          </w:p>
        </w:tc>
      </w:tr>
      <w:tr>
        <w:trPr>
          <w:cantSplit/>
        </w:trPr>
        <w:tc>
          <w:tcPr>
            <w:tcW w:type="dxa" w:w="2088"/>
            <w:tcMar>
              <w:top w:w="80" w:type="dxa"/>
              <w:start w:w="120" w:type="dxa"/>
              <w:bottom w:w="80" w:type="dxa"/>
              <w:end w:w="120" w:type="dxa"/>
            </w:tcMar>
            <w:vAlign w:val="center"/>
          </w:tcPr>
          <w:p>
            <w:pPr>
              <w:jc w:val="center"/>
            </w:pPr>
            <w:r>
              <w:rPr>
                <w:rFonts w:ascii="Calibri" w:hAnsi="Calibri"/>
                <w:sz w:val="20"/>
              </w:rPr>
              <w:t>Bounce control</w:t>
            </w:r>
          </w:p>
        </w:tc>
        <w:tc>
          <w:tcPr>
            <w:tcW w:type="dxa" w:w="4464"/>
            <w:tcMar>
              <w:top w:w="80" w:type="dxa"/>
              <w:start w:w="120" w:type="dxa"/>
              <w:bottom w:w="80" w:type="dxa"/>
              <w:end w:w="120" w:type="dxa"/>
            </w:tcMar>
            <w:vAlign w:val="center"/>
          </w:tcPr>
          <w:p>
            <w:pPr>
              <w:jc w:val="left"/>
            </w:pPr>
            <w:r>
              <w:rPr>
                <w:rFonts w:ascii="Calibri" w:hAnsi="Calibri"/>
                <w:sz w:val="20"/>
              </w:rPr>
              <w:t>Verify addresses before sending, suppress hard bounces, and avoid questionable lead sources.</w:t>
            </w:r>
          </w:p>
        </w:tc>
        <w:tc>
          <w:tcPr>
            <w:tcW w:type="dxa" w:w="2808"/>
            <w:tcMar>
              <w:top w:w="80" w:type="dxa"/>
              <w:start w:w="120" w:type="dxa"/>
              <w:bottom w:w="80" w:type="dxa"/>
              <w:end w:w="120" w:type="dxa"/>
            </w:tcMar>
            <w:vAlign w:val="center"/>
          </w:tcPr>
          <w:p>
            <w:pPr>
              <w:jc w:val="left"/>
            </w:pPr>
            <w:r>
              <w:rPr>
                <w:rFonts w:ascii="Calibri" w:hAnsi="Calibri"/>
                <w:sz w:val="20"/>
              </w:rPr>
              <w:t>High bounce rates damage reputation and create poor data for optimization.</w:t>
            </w:r>
          </w:p>
        </w:tc>
      </w:tr>
      <w:tr>
        <w:trPr>
          <w:cantSplit/>
        </w:trPr>
        <w:tc>
          <w:tcPr>
            <w:tcW w:type="dxa" w:w="2088"/>
            <w:tcMar>
              <w:top w:w="80" w:type="dxa"/>
              <w:start w:w="120" w:type="dxa"/>
              <w:bottom w:w="80" w:type="dxa"/>
              <w:end w:w="120" w:type="dxa"/>
            </w:tcMar>
            <w:vAlign w:val="center"/>
          </w:tcPr>
          <w:p>
            <w:pPr>
              <w:jc w:val="center"/>
            </w:pPr>
            <w:r>
              <w:rPr>
                <w:rFonts w:ascii="Calibri" w:hAnsi="Calibri"/>
                <w:sz w:val="20"/>
              </w:rPr>
              <w:t>Human approval</w:t>
            </w:r>
          </w:p>
        </w:tc>
        <w:tc>
          <w:tcPr>
            <w:tcW w:type="dxa" w:w="4464"/>
            <w:tcMar>
              <w:top w:w="80" w:type="dxa"/>
              <w:start w:w="120" w:type="dxa"/>
              <w:bottom w:w="80" w:type="dxa"/>
              <w:end w:w="120" w:type="dxa"/>
            </w:tcMar>
            <w:vAlign w:val="center"/>
          </w:tcPr>
          <w:p>
            <w:pPr>
              <w:jc w:val="left"/>
            </w:pPr>
            <w:r>
              <w:rPr>
                <w:rFonts w:ascii="Calibri" w:hAnsi="Calibri"/>
                <w:sz w:val="20"/>
              </w:rPr>
              <w:t>AI may draft and classify, but humans approve new campaigns and sensitive replies in the MVP.</w:t>
            </w:r>
          </w:p>
        </w:tc>
        <w:tc>
          <w:tcPr>
            <w:tcW w:type="dxa" w:w="2808"/>
            <w:tcMar>
              <w:top w:w="80" w:type="dxa"/>
              <w:start w:w="120" w:type="dxa"/>
              <w:bottom w:w="80" w:type="dxa"/>
              <w:end w:w="120" w:type="dxa"/>
            </w:tcMar>
            <w:vAlign w:val="center"/>
          </w:tcPr>
          <w:p>
            <w:pPr>
              <w:jc w:val="left"/>
            </w:pPr>
            <w:r>
              <w:rPr>
                <w:rFonts w:ascii="Calibri" w:hAnsi="Calibri"/>
                <w:sz w:val="20"/>
              </w:rPr>
              <w:t>Reduces brand, legal, and relationship risk while the system is learning.</w:t>
            </w:r>
          </w:p>
        </w:tc>
      </w:tr>
    </w:tbl>
    <w:p>
      <w:pPr>
        <w:spacing w:after="120"/>
      </w:pPr>
    </w:p>
    <w:p>
      <w:r>
        <w:rPr>
          <w:rFonts w:ascii="Calibri" w:hAnsi="Calibri"/>
        </w:rPr>
        <w:t>Sources to review before launch and again before any public release: FTC CAN-SPAM compliance guide, Google/Gmail email sender guidelines, and Yahoo Sender Hub requirements. This document is strategic guidance, not legal advice.</w:t>
      </w:r>
    </w:p>
    <w:p>
      <w:pPr>
        <w:pStyle w:val="Heading1"/>
      </w:pPr>
      <w:r>
        <w:rPr>
          <w:rFonts w:ascii="Calibri" w:hAnsi="Calibri"/>
          <w:b/>
          <w:color w:val="2E74B5"/>
          <w:sz w:val="32"/>
        </w:rPr>
        <w:t>Operating Playbook</w:t>
      </w:r>
    </w:p>
    <w:p>
      <w:pPr>
        <w:pStyle w:val="Heading2"/>
      </w:pPr>
      <w:r>
        <w:rPr>
          <w:rFonts w:ascii="Calibri" w:hAnsi="Calibri"/>
          <w:b/>
          <w:color w:val="2E74B5"/>
          <w:sz w:val="26"/>
        </w:rPr>
        <w:t>Daily Workflow</w:t>
      </w:r>
    </w:p>
    <w:p>
      <w:pPr>
        <w:pStyle w:val="ListNumber"/>
      </w:pPr>
      <w:r>
        <w:rPr>
          <w:rFonts w:ascii="Calibri" w:hAnsi="Calibri"/>
        </w:rPr>
        <w:t>Review new leads marked good fit or needs review; reject weak-fit contacts before they enter a sequence.</w:t>
      </w:r>
    </w:p>
    <w:p>
      <w:pPr>
        <w:pStyle w:val="ListNumber"/>
      </w:pPr>
      <w:r>
        <w:rPr>
          <w:rFonts w:ascii="Calibri" w:hAnsi="Calibri"/>
        </w:rPr>
        <w:t>Approve or edit AI-generated personalization for high-value prospects.</w:t>
      </w:r>
    </w:p>
    <w:p>
      <w:pPr>
        <w:pStyle w:val="ListNumber"/>
      </w:pPr>
      <w:r>
        <w:rPr>
          <w:rFonts w:ascii="Calibri" w:hAnsi="Calibri"/>
        </w:rPr>
        <w:t>Check reply classifications and handle interested, objection, wrong-person, not-now, and unsubscribe categories.</w:t>
      </w:r>
    </w:p>
    <w:p>
      <w:pPr>
        <w:pStyle w:val="ListNumber"/>
      </w:pPr>
      <w:r>
        <w:rPr>
          <w:rFonts w:ascii="Calibri" w:hAnsi="Calibri"/>
        </w:rPr>
        <w:t>Log meeting outcomes and opportunity status so the system learns from pipeline results, not just replies.</w:t>
      </w:r>
    </w:p>
    <w:p>
      <w:pPr>
        <w:pStyle w:val="Heading2"/>
      </w:pPr>
      <w:r>
        <w:rPr>
          <w:rFonts w:ascii="Calibri" w:hAnsi="Calibri"/>
          <w:b/>
          <w:color w:val="2E74B5"/>
          <w:sz w:val="26"/>
        </w:rPr>
        <w:t>Weekly Workflow</w:t>
      </w:r>
    </w:p>
    <w:p>
      <w:pPr>
        <w:pStyle w:val="ListNumber"/>
      </w:pPr>
      <w:r>
        <w:rPr>
          <w:rFonts w:ascii="Calibri" w:hAnsi="Calibri"/>
        </w:rPr>
        <w:t>Review campaign performance by segment, offer angle, lead source, and inbox/domain.</w:t>
      </w:r>
    </w:p>
    <w:p>
      <w:pPr>
        <w:pStyle w:val="ListNumber"/>
      </w:pPr>
      <w:r>
        <w:rPr>
          <w:rFonts w:ascii="Calibri" w:hAnsi="Calibri"/>
        </w:rPr>
        <w:t>Promote winning messages into playbooks and retire underperforming variants.</w:t>
      </w:r>
    </w:p>
    <w:p>
      <w:pPr>
        <w:pStyle w:val="ListNumber"/>
      </w:pPr>
      <w:r>
        <w:rPr>
          <w:rFonts w:ascii="Calibri" w:hAnsi="Calibri"/>
        </w:rPr>
        <w:t>Audit suppression, bounce, unsubscribe, and complaint signals before launching more volume.</w:t>
      </w:r>
    </w:p>
    <w:p>
      <w:pPr>
        <w:pStyle w:val="ListNumber"/>
      </w:pPr>
      <w:r>
        <w:rPr>
          <w:rFonts w:ascii="Calibri" w:hAnsi="Calibri"/>
        </w:rPr>
        <w:t>Write a short weekly learning note: what worked, what failed, what to test next.</w:t>
      </w:r>
    </w:p>
    <w:p>
      <w:pPr>
        <w:pStyle w:val="Heading2"/>
      </w:pPr>
      <w:r>
        <w:rPr>
          <w:rFonts w:ascii="Calibri" w:hAnsi="Calibri"/>
          <w:b/>
          <w:color w:val="2E74B5"/>
          <w:sz w:val="26"/>
        </w:rPr>
        <w:t>Reply Classification Rules</w:t>
      </w:r>
    </w:p>
    <w:tbl>
      <w:tblPr>
        <w:tblStyle w:val="TableGrid"/>
        <w:tblW w:type="dxa" w:w="9360"/>
        <w:tblLayout w:type="fixed"/>
        <w:tblLook w:firstColumn="1" w:firstRow="1" w:lastColumn="0" w:lastRow="0" w:noHBand="0" w:noVBand="1" w:val="04A0"/>
        <w:tblInd w:w="120" w:type="dxa"/>
      </w:tblPr>
      <w:tblGrid>
        <w:gridCol w:w="2232"/>
        <w:gridCol w:w="4824"/>
        <w:gridCol w:w="2304"/>
      </w:tblGrid>
      <w:tr>
        <w:trPr>
          <w:tblHeader w:val="true"/>
          <w:cantSplit/>
        </w:trPr>
        <w:tc>
          <w:tcPr>
            <w:tcW w:type="dxa" w:w="2232"/>
            <w:tcMar>
              <w:top w:w="80" w:type="dxa"/>
              <w:start w:w="120" w:type="dxa"/>
              <w:bottom w:w="80" w:type="dxa"/>
              <w:end w:w="120" w:type="dxa"/>
            </w:tcMar>
            <w:vAlign w:val="center"/>
            <w:shd w:fill="E8EEF5"/>
          </w:tcPr>
          <w:p>
            <w:pPr>
              <w:jc w:val="center"/>
            </w:pPr>
            <w:r>
              <w:rPr>
                <w:rFonts w:ascii="Calibri" w:hAnsi="Calibri"/>
                <w:b/>
                <w:color w:val="202020"/>
              </w:rPr>
              <w:t>Category</w:t>
            </w:r>
          </w:p>
        </w:tc>
        <w:tc>
          <w:tcPr>
            <w:tcW w:type="dxa" w:w="4824"/>
            <w:tcMar>
              <w:top w:w="80" w:type="dxa"/>
              <w:start w:w="120" w:type="dxa"/>
              <w:bottom w:w="80" w:type="dxa"/>
              <w:end w:w="120" w:type="dxa"/>
            </w:tcMar>
            <w:vAlign w:val="center"/>
            <w:shd w:fill="E8EEF5"/>
          </w:tcPr>
          <w:p>
            <w:pPr>
              <w:jc w:val="center"/>
            </w:pPr>
            <w:r>
              <w:rPr>
                <w:rFonts w:ascii="Calibri" w:hAnsi="Calibri"/>
                <w:b/>
                <w:color w:val="202020"/>
              </w:rPr>
              <w:t>Default Action</w:t>
            </w:r>
          </w:p>
        </w:tc>
        <w:tc>
          <w:tcPr>
            <w:tcW w:type="dxa" w:w="2304"/>
            <w:tcMar>
              <w:top w:w="80" w:type="dxa"/>
              <w:start w:w="120" w:type="dxa"/>
              <w:bottom w:w="80" w:type="dxa"/>
              <w:end w:w="120" w:type="dxa"/>
            </w:tcMar>
            <w:vAlign w:val="center"/>
            <w:shd w:fill="E8EEF5"/>
          </w:tcPr>
          <w:p>
            <w:pPr>
              <w:jc w:val="center"/>
            </w:pPr>
            <w:r>
              <w:rPr>
                <w:rFonts w:ascii="Calibri" w:hAnsi="Calibri"/>
                <w:b/>
                <w:color w:val="202020"/>
              </w:rPr>
              <w:t>Automation Level</w:t>
            </w:r>
          </w:p>
        </w:tc>
      </w:tr>
      <w:tr>
        <w:trPr>
          <w:cantSplit/>
        </w:trPr>
        <w:tc>
          <w:tcPr>
            <w:tcW w:type="dxa" w:w="2232"/>
            <w:tcMar>
              <w:top w:w="80" w:type="dxa"/>
              <w:start w:w="120" w:type="dxa"/>
              <w:bottom w:w="80" w:type="dxa"/>
              <w:end w:w="120" w:type="dxa"/>
            </w:tcMar>
            <w:vAlign w:val="center"/>
          </w:tcPr>
          <w:p>
            <w:pPr>
              <w:jc w:val="center"/>
            </w:pPr>
            <w:r>
              <w:rPr>
                <w:rFonts w:ascii="Calibri" w:hAnsi="Calibri"/>
                <w:sz w:val="20"/>
              </w:rPr>
              <w:t>Interested</w:t>
            </w:r>
          </w:p>
        </w:tc>
        <w:tc>
          <w:tcPr>
            <w:tcW w:type="dxa" w:w="4824"/>
            <w:tcMar>
              <w:top w:w="80" w:type="dxa"/>
              <w:start w:w="120" w:type="dxa"/>
              <w:bottom w:w="80" w:type="dxa"/>
              <w:end w:w="120" w:type="dxa"/>
            </w:tcMar>
            <w:vAlign w:val="center"/>
          </w:tcPr>
          <w:p>
            <w:pPr>
              <w:jc w:val="left"/>
            </w:pPr>
            <w:r>
              <w:rPr>
                <w:rFonts w:ascii="Calibri" w:hAnsi="Calibri"/>
                <w:sz w:val="20"/>
              </w:rPr>
              <w:t>Create CRM task and prepare scheduling reply.</w:t>
            </w:r>
          </w:p>
        </w:tc>
        <w:tc>
          <w:tcPr>
            <w:tcW w:type="dxa" w:w="2304"/>
            <w:tcMar>
              <w:top w:w="80" w:type="dxa"/>
              <w:start w:w="120" w:type="dxa"/>
              <w:bottom w:w="80" w:type="dxa"/>
              <w:end w:w="120" w:type="dxa"/>
            </w:tcMar>
            <w:vAlign w:val="center"/>
          </w:tcPr>
          <w:p>
            <w:pPr>
              <w:jc w:val="center"/>
            </w:pPr>
            <w:r>
              <w:rPr>
                <w:rFonts w:ascii="Calibri" w:hAnsi="Calibri"/>
                <w:sz w:val="20"/>
              </w:rPr>
              <w:t>Draft only</w:t>
            </w:r>
          </w:p>
        </w:tc>
      </w:tr>
      <w:tr>
        <w:trPr>
          <w:cantSplit/>
        </w:trPr>
        <w:tc>
          <w:tcPr>
            <w:tcW w:type="dxa" w:w="2232"/>
            <w:tcMar>
              <w:top w:w="80" w:type="dxa"/>
              <w:start w:w="120" w:type="dxa"/>
              <w:bottom w:w="80" w:type="dxa"/>
              <w:end w:w="120" w:type="dxa"/>
            </w:tcMar>
            <w:vAlign w:val="center"/>
          </w:tcPr>
          <w:p>
            <w:pPr>
              <w:jc w:val="center"/>
            </w:pPr>
            <w:r>
              <w:rPr>
                <w:rFonts w:ascii="Calibri" w:hAnsi="Calibri"/>
                <w:sz w:val="20"/>
              </w:rPr>
              <w:t>Meeting request</w:t>
            </w:r>
          </w:p>
        </w:tc>
        <w:tc>
          <w:tcPr>
            <w:tcW w:type="dxa" w:w="4824"/>
            <w:tcMar>
              <w:top w:w="80" w:type="dxa"/>
              <w:start w:w="120" w:type="dxa"/>
              <w:bottom w:w="80" w:type="dxa"/>
              <w:end w:w="120" w:type="dxa"/>
            </w:tcMar>
            <w:vAlign w:val="center"/>
          </w:tcPr>
          <w:p>
            <w:pPr>
              <w:jc w:val="left"/>
            </w:pPr>
            <w:r>
              <w:rPr>
                <w:rFonts w:ascii="Calibri" w:hAnsi="Calibri"/>
                <w:sz w:val="20"/>
              </w:rPr>
              <w:t>Send to calendar workflow and notify owner.</w:t>
            </w:r>
          </w:p>
        </w:tc>
        <w:tc>
          <w:tcPr>
            <w:tcW w:type="dxa" w:w="2304"/>
            <w:tcMar>
              <w:top w:w="80" w:type="dxa"/>
              <w:start w:w="120" w:type="dxa"/>
              <w:bottom w:w="80" w:type="dxa"/>
              <w:end w:w="120" w:type="dxa"/>
            </w:tcMar>
            <w:vAlign w:val="center"/>
          </w:tcPr>
          <w:p>
            <w:pPr>
              <w:jc w:val="left"/>
            </w:pPr>
            <w:r>
              <w:rPr>
                <w:rFonts w:ascii="Calibri" w:hAnsi="Calibri"/>
                <w:sz w:val="20"/>
              </w:rPr>
              <w:t>Draft only until proven</w:t>
            </w:r>
          </w:p>
        </w:tc>
      </w:tr>
      <w:tr>
        <w:trPr>
          <w:cantSplit/>
        </w:trPr>
        <w:tc>
          <w:tcPr>
            <w:tcW w:type="dxa" w:w="2232"/>
            <w:tcMar>
              <w:top w:w="80" w:type="dxa"/>
              <w:start w:w="120" w:type="dxa"/>
              <w:bottom w:w="80" w:type="dxa"/>
              <w:end w:w="120" w:type="dxa"/>
            </w:tcMar>
            <w:vAlign w:val="center"/>
          </w:tcPr>
          <w:p>
            <w:pPr>
              <w:jc w:val="center"/>
            </w:pPr>
            <w:r>
              <w:rPr>
                <w:rFonts w:ascii="Calibri" w:hAnsi="Calibri"/>
                <w:sz w:val="20"/>
              </w:rPr>
              <w:t>Objection</w:t>
            </w:r>
          </w:p>
        </w:tc>
        <w:tc>
          <w:tcPr>
            <w:tcW w:type="dxa" w:w="4824"/>
            <w:tcMar>
              <w:top w:w="80" w:type="dxa"/>
              <w:start w:w="120" w:type="dxa"/>
              <w:bottom w:w="80" w:type="dxa"/>
              <w:end w:w="120" w:type="dxa"/>
            </w:tcMar>
            <w:vAlign w:val="center"/>
          </w:tcPr>
          <w:p>
            <w:pPr>
              <w:jc w:val="left"/>
            </w:pPr>
            <w:r>
              <w:rPr>
                <w:rFonts w:ascii="Calibri" w:hAnsi="Calibri"/>
                <w:sz w:val="20"/>
              </w:rPr>
              <w:t>Draft a specific response with proof or clarification.</w:t>
            </w:r>
          </w:p>
        </w:tc>
        <w:tc>
          <w:tcPr>
            <w:tcW w:type="dxa" w:w="2304"/>
            <w:tcMar>
              <w:top w:w="80" w:type="dxa"/>
              <w:start w:w="120" w:type="dxa"/>
              <w:bottom w:w="80" w:type="dxa"/>
              <w:end w:w="120" w:type="dxa"/>
            </w:tcMar>
            <w:vAlign w:val="center"/>
          </w:tcPr>
          <w:p>
            <w:pPr>
              <w:jc w:val="center"/>
            </w:pPr>
            <w:r>
              <w:rPr>
                <w:rFonts w:ascii="Calibri" w:hAnsi="Calibri"/>
                <w:sz w:val="20"/>
              </w:rPr>
              <w:t>Draft only</w:t>
            </w:r>
          </w:p>
        </w:tc>
      </w:tr>
      <w:tr>
        <w:trPr>
          <w:cantSplit/>
        </w:trPr>
        <w:tc>
          <w:tcPr>
            <w:tcW w:type="dxa" w:w="2232"/>
            <w:tcMar>
              <w:top w:w="80" w:type="dxa"/>
              <w:start w:w="120" w:type="dxa"/>
              <w:bottom w:w="80" w:type="dxa"/>
              <w:end w:w="120" w:type="dxa"/>
            </w:tcMar>
            <w:vAlign w:val="center"/>
          </w:tcPr>
          <w:p>
            <w:pPr>
              <w:jc w:val="center"/>
            </w:pPr>
            <w:r>
              <w:rPr>
                <w:rFonts w:ascii="Calibri" w:hAnsi="Calibri"/>
                <w:sz w:val="20"/>
              </w:rPr>
              <w:t>Not now</w:t>
            </w:r>
          </w:p>
        </w:tc>
        <w:tc>
          <w:tcPr>
            <w:tcW w:type="dxa" w:w="4824"/>
            <w:tcMar>
              <w:top w:w="80" w:type="dxa"/>
              <w:start w:w="120" w:type="dxa"/>
              <w:bottom w:w="80" w:type="dxa"/>
              <w:end w:w="120" w:type="dxa"/>
            </w:tcMar>
            <w:vAlign w:val="center"/>
          </w:tcPr>
          <w:p>
            <w:pPr>
              <w:jc w:val="left"/>
            </w:pPr>
            <w:r>
              <w:rPr>
                <w:rFonts w:ascii="Calibri" w:hAnsi="Calibri"/>
                <w:sz w:val="20"/>
              </w:rPr>
              <w:t>Create nurture reminder and pause active sequence.</w:t>
            </w:r>
          </w:p>
        </w:tc>
        <w:tc>
          <w:tcPr>
            <w:tcW w:type="dxa" w:w="2304"/>
            <w:tcMar>
              <w:top w:w="80" w:type="dxa"/>
              <w:start w:w="120" w:type="dxa"/>
              <w:bottom w:w="80" w:type="dxa"/>
              <w:end w:w="120" w:type="dxa"/>
            </w:tcMar>
            <w:vAlign w:val="center"/>
          </w:tcPr>
          <w:p>
            <w:pPr>
              <w:jc w:val="left"/>
            </w:pPr>
            <w:r>
              <w:rPr>
                <w:rFonts w:ascii="Calibri" w:hAnsi="Calibri"/>
                <w:sz w:val="20"/>
              </w:rPr>
              <w:t>Can automate after review</w:t>
            </w:r>
          </w:p>
        </w:tc>
      </w:tr>
      <w:tr>
        <w:trPr>
          <w:cantSplit/>
        </w:trPr>
        <w:tc>
          <w:tcPr>
            <w:tcW w:type="dxa" w:w="2232"/>
            <w:tcMar>
              <w:top w:w="80" w:type="dxa"/>
              <w:start w:w="120" w:type="dxa"/>
              <w:bottom w:w="80" w:type="dxa"/>
              <w:end w:w="120" w:type="dxa"/>
            </w:tcMar>
            <w:vAlign w:val="center"/>
          </w:tcPr>
          <w:p>
            <w:pPr>
              <w:jc w:val="center"/>
            </w:pPr>
            <w:r>
              <w:rPr>
                <w:rFonts w:ascii="Calibri" w:hAnsi="Calibri"/>
                <w:sz w:val="20"/>
              </w:rPr>
              <w:t>Wrong person</w:t>
            </w:r>
          </w:p>
        </w:tc>
        <w:tc>
          <w:tcPr>
            <w:tcW w:type="dxa" w:w="4824"/>
            <w:tcMar>
              <w:top w:w="80" w:type="dxa"/>
              <w:start w:w="120" w:type="dxa"/>
              <w:bottom w:w="80" w:type="dxa"/>
              <w:end w:w="120" w:type="dxa"/>
            </w:tcMar>
            <w:vAlign w:val="center"/>
          </w:tcPr>
          <w:p>
            <w:pPr>
              <w:jc w:val="left"/>
            </w:pPr>
            <w:r>
              <w:rPr>
                <w:rFonts w:ascii="Calibri" w:hAnsi="Calibri"/>
                <w:sz w:val="20"/>
              </w:rPr>
              <w:t>Ask for referral or route to alternate contact research.</w:t>
            </w:r>
          </w:p>
        </w:tc>
        <w:tc>
          <w:tcPr>
            <w:tcW w:type="dxa" w:w="2304"/>
            <w:tcMar>
              <w:top w:w="80" w:type="dxa"/>
              <w:start w:w="120" w:type="dxa"/>
              <w:bottom w:w="80" w:type="dxa"/>
              <w:end w:w="120" w:type="dxa"/>
            </w:tcMar>
            <w:vAlign w:val="center"/>
          </w:tcPr>
          <w:p>
            <w:pPr>
              <w:jc w:val="left"/>
            </w:pPr>
            <w:r>
              <w:rPr>
                <w:rFonts w:ascii="Calibri" w:hAnsi="Calibri"/>
                <w:sz w:val="20"/>
              </w:rPr>
              <w:t>Can automate after review</w:t>
            </w:r>
          </w:p>
        </w:tc>
      </w:tr>
      <w:tr>
        <w:trPr>
          <w:cantSplit/>
        </w:trPr>
        <w:tc>
          <w:tcPr>
            <w:tcW w:type="dxa" w:w="2232"/>
            <w:tcMar>
              <w:top w:w="80" w:type="dxa"/>
              <w:start w:w="120" w:type="dxa"/>
              <w:bottom w:w="80" w:type="dxa"/>
              <w:end w:w="120" w:type="dxa"/>
            </w:tcMar>
            <w:vAlign w:val="center"/>
          </w:tcPr>
          <w:p>
            <w:pPr>
              <w:jc w:val="center"/>
            </w:pPr>
            <w:r>
              <w:rPr>
                <w:rFonts w:ascii="Calibri" w:hAnsi="Calibri"/>
                <w:sz w:val="20"/>
              </w:rPr>
              <w:t>Unsubscribe</w:t>
            </w:r>
          </w:p>
        </w:tc>
        <w:tc>
          <w:tcPr>
            <w:tcW w:type="dxa" w:w="4824"/>
            <w:tcMar>
              <w:top w:w="80" w:type="dxa"/>
              <w:start w:w="120" w:type="dxa"/>
              <w:bottom w:w="80" w:type="dxa"/>
              <w:end w:w="120" w:type="dxa"/>
            </w:tcMar>
            <w:vAlign w:val="center"/>
          </w:tcPr>
          <w:p>
            <w:pPr>
              <w:jc w:val="left"/>
            </w:pPr>
            <w:r>
              <w:rPr>
                <w:rFonts w:ascii="Calibri" w:hAnsi="Calibri"/>
                <w:sz w:val="20"/>
              </w:rPr>
              <w:t>Suppress immediately and confirm only if required by workflow.</w:t>
            </w:r>
          </w:p>
        </w:tc>
        <w:tc>
          <w:tcPr>
            <w:tcW w:type="dxa" w:w="2304"/>
            <w:tcMar>
              <w:top w:w="80" w:type="dxa"/>
              <w:start w:w="120" w:type="dxa"/>
              <w:bottom w:w="80" w:type="dxa"/>
              <w:end w:w="120" w:type="dxa"/>
            </w:tcMar>
            <w:vAlign w:val="center"/>
          </w:tcPr>
          <w:p>
            <w:pPr>
              <w:jc w:val="left"/>
            </w:pPr>
            <w:r>
              <w:rPr>
                <w:rFonts w:ascii="Calibri" w:hAnsi="Calibri"/>
                <w:sz w:val="20"/>
              </w:rPr>
              <w:t>Automate suppression</w:t>
            </w:r>
          </w:p>
        </w:tc>
      </w:tr>
      <w:tr>
        <w:trPr>
          <w:cantSplit/>
        </w:trPr>
        <w:tc>
          <w:tcPr>
            <w:tcW w:type="dxa" w:w="2232"/>
            <w:tcMar>
              <w:top w:w="80" w:type="dxa"/>
              <w:start w:w="120" w:type="dxa"/>
              <w:bottom w:w="80" w:type="dxa"/>
              <w:end w:w="120" w:type="dxa"/>
            </w:tcMar>
            <w:vAlign w:val="center"/>
          </w:tcPr>
          <w:p>
            <w:pPr>
              <w:jc w:val="left"/>
            </w:pPr>
            <w:r>
              <w:rPr>
                <w:rFonts w:ascii="Calibri" w:hAnsi="Calibri"/>
                <w:sz w:val="20"/>
              </w:rPr>
              <w:t>Angry/spam complaint</w:t>
            </w:r>
          </w:p>
        </w:tc>
        <w:tc>
          <w:tcPr>
            <w:tcW w:type="dxa" w:w="4824"/>
            <w:tcMar>
              <w:top w:w="80" w:type="dxa"/>
              <w:start w:w="120" w:type="dxa"/>
              <w:bottom w:w="80" w:type="dxa"/>
              <w:end w:w="120" w:type="dxa"/>
            </w:tcMar>
            <w:vAlign w:val="center"/>
          </w:tcPr>
          <w:p>
            <w:pPr>
              <w:jc w:val="left"/>
            </w:pPr>
            <w:r>
              <w:rPr>
                <w:rFonts w:ascii="Calibri" w:hAnsi="Calibri"/>
                <w:sz w:val="20"/>
              </w:rPr>
              <w:t>Suppress, flag domain risk, and stop further contact.</w:t>
            </w:r>
          </w:p>
        </w:tc>
        <w:tc>
          <w:tcPr>
            <w:tcW w:type="dxa" w:w="2304"/>
            <w:tcMar>
              <w:top w:w="80" w:type="dxa"/>
              <w:start w:w="120" w:type="dxa"/>
              <w:bottom w:w="80" w:type="dxa"/>
              <w:end w:w="120" w:type="dxa"/>
            </w:tcMar>
            <w:vAlign w:val="center"/>
          </w:tcPr>
          <w:p>
            <w:pPr>
              <w:jc w:val="left"/>
            </w:pPr>
            <w:r>
              <w:rPr>
                <w:rFonts w:ascii="Calibri" w:hAnsi="Calibri"/>
                <w:sz w:val="20"/>
              </w:rPr>
              <w:t>Automate suppression and alert</w:t>
            </w:r>
          </w:p>
        </w:tc>
      </w:tr>
    </w:tbl>
    <w:p>
      <w:pPr>
        <w:spacing w:after="120"/>
      </w:pPr>
    </w:p>
    <w:p>
      <w:pPr>
        <w:pStyle w:val="Heading1"/>
      </w:pPr>
      <w:r>
        <w:rPr>
          <w:rFonts w:ascii="Calibri" w:hAnsi="Calibri"/>
          <w:b/>
          <w:color w:val="2E74B5"/>
          <w:sz w:val="32"/>
        </w:rPr>
        <w:t>Metrics That Matter</w:t>
      </w:r>
    </w:p>
    <w:tbl>
      <w:tblPr>
        <w:tblStyle w:val="TableGrid"/>
        <w:tblW w:type="dxa" w:w="9359"/>
        <w:tblLayout w:type="fixed"/>
        <w:tblLook w:firstColumn="1" w:firstRow="1" w:lastColumn="0" w:lastRow="0" w:noHBand="0" w:noVBand="1" w:val="04A0"/>
        <w:tblInd w:w="120" w:type="dxa"/>
      </w:tblPr>
      <w:tblGrid>
        <w:gridCol w:w="2448"/>
        <w:gridCol w:w="3240"/>
        <w:gridCol w:w="3671"/>
      </w:tblGrid>
      <w:tr>
        <w:trPr>
          <w:tblHeader w:val="true"/>
          <w:cantSplit/>
        </w:trPr>
        <w:tc>
          <w:tcPr>
            <w:tcW w:type="dxa" w:w="2448"/>
            <w:tcMar>
              <w:top w:w="80" w:type="dxa"/>
              <w:start w:w="120" w:type="dxa"/>
              <w:bottom w:w="80" w:type="dxa"/>
              <w:end w:w="120" w:type="dxa"/>
            </w:tcMar>
            <w:vAlign w:val="center"/>
            <w:shd w:fill="F2F4F7"/>
          </w:tcPr>
          <w:p>
            <w:pPr>
              <w:jc w:val="center"/>
            </w:pPr>
            <w:r>
              <w:rPr>
                <w:rFonts w:ascii="Calibri" w:hAnsi="Calibri"/>
                <w:b/>
                <w:color w:val="202020"/>
              </w:rPr>
              <w:t>Metric</w:t>
            </w:r>
          </w:p>
        </w:tc>
        <w:tc>
          <w:tcPr>
            <w:tcW w:type="dxa" w:w="3240"/>
            <w:tcMar>
              <w:top w:w="80" w:type="dxa"/>
              <w:start w:w="120" w:type="dxa"/>
              <w:bottom w:w="80" w:type="dxa"/>
              <w:end w:w="120" w:type="dxa"/>
            </w:tcMar>
            <w:vAlign w:val="center"/>
            <w:shd w:fill="F2F4F7"/>
          </w:tcPr>
          <w:p>
            <w:pPr>
              <w:jc w:val="center"/>
            </w:pPr>
            <w:r>
              <w:rPr>
                <w:rFonts w:ascii="Calibri" w:hAnsi="Calibri"/>
                <w:b/>
                <w:color w:val="202020"/>
              </w:rPr>
              <w:t>Target Use</w:t>
            </w:r>
          </w:p>
        </w:tc>
        <w:tc>
          <w:tcPr>
            <w:tcW w:type="dxa" w:w="3672"/>
            <w:tcMar>
              <w:top w:w="80" w:type="dxa"/>
              <w:start w:w="120" w:type="dxa"/>
              <w:bottom w:w="80" w:type="dxa"/>
              <w:end w:w="120" w:type="dxa"/>
            </w:tcMar>
            <w:vAlign w:val="center"/>
            <w:shd w:fill="F2F4F7"/>
          </w:tcPr>
          <w:p>
            <w:pPr>
              <w:jc w:val="center"/>
            </w:pPr>
            <w:r>
              <w:rPr>
                <w:rFonts w:ascii="Calibri" w:hAnsi="Calibri"/>
                <w:b/>
                <w:color w:val="202020"/>
              </w:rPr>
              <w:t>Decision It Should Drive</w:t>
            </w:r>
          </w:p>
        </w:tc>
      </w:tr>
      <w:tr>
        <w:trPr>
          <w:cantSplit/>
        </w:trPr>
        <w:tc>
          <w:tcPr>
            <w:tcW w:type="dxa" w:w="2448"/>
            <w:tcMar>
              <w:top w:w="80" w:type="dxa"/>
              <w:start w:w="120" w:type="dxa"/>
              <w:bottom w:w="80" w:type="dxa"/>
              <w:end w:w="120" w:type="dxa"/>
            </w:tcMar>
            <w:vAlign w:val="center"/>
          </w:tcPr>
          <w:p>
            <w:pPr>
              <w:jc w:val="left"/>
            </w:pPr>
            <w:r>
              <w:rPr>
                <w:rFonts w:ascii="Calibri" w:hAnsi="Calibri"/>
                <w:sz w:val="20"/>
              </w:rPr>
              <w:t>Qualified leads imported</w:t>
            </w:r>
          </w:p>
        </w:tc>
        <w:tc>
          <w:tcPr>
            <w:tcW w:type="dxa" w:w="3240"/>
            <w:tcMar>
              <w:top w:w="80" w:type="dxa"/>
              <w:start w:w="120" w:type="dxa"/>
              <w:bottom w:w="80" w:type="dxa"/>
              <w:end w:w="120" w:type="dxa"/>
            </w:tcMar>
            <w:vAlign w:val="center"/>
          </w:tcPr>
          <w:p>
            <w:pPr>
              <w:jc w:val="left"/>
            </w:pPr>
            <w:r>
              <w:rPr>
                <w:rFonts w:ascii="Calibri" w:hAnsi="Calibri"/>
                <w:sz w:val="20"/>
              </w:rPr>
              <w:t>Volume of usable input.</w:t>
            </w:r>
          </w:p>
        </w:tc>
        <w:tc>
          <w:tcPr>
            <w:tcW w:type="dxa" w:w="3672"/>
            <w:tcMar>
              <w:top w:w="80" w:type="dxa"/>
              <w:start w:w="120" w:type="dxa"/>
              <w:bottom w:w="80" w:type="dxa"/>
              <w:end w:w="120" w:type="dxa"/>
            </w:tcMar>
            <w:vAlign w:val="center"/>
          </w:tcPr>
          <w:p>
            <w:pPr>
              <w:jc w:val="left"/>
            </w:pPr>
            <w:r>
              <w:rPr>
                <w:rFonts w:ascii="Calibri" w:hAnsi="Calibri"/>
                <w:sz w:val="20"/>
              </w:rPr>
              <w:t>Whether sourcing is sufficient.</w:t>
            </w:r>
          </w:p>
        </w:tc>
      </w:tr>
      <w:tr>
        <w:trPr>
          <w:cantSplit/>
        </w:trPr>
        <w:tc>
          <w:tcPr>
            <w:tcW w:type="dxa" w:w="2448"/>
            <w:tcMar>
              <w:top w:w="80" w:type="dxa"/>
              <w:start w:w="120" w:type="dxa"/>
              <w:bottom w:w="80" w:type="dxa"/>
              <w:end w:w="120" w:type="dxa"/>
            </w:tcMar>
            <w:vAlign w:val="center"/>
          </w:tcPr>
          <w:p>
            <w:pPr>
              <w:jc w:val="left"/>
            </w:pPr>
            <w:r>
              <w:rPr>
                <w:rFonts w:ascii="Calibri" w:hAnsi="Calibri"/>
                <w:sz w:val="20"/>
              </w:rPr>
              <w:t>Good-fit percentage</w:t>
            </w:r>
          </w:p>
        </w:tc>
        <w:tc>
          <w:tcPr>
            <w:tcW w:type="dxa" w:w="3240"/>
            <w:tcMar>
              <w:top w:w="80" w:type="dxa"/>
              <w:start w:w="120" w:type="dxa"/>
              <w:bottom w:w="80" w:type="dxa"/>
              <w:end w:w="120" w:type="dxa"/>
            </w:tcMar>
            <w:vAlign w:val="center"/>
          </w:tcPr>
          <w:p>
            <w:pPr>
              <w:jc w:val="left"/>
            </w:pPr>
            <w:r>
              <w:rPr>
                <w:rFonts w:ascii="Calibri" w:hAnsi="Calibri"/>
                <w:sz w:val="20"/>
              </w:rPr>
              <w:t>Quality of prospecting.</w:t>
            </w:r>
          </w:p>
        </w:tc>
        <w:tc>
          <w:tcPr>
            <w:tcW w:type="dxa" w:w="3672"/>
            <w:tcMar>
              <w:top w:w="80" w:type="dxa"/>
              <w:start w:w="120" w:type="dxa"/>
              <w:bottom w:w="80" w:type="dxa"/>
              <w:end w:w="120" w:type="dxa"/>
            </w:tcMar>
            <w:vAlign w:val="center"/>
          </w:tcPr>
          <w:p>
            <w:pPr>
              <w:jc w:val="left"/>
            </w:pPr>
            <w:r>
              <w:rPr>
                <w:rFonts w:ascii="Calibri" w:hAnsi="Calibri"/>
                <w:sz w:val="20"/>
              </w:rPr>
              <w:t>Whether the niche/source needs tightening.</w:t>
            </w:r>
          </w:p>
        </w:tc>
      </w:tr>
      <w:tr>
        <w:trPr>
          <w:cantSplit/>
        </w:trPr>
        <w:tc>
          <w:tcPr>
            <w:tcW w:type="dxa" w:w="2448"/>
            <w:tcMar>
              <w:top w:w="80" w:type="dxa"/>
              <w:start w:w="120" w:type="dxa"/>
              <w:bottom w:w="80" w:type="dxa"/>
              <w:end w:w="120" w:type="dxa"/>
            </w:tcMar>
            <w:vAlign w:val="center"/>
          </w:tcPr>
          <w:p>
            <w:pPr>
              <w:jc w:val="left"/>
            </w:pPr>
            <w:r>
              <w:rPr>
                <w:rFonts w:ascii="Calibri" w:hAnsi="Calibri"/>
                <w:sz w:val="20"/>
              </w:rPr>
              <w:t>Positive reply rate</w:t>
            </w:r>
          </w:p>
        </w:tc>
        <w:tc>
          <w:tcPr>
            <w:tcW w:type="dxa" w:w="3240"/>
            <w:tcMar>
              <w:top w:w="80" w:type="dxa"/>
              <w:start w:w="120" w:type="dxa"/>
              <w:bottom w:w="80" w:type="dxa"/>
              <w:end w:w="120" w:type="dxa"/>
            </w:tcMar>
            <w:vAlign w:val="center"/>
          </w:tcPr>
          <w:p>
            <w:pPr>
              <w:jc w:val="left"/>
            </w:pPr>
            <w:r>
              <w:rPr>
                <w:rFonts w:ascii="Calibri" w:hAnsi="Calibri"/>
                <w:sz w:val="20"/>
              </w:rPr>
              <w:t>Message-market fit.</w:t>
            </w:r>
          </w:p>
        </w:tc>
        <w:tc>
          <w:tcPr>
            <w:tcW w:type="dxa" w:w="3672"/>
            <w:tcMar>
              <w:top w:w="80" w:type="dxa"/>
              <w:start w:w="120" w:type="dxa"/>
              <w:bottom w:w="80" w:type="dxa"/>
              <w:end w:w="120" w:type="dxa"/>
            </w:tcMar>
            <w:vAlign w:val="center"/>
          </w:tcPr>
          <w:p>
            <w:pPr>
              <w:jc w:val="left"/>
            </w:pPr>
            <w:r>
              <w:rPr>
                <w:rFonts w:ascii="Calibri" w:hAnsi="Calibri"/>
                <w:sz w:val="20"/>
              </w:rPr>
              <w:t>Which segments and angles deserve more testing.</w:t>
            </w:r>
          </w:p>
        </w:tc>
      </w:tr>
      <w:tr>
        <w:trPr>
          <w:cantSplit/>
        </w:trPr>
        <w:tc>
          <w:tcPr>
            <w:tcW w:type="dxa" w:w="2448"/>
            <w:tcMar>
              <w:top w:w="80" w:type="dxa"/>
              <w:start w:w="120" w:type="dxa"/>
              <w:bottom w:w="80" w:type="dxa"/>
              <w:end w:w="120" w:type="dxa"/>
            </w:tcMar>
            <w:vAlign w:val="center"/>
          </w:tcPr>
          <w:p>
            <w:pPr>
              <w:jc w:val="center"/>
            </w:pPr>
            <w:r>
              <w:rPr>
                <w:rFonts w:ascii="Calibri" w:hAnsi="Calibri"/>
                <w:sz w:val="20"/>
              </w:rPr>
              <w:t>Meetings booked</w:t>
            </w:r>
          </w:p>
        </w:tc>
        <w:tc>
          <w:tcPr>
            <w:tcW w:type="dxa" w:w="3240"/>
            <w:tcMar>
              <w:top w:w="80" w:type="dxa"/>
              <w:start w:w="120" w:type="dxa"/>
              <w:bottom w:w="80" w:type="dxa"/>
              <w:end w:w="120" w:type="dxa"/>
            </w:tcMar>
            <w:vAlign w:val="center"/>
          </w:tcPr>
          <w:p>
            <w:pPr>
              <w:jc w:val="center"/>
            </w:pPr>
            <w:r>
              <w:rPr>
                <w:rFonts w:ascii="Calibri" w:hAnsi="Calibri"/>
                <w:sz w:val="20"/>
              </w:rPr>
              <w:t>Pipeline creation.</w:t>
            </w:r>
          </w:p>
        </w:tc>
        <w:tc>
          <w:tcPr>
            <w:tcW w:type="dxa" w:w="3672"/>
            <w:tcMar>
              <w:top w:w="80" w:type="dxa"/>
              <w:start w:w="120" w:type="dxa"/>
              <w:bottom w:w="80" w:type="dxa"/>
              <w:end w:w="120" w:type="dxa"/>
            </w:tcMar>
            <w:vAlign w:val="center"/>
          </w:tcPr>
          <w:p>
            <w:pPr>
              <w:jc w:val="left"/>
            </w:pPr>
            <w:r>
              <w:rPr>
                <w:rFonts w:ascii="Calibri" w:hAnsi="Calibri"/>
                <w:sz w:val="20"/>
              </w:rPr>
              <w:t>Whether outreach is creating real opportunities.</w:t>
            </w:r>
          </w:p>
        </w:tc>
      </w:tr>
      <w:tr>
        <w:trPr>
          <w:cantSplit/>
        </w:trPr>
        <w:tc>
          <w:tcPr>
            <w:tcW w:type="dxa" w:w="2448"/>
            <w:tcMar>
              <w:top w:w="80" w:type="dxa"/>
              <w:start w:w="120" w:type="dxa"/>
              <w:bottom w:w="80" w:type="dxa"/>
              <w:end w:w="120" w:type="dxa"/>
            </w:tcMar>
            <w:vAlign w:val="center"/>
          </w:tcPr>
          <w:p>
            <w:pPr>
              <w:jc w:val="center"/>
            </w:pPr>
            <w:r>
              <w:rPr>
                <w:rFonts w:ascii="Calibri" w:hAnsi="Calibri"/>
                <w:sz w:val="20"/>
              </w:rPr>
              <w:t>Opportunity value</w:t>
            </w:r>
          </w:p>
        </w:tc>
        <w:tc>
          <w:tcPr>
            <w:tcW w:type="dxa" w:w="3240"/>
            <w:tcMar>
              <w:top w:w="80" w:type="dxa"/>
              <w:start w:w="120" w:type="dxa"/>
              <w:bottom w:w="80" w:type="dxa"/>
              <w:end w:w="120" w:type="dxa"/>
            </w:tcMar>
            <w:vAlign w:val="center"/>
          </w:tcPr>
          <w:p>
            <w:pPr>
              <w:jc w:val="center"/>
            </w:pPr>
            <w:r>
              <w:rPr>
                <w:rFonts w:ascii="Calibri" w:hAnsi="Calibri"/>
                <w:sz w:val="20"/>
              </w:rPr>
              <w:t>Business outcome.</w:t>
            </w:r>
          </w:p>
        </w:tc>
        <w:tc>
          <w:tcPr>
            <w:tcW w:type="dxa" w:w="3672"/>
            <w:tcMar>
              <w:top w:w="80" w:type="dxa"/>
              <w:start w:w="120" w:type="dxa"/>
              <w:bottom w:w="80" w:type="dxa"/>
              <w:end w:w="120" w:type="dxa"/>
            </w:tcMar>
            <w:vAlign w:val="center"/>
          </w:tcPr>
          <w:p>
            <w:pPr>
              <w:jc w:val="left"/>
            </w:pPr>
            <w:r>
              <w:rPr>
                <w:rFonts w:ascii="Calibri" w:hAnsi="Calibri"/>
                <w:sz w:val="20"/>
              </w:rPr>
              <w:t>Whether the system is worth scaling.</w:t>
            </w:r>
          </w:p>
        </w:tc>
      </w:tr>
      <w:tr>
        <w:trPr>
          <w:cantSplit/>
        </w:trPr>
        <w:tc>
          <w:tcPr>
            <w:tcW w:type="dxa" w:w="2448"/>
            <w:tcMar>
              <w:top w:w="80" w:type="dxa"/>
              <w:start w:w="120" w:type="dxa"/>
              <w:bottom w:w="80" w:type="dxa"/>
              <w:end w:w="120" w:type="dxa"/>
            </w:tcMar>
            <w:vAlign w:val="center"/>
          </w:tcPr>
          <w:p>
            <w:pPr>
              <w:jc w:val="center"/>
            </w:pPr>
            <w:r>
              <w:rPr>
                <w:rFonts w:ascii="Calibri" w:hAnsi="Calibri"/>
                <w:sz w:val="20"/>
              </w:rPr>
              <w:t>Bounce rate</w:t>
            </w:r>
          </w:p>
        </w:tc>
        <w:tc>
          <w:tcPr>
            <w:tcW w:type="dxa" w:w="3240"/>
            <w:tcMar>
              <w:top w:w="80" w:type="dxa"/>
              <w:start w:w="120" w:type="dxa"/>
              <w:bottom w:w="80" w:type="dxa"/>
              <w:end w:w="120" w:type="dxa"/>
            </w:tcMar>
            <w:vAlign w:val="center"/>
          </w:tcPr>
          <w:p>
            <w:pPr>
              <w:jc w:val="left"/>
            </w:pPr>
            <w:r>
              <w:rPr>
                <w:rFonts w:ascii="Calibri" w:hAnsi="Calibri"/>
                <w:sz w:val="20"/>
              </w:rPr>
              <w:t>Data quality and reputation risk.</w:t>
            </w:r>
          </w:p>
        </w:tc>
        <w:tc>
          <w:tcPr>
            <w:tcW w:type="dxa" w:w="3672"/>
            <w:tcMar>
              <w:top w:w="80" w:type="dxa"/>
              <w:start w:w="120" w:type="dxa"/>
              <w:bottom w:w="80" w:type="dxa"/>
              <w:end w:w="120" w:type="dxa"/>
            </w:tcMar>
            <w:vAlign w:val="center"/>
          </w:tcPr>
          <w:p>
            <w:pPr>
              <w:jc w:val="left"/>
            </w:pPr>
            <w:r>
              <w:rPr>
                <w:rFonts w:ascii="Calibri" w:hAnsi="Calibri"/>
                <w:sz w:val="20"/>
              </w:rPr>
              <w:t>Whether to pause a source or verifier.</w:t>
            </w:r>
          </w:p>
        </w:tc>
      </w:tr>
      <w:tr>
        <w:trPr>
          <w:cantSplit/>
        </w:trPr>
        <w:tc>
          <w:tcPr>
            <w:tcW w:type="dxa" w:w="2448"/>
            <w:tcMar>
              <w:top w:w="80" w:type="dxa"/>
              <w:start w:w="120" w:type="dxa"/>
              <w:bottom w:w="80" w:type="dxa"/>
              <w:end w:w="120" w:type="dxa"/>
            </w:tcMar>
            <w:vAlign w:val="center"/>
          </w:tcPr>
          <w:p>
            <w:pPr>
              <w:jc w:val="left"/>
            </w:pPr>
            <w:r>
              <w:rPr>
                <w:rFonts w:ascii="Calibri" w:hAnsi="Calibri"/>
                <w:sz w:val="20"/>
              </w:rPr>
              <w:t>Unsubscribe/complaint rate</w:t>
            </w:r>
          </w:p>
        </w:tc>
        <w:tc>
          <w:tcPr>
            <w:tcW w:type="dxa" w:w="3240"/>
            <w:tcMar>
              <w:top w:w="80" w:type="dxa"/>
              <w:start w:w="120" w:type="dxa"/>
              <w:bottom w:w="80" w:type="dxa"/>
              <w:end w:w="120" w:type="dxa"/>
            </w:tcMar>
            <w:vAlign w:val="center"/>
          </w:tcPr>
          <w:p>
            <w:pPr>
              <w:jc w:val="left"/>
            </w:pPr>
            <w:r>
              <w:rPr>
                <w:rFonts w:ascii="Calibri" w:hAnsi="Calibri"/>
                <w:sz w:val="20"/>
              </w:rPr>
              <w:t>Market irritation and compliance risk.</w:t>
            </w:r>
          </w:p>
        </w:tc>
        <w:tc>
          <w:tcPr>
            <w:tcW w:type="dxa" w:w="3672"/>
            <w:tcMar>
              <w:top w:w="80" w:type="dxa"/>
              <w:start w:w="120" w:type="dxa"/>
              <w:bottom w:w="80" w:type="dxa"/>
              <w:end w:w="120" w:type="dxa"/>
            </w:tcMar>
            <w:vAlign w:val="center"/>
          </w:tcPr>
          <w:p>
            <w:pPr>
              <w:jc w:val="left"/>
            </w:pPr>
            <w:r>
              <w:rPr>
                <w:rFonts w:ascii="Calibri" w:hAnsi="Calibri"/>
                <w:sz w:val="20"/>
              </w:rPr>
              <w:t>Whether to pause copy, source, or domain.</w:t>
            </w:r>
          </w:p>
        </w:tc>
      </w:tr>
      <w:tr>
        <w:trPr>
          <w:cantSplit/>
        </w:trPr>
        <w:tc>
          <w:tcPr>
            <w:tcW w:type="dxa" w:w="2448"/>
            <w:tcMar>
              <w:top w:w="80" w:type="dxa"/>
              <w:start w:w="120" w:type="dxa"/>
              <w:bottom w:w="80" w:type="dxa"/>
              <w:end w:w="120" w:type="dxa"/>
            </w:tcMar>
            <w:vAlign w:val="center"/>
          </w:tcPr>
          <w:p>
            <w:pPr>
              <w:jc w:val="left"/>
            </w:pPr>
            <w:r>
              <w:rPr>
                <w:rFonts w:ascii="Calibri" w:hAnsi="Calibri"/>
                <w:sz w:val="20"/>
              </w:rPr>
              <w:t>Time saved per campaign</w:t>
            </w:r>
          </w:p>
        </w:tc>
        <w:tc>
          <w:tcPr>
            <w:tcW w:type="dxa" w:w="3240"/>
            <w:tcMar>
              <w:top w:w="80" w:type="dxa"/>
              <w:start w:w="120" w:type="dxa"/>
              <w:bottom w:w="80" w:type="dxa"/>
              <w:end w:w="120" w:type="dxa"/>
            </w:tcMar>
            <w:vAlign w:val="center"/>
          </w:tcPr>
          <w:p>
            <w:pPr>
              <w:jc w:val="left"/>
            </w:pPr>
            <w:r>
              <w:rPr>
                <w:rFonts w:ascii="Calibri" w:hAnsi="Calibri"/>
                <w:sz w:val="20"/>
              </w:rPr>
              <w:t>Operational leverage.</w:t>
            </w:r>
          </w:p>
        </w:tc>
        <w:tc>
          <w:tcPr>
            <w:tcW w:type="dxa" w:w="3672"/>
            <w:tcMar>
              <w:top w:w="80" w:type="dxa"/>
              <w:start w:w="120" w:type="dxa"/>
              <w:bottom w:w="80" w:type="dxa"/>
              <w:end w:w="120" w:type="dxa"/>
            </w:tcMar>
            <w:vAlign w:val="center"/>
          </w:tcPr>
          <w:p>
            <w:pPr>
              <w:jc w:val="left"/>
            </w:pPr>
            <w:r>
              <w:rPr>
                <w:rFonts w:ascii="Calibri" w:hAnsi="Calibri"/>
                <w:sz w:val="20"/>
              </w:rPr>
              <w:t>Whether automation is actually helping.</w:t>
            </w:r>
          </w:p>
        </w:tc>
      </w:tr>
    </w:tbl>
    <w:p>
      <w:pPr>
        <w:spacing w:after="120"/>
      </w:pPr>
    </w:p>
    <w:p>
      <w:pPr>
        <w:pStyle w:val="Heading1"/>
      </w:pPr>
      <w:r>
        <w:rPr>
          <w:rFonts w:ascii="Calibri" w:hAnsi="Calibri"/>
          <w:b/>
          <w:color w:val="2E74B5"/>
          <w:sz w:val="32"/>
        </w:rPr>
        <w:t>Productization Path</w:t>
      </w:r>
    </w:p>
    <w:p>
      <w:r>
        <w:rPr>
          <w:rFonts w:ascii="Calibri" w:hAnsi="Calibri"/>
        </w:rPr>
        <w:t>Do not make the system public until it has produced a usable internal proof package. The public offer should be based on the narrowest repeatable win, not the broadest possible feature set.</w:t>
      </w:r>
    </w:p>
    <w:p>
      <w:pPr>
        <w:pStyle w:val="ListBullet"/>
      </w:pPr>
      <w:r>
        <w:rPr>
          <w:rFonts w:ascii="Calibri" w:hAnsi="Calibri"/>
        </w:rPr>
        <w:t>Productize the proprietary layer first: lead scoring rules, niche playbooks, reply triage, campaign learning, and reporting tied to meetings.</w:t>
      </w:r>
    </w:p>
    <w:p>
      <w:pPr>
        <w:pStyle w:val="ListBullet"/>
      </w:pPr>
      <w:r>
        <w:rPr>
          <w:rFonts w:ascii="Calibri" w:hAnsi="Calibri"/>
        </w:rPr>
        <w:t>Keep sending infrastructure external until there is a compelling reason to own deliverability, bounce processing, and reputation systems.</w:t>
      </w:r>
    </w:p>
    <w:p>
      <w:pPr>
        <w:pStyle w:val="ListBullet"/>
      </w:pPr>
      <w:r>
        <w:rPr>
          <w:rFonts w:ascii="Calibri" w:hAnsi="Calibri"/>
        </w:rPr>
        <w:t>Package the first public version as a guided beta or managed software service if users need onboarding to see results.</w:t>
      </w:r>
    </w:p>
    <w:p>
      <w:pPr>
        <w:pStyle w:val="ListBullet"/>
      </w:pPr>
      <w:r>
        <w:rPr>
          <w:rFonts w:ascii="Calibri" w:hAnsi="Calibri"/>
        </w:rPr>
        <w:t>Add SaaS features only when repeated manual onboarding reveals stable product requirements: accounts, roles, workspaces, billing, templates, integrations, and usage limits.</w:t>
      </w:r>
    </w:p>
    <w:p>
      <w:pPr>
        <w:pStyle w:val="Heading1"/>
      </w:pPr>
      <w:r>
        <w:rPr>
          <w:rFonts w:ascii="Calibri" w:hAnsi="Calibri"/>
          <w:b/>
          <w:color w:val="2E74B5"/>
          <w:sz w:val="32"/>
        </w:rPr>
        <w:t>Appendix A: Example Data Model</w:t>
      </w:r>
    </w:p>
    <w:tbl>
      <w:tblPr>
        <w:tblStyle w:val="TableGrid"/>
        <w:tblW w:type="dxa" w:w="9359"/>
        <w:tblLayout w:type="fixed"/>
        <w:tblLook w:firstColumn="1" w:firstRow="1" w:lastColumn="0" w:lastRow="0" w:noHBand="0" w:noVBand="1" w:val="04A0"/>
        <w:tblInd w:w="120" w:type="dxa"/>
      </w:tblPr>
      <w:tblGrid>
        <w:gridCol w:w="2376"/>
        <w:gridCol w:w="6983"/>
      </w:tblGrid>
      <w:tr>
        <w:trPr>
          <w:tblHeader w:val="true"/>
          <w:cantSplit/>
        </w:trPr>
        <w:tc>
          <w:tcPr>
            <w:tcW w:type="dxa" w:w="2376"/>
            <w:tcMar>
              <w:top w:w="80" w:type="dxa"/>
              <w:start w:w="120" w:type="dxa"/>
              <w:bottom w:w="80" w:type="dxa"/>
              <w:end w:w="120" w:type="dxa"/>
            </w:tcMar>
            <w:vAlign w:val="center"/>
            <w:shd w:fill="F2F4F7"/>
          </w:tcPr>
          <w:p>
            <w:pPr>
              <w:jc w:val="center"/>
            </w:pPr>
            <w:r>
              <w:rPr>
                <w:rFonts w:ascii="Calibri" w:hAnsi="Calibri"/>
                <w:b/>
                <w:color w:val="202020"/>
              </w:rPr>
              <w:t>Entity</w:t>
            </w:r>
          </w:p>
        </w:tc>
        <w:tc>
          <w:tcPr>
            <w:tcW w:type="dxa" w:w="6984"/>
            <w:tcMar>
              <w:top w:w="80" w:type="dxa"/>
              <w:start w:w="120" w:type="dxa"/>
              <w:bottom w:w="80" w:type="dxa"/>
              <w:end w:w="120" w:type="dxa"/>
            </w:tcMar>
            <w:vAlign w:val="center"/>
            <w:shd w:fill="F2F4F7"/>
          </w:tcPr>
          <w:p>
            <w:pPr>
              <w:jc w:val="center"/>
            </w:pPr>
            <w:r>
              <w:rPr>
                <w:rFonts w:ascii="Calibri" w:hAnsi="Calibri"/>
                <w:b/>
                <w:color w:val="202020"/>
              </w:rPr>
              <w:t>Representative Fields</w:t>
            </w:r>
          </w:p>
        </w:tc>
      </w:tr>
      <w:tr>
        <w:trPr>
          <w:cantSplit/>
        </w:trPr>
        <w:tc>
          <w:tcPr>
            <w:tcW w:type="dxa" w:w="2376"/>
            <w:tcMar>
              <w:top w:w="80" w:type="dxa"/>
              <w:start w:w="120" w:type="dxa"/>
              <w:bottom w:w="80" w:type="dxa"/>
              <w:end w:w="120" w:type="dxa"/>
            </w:tcMar>
            <w:vAlign w:val="center"/>
          </w:tcPr>
          <w:p>
            <w:pPr>
              <w:jc w:val="center"/>
            </w:pPr>
            <w:r>
              <w:rPr>
                <w:rFonts w:ascii="Calibri" w:hAnsi="Calibri"/>
                <w:sz w:val="20"/>
              </w:rPr>
              <w:t>Company</w:t>
            </w:r>
          </w:p>
        </w:tc>
        <w:tc>
          <w:tcPr>
            <w:tcW w:type="dxa" w:w="6984"/>
            <w:tcMar>
              <w:top w:w="80" w:type="dxa"/>
              <w:start w:w="120" w:type="dxa"/>
              <w:bottom w:w="80" w:type="dxa"/>
              <w:end w:w="120" w:type="dxa"/>
            </w:tcMar>
            <w:vAlign w:val="center"/>
          </w:tcPr>
          <w:p>
            <w:pPr>
              <w:jc w:val="left"/>
            </w:pPr>
            <w:r>
              <w:rPr>
                <w:rFonts w:ascii="Calibri" w:hAnsi="Calibri"/>
                <w:sz w:val="20"/>
              </w:rPr>
              <w:t>name, website, industry, size, location, source, fit_score, notes</w:t>
            </w:r>
          </w:p>
        </w:tc>
      </w:tr>
      <w:tr>
        <w:trPr>
          <w:cantSplit/>
        </w:trPr>
        <w:tc>
          <w:tcPr>
            <w:tcW w:type="dxa" w:w="2376"/>
            <w:tcMar>
              <w:top w:w="80" w:type="dxa"/>
              <w:start w:w="120" w:type="dxa"/>
              <w:bottom w:w="80" w:type="dxa"/>
              <w:end w:w="120" w:type="dxa"/>
            </w:tcMar>
            <w:vAlign w:val="center"/>
          </w:tcPr>
          <w:p>
            <w:pPr>
              <w:jc w:val="center"/>
            </w:pPr>
            <w:r>
              <w:rPr>
                <w:rFonts w:ascii="Calibri" w:hAnsi="Calibri"/>
                <w:sz w:val="20"/>
              </w:rPr>
              <w:t>Contact</w:t>
            </w:r>
          </w:p>
        </w:tc>
        <w:tc>
          <w:tcPr>
            <w:tcW w:type="dxa" w:w="6984"/>
            <w:tcMar>
              <w:top w:w="80" w:type="dxa"/>
              <w:start w:w="120" w:type="dxa"/>
              <w:bottom w:w="80" w:type="dxa"/>
              <w:end w:w="120" w:type="dxa"/>
            </w:tcMar>
            <w:vAlign w:val="center"/>
          </w:tcPr>
          <w:p>
            <w:pPr>
              <w:jc w:val="left"/>
            </w:pPr>
            <w:r>
              <w:rPr>
                <w:rFonts w:ascii="Calibri" w:hAnsi="Calibri"/>
                <w:sz w:val="20"/>
              </w:rPr>
              <w:t>name, title, email, LinkedIn URL, company_id, verification_status, suppression_status</w:t>
            </w:r>
          </w:p>
        </w:tc>
      </w:tr>
      <w:tr>
        <w:trPr>
          <w:cantSplit/>
        </w:trPr>
        <w:tc>
          <w:tcPr>
            <w:tcW w:type="dxa" w:w="2376"/>
            <w:tcMar>
              <w:top w:w="80" w:type="dxa"/>
              <w:start w:w="120" w:type="dxa"/>
              <w:bottom w:w="80" w:type="dxa"/>
              <w:end w:w="120" w:type="dxa"/>
            </w:tcMar>
            <w:vAlign w:val="center"/>
          </w:tcPr>
          <w:p>
            <w:pPr>
              <w:jc w:val="center"/>
            </w:pPr>
            <w:r>
              <w:rPr>
                <w:rFonts w:ascii="Calibri" w:hAnsi="Calibri"/>
                <w:sz w:val="20"/>
              </w:rPr>
              <w:t>Campaign</w:t>
            </w:r>
          </w:p>
        </w:tc>
        <w:tc>
          <w:tcPr>
            <w:tcW w:type="dxa" w:w="6984"/>
            <w:tcMar>
              <w:top w:w="80" w:type="dxa"/>
              <w:start w:w="120" w:type="dxa"/>
              <w:bottom w:w="80" w:type="dxa"/>
              <w:end w:w="120" w:type="dxa"/>
            </w:tcMar>
            <w:vAlign w:val="center"/>
          </w:tcPr>
          <w:p>
            <w:pPr>
              <w:jc w:val="left"/>
            </w:pPr>
            <w:r>
              <w:rPr>
                <w:rFonts w:ascii="Calibri" w:hAnsi="Calibri"/>
                <w:sz w:val="20"/>
              </w:rPr>
              <w:t>name, segment, offer_angle, sequence_steps, approval_status, sender_pool</w:t>
            </w:r>
          </w:p>
        </w:tc>
      </w:tr>
      <w:tr>
        <w:trPr>
          <w:cantSplit/>
        </w:trPr>
        <w:tc>
          <w:tcPr>
            <w:tcW w:type="dxa" w:w="2376"/>
            <w:tcMar>
              <w:top w:w="80" w:type="dxa"/>
              <w:start w:w="120" w:type="dxa"/>
              <w:bottom w:w="80" w:type="dxa"/>
              <w:end w:w="120" w:type="dxa"/>
            </w:tcMar>
            <w:vAlign w:val="center"/>
          </w:tcPr>
          <w:p>
            <w:pPr>
              <w:jc w:val="center"/>
            </w:pPr>
            <w:r>
              <w:rPr>
                <w:rFonts w:ascii="Calibri" w:hAnsi="Calibri"/>
                <w:sz w:val="20"/>
              </w:rPr>
              <w:t>Message</w:t>
            </w:r>
          </w:p>
        </w:tc>
        <w:tc>
          <w:tcPr>
            <w:tcW w:type="dxa" w:w="6984"/>
            <w:tcMar>
              <w:top w:w="80" w:type="dxa"/>
              <w:start w:w="120" w:type="dxa"/>
              <w:bottom w:w="80" w:type="dxa"/>
              <w:end w:w="120" w:type="dxa"/>
            </w:tcMar>
            <w:vAlign w:val="center"/>
          </w:tcPr>
          <w:p>
            <w:pPr>
              <w:jc w:val="left"/>
            </w:pPr>
            <w:r>
              <w:rPr>
                <w:rFonts w:ascii="Calibri" w:hAnsi="Calibri"/>
                <w:sz w:val="20"/>
              </w:rPr>
              <w:t>contact_id, campaign_id, step_number, subject, body, personalization_inputs, sent_at</w:t>
            </w:r>
          </w:p>
        </w:tc>
      </w:tr>
      <w:tr>
        <w:trPr>
          <w:cantSplit/>
        </w:trPr>
        <w:tc>
          <w:tcPr>
            <w:tcW w:type="dxa" w:w="2376"/>
            <w:tcMar>
              <w:top w:w="80" w:type="dxa"/>
              <w:start w:w="120" w:type="dxa"/>
              <w:bottom w:w="80" w:type="dxa"/>
              <w:end w:w="120" w:type="dxa"/>
            </w:tcMar>
            <w:vAlign w:val="center"/>
          </w:tcPr>
          <w:p>
            <w:pPr>
              <w:jc w:val="center"/>
            </w:pPr>
            <w:r>
              <w:rPr>
                <w:rFonts w:ascii="Calibri" w:hAnsi="Calibri"/>
                <w:sz w:val="20"/>
              </w:rPr>
              <w:t>Reply</w:t>
            </w:r>
          </w:p>
        </w:tc>
        <w:tc>
          <w:tcPr>
            <w:tcW w:type="dxa" w:w="6984"/>
            <w:tcMar>
              <w:top w:w="80" w:type="dxa"/>
              <w:start w:w="120" w:type="dxa"/>
              <w:bottom w:w="80" w:type="dxa"/>
              <w:end w:w="120" w:type="dxa"/>
            </w:tcMar>
            <w:vAlign w:val="center"/>
          </w:tcPr>
          <w:p>
            <w:pPr>
              <w:jc w:val="left"/>
            </w:pPr>
            <w:r>
              <w:rPr>
                <w:rFonts w:ascii="Calibri" w:hAnsi="Calibri"/>
                <w:sz w:val="20"/>
              </w:rPr>
              <w:t>message_id, raw_text, category, sentiment, suggested_response, human_decision</w:t>
            </w:r>
          </w:p>
        </w:tc>
      </w:tr>
      <w:tr>
        <w:trPr>
          <w:cantSplit/>
        </w:trPr>
        <w:tc>
          <w:tcPr>
            <w:tcW w:type="dxa" w:w="2376"/>
            <w:tcMar>
              <w:top w:w="80" w:type="dxa"/>
              <w:start w:w="120" w:type="dxa"/>
              <w:bottom w:w="80" w:type="dxa"/>
              <w:end w:w="120" w:type="dxa"/>
            </w:tcMar>
            <w:vAlign w:val="center"/>
          </w:tcPr>
          <w:p>
            <w:pPr>
              <w:jc w:val="center"/>
            </w:pPr>
            <w:r>
              <w:rPr>
                <w:rFonts w:ascii="Calibri" w:hAnsi="Calibri"/>
                <w:sz w:val="20"/>
              </w:rPr>
              <w:t>Metric snapshot</w:t>
            </w:r>
          </w:p>
        </w:tc>
        <w:tc>
          <w:tcPr>
            <w:tcW w:type="dxa" w:w="6984"/>
            <w:tcMar>
              <w:top w:w="80" w:type="dxa"/>
              <w:start w:w="120" w:type="dxa"/>
              <w:bottom w:w="80" w:type="dxa"/>
              <w:end w:w="120" w:type="dxa"/>
            </w:tcMar>
            <w:vAlign w:val="center"/>
          </w:tcPr>
          <w:p>
            <w:pPr>
              <w:jc w:val="left"/>
            </w:pPr>
            <w:r>
              <w:rPr>
                <w:rFonts w:ascii="Calibri" w:hAnsi="Calibri"/>
                <w:sz w:val="20"/>
              </w:rPr>
              <w:t>date, campaign_id, sent, replies, positives, meetings, bounces, unsubscribes, complaints</w:t>
            </w:r>
          </w:p>
        </w:tc>
      </w:tr>
    </w:tbl>
    <w:p>
      <w:pPr>
        <w:spacing w:after="120"/>
      </w:pPr>
    </w:p>
    <w:p>
      <w:pPr>
        <w:pStyle w:val="Heading1"/>
      </w:pPr>
      <w:r>
        <w:rPr>
          <w:rFonts w:ascii="Calibri" w:hAnsi="Calibri"/>
          <w:b/>
          <w:color w:val="2E74B5"/>
          <w:sz w:val="32"/>
        </w:rPr>
        <w:t>Appendix B: Core Automations</w:t>
      </w:r>
    </w:p>
    <w:p>
      <w:pPr>
        <w:pStyle w:val="ListBullet"/>
      </w:pPr>
      <w:r>
        <w:rPr>
          <w:rFonts w:ascii="Calibri" w:hAnsi="Calibri"/>
        </w:rPr>
        <w:t>CSV import cleanup: deduplicate by domain/email, normalize company names, and mark missing critical fields.</w:t>
      </w:r>
    </w:p>
    <w:p>
      <w:pPr>
        <w:pStyle w:val="ListBullet"/>
      </w:pPr>
      <w:r>
        <w:rPr>
          <w:rFonts w:ascii="Calibri" w:hAnsi="Calibri"/>
        </w:rPr>
        <w:t>Lead enrichment: collect website, industry, size, title, and likely pain-point signals.</w:t>
      </w:r>
    </w:p>
    <w:p>
      <w:pPr>
        <w:pStyle w:val="ListBullet"/>
      </w:pPr>
      <w:r>
        <w:rPr>
          <w:rFonts w:ascii="Calibri" w:hAnsi="Calibri"/>
        </w:rPr>
        <w:t>Fit scoring: classify as good fit, maybe, bad fit, or needs review with visible reasons.</w:t>
      </w:r>
    </w:p>
    <w:p>
      <w:pPr>
        <w:pStyle w:val="ListBullet"/>
      </w:pPr>
      <w:r>
        <w:rPr>
          <w:rFonts w:ascii="Calibri" w:hAnsi="Calibri"/>
        </w:rPr>
        <w:t>Campaign draft generation: produce sequence drafts from segment, offer, proof, and tone rules.</w:t>
      </w:r>
    </w:p>
    <w:p>
      <w:pPr>
        <w:pStyle w:val="ListBullet"/>
      </w:pPr>
      <w:r>
        <w:rPr>
          <w:rFonts w:ascii="Calibri" w:hAnsi="Calibri"/>
        </w:rPr>
        <w:t>Reply webhook: classify incoming replies and create the right task, suppression action, or draft response.</w:t>
      </w:r>
    </w:p>
    <w:p>
      <w:pPr>
        <w:pStyle w:val="ListBullet"/>
      </w:pPr>
      <w:r>
        <w:rPr>
          <w:rFonts w:ascii="Calibri" w:hAnsi="Calibri"/>
        </w:rPr>
        <w:t>Weekly report: summarize campaigns, meetings, domain health, lessons, and next tests.</w:t>
      </w:r>
    </w:p>
    <w:p>
      <w:pPr>
        <w:pStyle w:val="Heading1"/>
      </w:pPr>
      <w:r>
        <w:rPr>
          <w:rFonts w:ascii="Calibri" w:hAnsi="Calibri"/>
          <w:b/>
          <w:color w:val="2E74B5"/>
          <w:sz w:val="32"/>
        </w:rPr>
        <w:t>Appendix C: Source Links</w:t>
      </w:r>
    </w:p>
    <w:p>
      <w:pPr>
        <w:pStyle w:val="ListBullet"/>
      </w:pPr>
      <w:r>
        <w:rPr>
          <w:rFonts w:ascii="Calibri" w:hAnsi="Calibri"/>
        </w:rPr>
        <w:t>FTC CAN-SPAM Act compliance guide: https://www.ftc.gov/business-guidance/resources/can-spam-act-compliance-guide-business</w:t>
      </w:r>
    </w:p>
    <w:p>
      <w:pPr>
        <w:pStyle w:val="ListBullet"/>
      </w:pPr>
      <w:r>
        <w:rPr>
          <w:rFonts w:ascii="Calibri" w:hAnsi="Calibri"/>
        </w:rPr>
        <w:t>Google/Gmail email sender guidelines: https://support.google.com/mail/answer/81126</w:t>
      </w:r>
    </w:p>
    <w:p>
      <w:pPr>
        <w:pStyle w:val="ListBullet"/>
      </w:pPr>
      <w:r>
        <w:rPr>
          <w:rFonts w:ascii="Calibri" w:hAnsi="Calibri"/>
        </w:rPr>
        <w:t>Yahoo Sender Hub best practices: https://senders.yahooinc.com/best-practices/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8"/>
      </w:rPr>
      <w:t>Private Outbound Sales Engine Strategy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