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6000"/>
        <w:gridCol w:w="4296"/>
      </w:tblGrid>
      <w:tr>
        <w:tc>
          <w:tcPr>
            <w:tcW w:type="dxa" w:w="6000"/>
            <w:tcBorders>
              <w:top w:val="none" w:color="FFFFFF" w:sz="0"/>
              <w:left w:val="none" w:color="FFFFFF" w:sz="0"/>
              <w:bottom w:val="none" w:color="FFFFFF" w:sz="0"/>
              <w:right w:val="none" w:color="FFFFFF" w:sz="0"/>
            </w:tcBorders>
            <w:shd w:fill="1A3060" w:color="auto" w:val="clear"/>
            <w:tcMar>
              <w:top w:type="dxa" w:w="120"/>
              <w:left w:type="dxa" w:w="200"/>
              <w:bottom w:type="dxa" w:w="120"/>
              <w:right w:type="dxa" w:w="100"/>
            </w:tcMar>
          </w:tcPr>
          <w:p>
            <w:r>
              <w:rPr>
                <w:b/>
                <w:bCs/>
                <w:color w:val="FFFFFF"/>
                <w:sz w:val="26"/>
                <w:szCs w:val="26"/>
              </w:rPr>
              <w:t xml:space="preserve">RENTAL911</w:t>
            </w:r>
            <w:r>
              <w:rPr>
                <w:color w:val="C0C8D8"/>
                <w:sz w:val="21"/>
                <w:szCs w:val="21"/>
              </w:rPr>
              <w:t xml:space="preserve">  |  Remote Investor Partner Program</w:t>
            </w:r>
          </w:p>
        </w:tc>
        <w:tc>
          <w:tcPr>
            <w:tcW w:type="dxa" w:w="4296"/>
            <w:tcBorders>
              <w:top w:val="none" w:color="FFFFFF" w:sz="0"/>
              <w:left w:val="none" w:color="FFFFFF" w:sz="0"/>
              <w:bottom w:val="none" w:color="FFFFFF" w:sz="0"/>
              <w:right w:val="none" w:color="FFFFFF" w:sz="0"/>
            </w:tcBorders>
            <w:shd w:fill="1A3060" w:color="auto" w:val="clear"/>
            <w:tcMar>
              <w:top w:type="dxa" w:w="120"/>
              <w:left w:type="dxa" w:w="100"/>
              <w:bottom w:type="dxa" w:w="120"/>
              <w:right w:type="dxa" w:w="200"/>
            </w:tcMar>
            <w:vAlign w:val="center"/>
          </w:tcPr>
          <w:p>
            <w:pPr>
              <w:jc w:val="right"/>
            </w:pPr>
            <w:r>
              <w:rPr>
                <w:b/>
                <w:bCs/>
                <w:color w:val="C99A2A"/>
                <w:sz w:val="21"/>
                <w:szCs w:val="21"/>
              </w:rPr>
              <w:t xml:space="preserve">rental911.net</w:t>
            </w:r>
          </w:p>
        </w:tc>
      </w:tr>
    </w:tbl>
    <w:p>
      <w:pPr>
        <w:spacing w:after="0" w:before="20"/>
      </w:pPr>
      <w:r>
        <w:t xml:space="preserve"/>
      </w:r>
    </w:p>
    <w:p>
      <w:pPr>
        <w:pBdr>
          <w:bottom w:val="single" w:color="C99A2A" w:sz="8" w:space="1"/>
        </w:pBdr>
        <w:spacing w:after="100" w:before="100"/>
      </w:pPr>
      <w:r>
        <w:t xml:space="preserve"/>
      </w:r>
    </w:p>
    <w:p>
      <w:pPr>
        <w:spacing w:after="40" w:before="120"/>
        <w:jc w:val="center"/>
      </w:pPr>
      <w:r>
        <w:rPr>
          <w:b/>
          <w:bCs/>
          <w:color w:val="1A3060"/>
          <w:sz w:val="36"/>
          <w:szCs w:val="36"/>
        </w:rPr>
        <w:t xml:space="preserve">REMOTE INVESTOR PARTNER AGREEMENT</w:t>
      </w:r>
    </w:p>
    <w:p>
      <w:pPr>
        <w:spacing w:after="80" w:before="20"/>
        <w:jc w:val="center"/>
      </w:pPr>
      <w:r>
        <w:rPr>
          <w:color w:val="666666"/>
          <w:sz w:val="24"/>
          <w:szCs w:val="24"/>
        </w:rPr>
        <w:t xml:space="preserve">Portfolio Management Coordination Services</w:t>
      </w:r>
    </w:p>
    <w:p>
      <w:pPr>
        <w:pBdr>
          <w:bottom w:val="single" w:color="C99A2A" w:sz="8" w:space="1"/>
        </w:pBdr>
        <w:spacing w:after="100" w:before="100"/>
      </w:pPr>
      <w:r>
        <w:t xml:space="preserve"/>
      </w:r>
    </w:p>
    <w:p>
      <w:pPr>
        <w:spacing w:after="40" w:before="80"/>
      </w:pPr>
      <w:r>
        <w:t xml:space="preserve"/>
      </w:r>
    </w:p>
    <w:p>
      <w:pPr>
        <w:spacing w:after="80" w:before="0"/>
      </w:pPr>
      <w:r>
        <w:rPr>
          <w:color w:val="1A1A1A"/>
          <w:sz w:val="22"/>
          <w:szCs w:val="22"/>
        </w:rPr>
        <w:t xml:space="preserve">This Remote Investor Partner Agreement (</w:t>
      </w:r>
      <w:r>
        <w:rPr>
          <w:b/>
          <w:bCs/>
          <w:color w:val="1A1A1A"/>
          <w:sz w:val="22"/>
          <w:szCs w:val="22"/>
        </w:rPr>
        <w:t xml:space="preserve">"Agreement"</w:t>
      </w:r>
      <w:r>
        <w:rPr>
          <w:color w:val="1A1A1A"/>
          <w:sz w:val="22"/>
          <w:szCs w:val="22"/>
        </w:rPr>
        <w:t xml:space="preserve">) is entered into as of the date last signed below, by and between:</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48"/>
        <w:gridCol w:w="5148"/>
      </w:tblGrid>
      <w:tr>
        <w:tc>
          <w:tcPr>
            <w:tcW w:type="dxa" w:w="5148"/>
            <w:tcBorders>
              <w:top w:val="none" w:color="FFFFFF" w:sz="0"/>
              <w:left w:val="none" w:color="FFFFFF" w:sz="0"/>
              <w:bottom w:val="none" w:color="FFFFFF" w:sz="0"/>
              <w:right w:val="none" w:color="FFFFFF" w:sz="0"/>
            </w:tcBorders>
            <w:shd w:fill="EEF3FA" w:color="auto" w:val="clear"/>
            <w:tcMar>
              <w:top w:type="dxa" w:w="160"/>
              <w:left w:type="dxa" w:w="240"/>
              <w:bottom w:type="dxa" w:w="160"/>
              <w:right w:type="dxa" w:w="240"/>
            </w:tcMar>
          </w:tcPr>
          <w:p>
            <w:pPr>
              <w:spacing w:after="60" w:before="0"/>
            </w:pPr>
            <w:r>
              <w:rPr>
                <w:b/>
                <w:bCs/>
                <w:color w:val="1F5B8C"/>
                <w:sz w:val="20"/>
                <w:szCs w:val="20"/>
              </w:rPr>
              <w:t xml:space="preserve">SERVICE PROVIDER</w:t>
            </w:r>
          </w:p>
          <w:p>
            <w:pPr>
              <w:spacing w:after="40" w:before="0"/>
            </w:pPr>
            <w:r>
              <w:rPr>
                <w:b/>
                <w:bCs/>
                <w:color w:val="1A1A1A"/>
                <w:sz w:val="22"/>
                <w:szCs w:val="22"/>
              </w:rPr>
              <w:t xml:space="preserve">Christine Pollard</w:t>
            </w:r>
          </w:p>
          <w:p>
            <w:pPr>
              <w:spacing w:after="40" w:before="0"/>
            </w:pPr>
            <w:r>
              <w:rPr>
                <w:color w:val="666666"/>
                <w:sz w:val="21"/>
                <w:szCs w:val="21"/>
              </w:rPr>
              <w:t xml:space="preserve">d/b/a Rental911</w:t>
            </w:r>
          </w:p>
          <w:p>
            <w:pPr>
              <w:spacing w:after="0" w:before="0"/>
            </w:pPr>
            <w:r>
              <w:rPr>
                <w:color w:val="666666"/>
                <w:sz w:val="21"/>
                <w:szCs w:val="21"/>
              </w:rPr>
              <w:t xml:space="preserve">Maryland  |  rental911.net</w:t>
            </w:r>
          </w:p>
        </w:tc>
        <w:tc>
          <w:tcPr>
            <w:tcW w:type="dxa" w:w="5148"/>
            <w:tcBorders>
              <w:top w:val="none" w:color="FFFFFF" w:sz="0"/>
              <w:left w:val="none" w:color="FFFFFF" w:sz="0"/>
              <w:bottom w:val="none" w:color="FFFFFF" w:sz="0"/>
              <w:right w:val="none" w:color="FFFFFF" w:sz="0"/>
            </w:tcBorders>
            <w:shd w:fill="EEF3FA" w:color="auto" w:val="clear"/>
            <w:tcMar>
              <w:top w:type="dxa" w:w="160"/>
              <w:left w:type="dxa" w:w="240"/>
              <w:bottom w:type="dxa" w:w="160"/>
              <w:right w:type="dxa" w:w="240"/>
            </w:tcMar>
          </w:tcPr>
          <w:p>
            <w:pPr>
              <w:spacing w:after="60" w:before="0"/>
            </w:pPr>
            <w:r>
              <w:rPr>
                <w:b/>
                <w:bCs/>
                <w:color w:val="1F5B8C"/>
                <w:sz w:val="20"/>
                <w:szCs w:val="20"/>
              </w:rPr>
              <w:t xml:space="preserve">CLIENT</w:t>
            </w:r>
          </w:p>
          <w:p>
            <w:pPr>
              <w:spacing w:after="40" w:before="0"/>
            </w:pPr>
            <w:r>
              <w:rPr>
                <w:b/>
                <w:bCs/>
                <w:color w:val="1A1A1A"/>
                <w:sz w:val="22"/>
                <w:szCs w:val="22"/>
              </w:rPr>
              <w:t xml:space="preserve">[CLIENT NAME]</w:t>
            </w:r>
          </w:p>
          <w:p>
            <w:pPr>
              <w:spacing w:after="0" w:before="0"/>
            </w:pPr>
            <w:r>
              <w:rPr>
                <w:color w:val="666666"/>
                <w:sz w:val="21"/>
                <w:szCs w:val="21"/>
              </w:rPr>
              <w:t xml:space="preserve">Portfolio Owner / Investor</w:t>
            </w:r>
          </w:p>
        </w:tc>
      </w:tr>
    </w:tbl>
    <w:p>
      <w:pPr>
        <w:spacing w:after="40" w:before="80"/>
      </w:pPr>
      <w:r>
        <w:t xml:space="preserve"/>
      </w:r>
    </w:p>
    <w:p>
      <w:pPr>
        <w:spacing w:after="80" w:before="40"/>
      </w:pPr>
      <w:r>
        <w:rPr>
          <w:color w:val="1A1A1A"/>
          <w:sz w:val="22"/>
          <w:szCs w:val="22"/>
        </w:rPr>
        <w:t xml:space="preserve">Together referred to as the </w:t>
      </w:r>
      <w:r>
        <w:rPr>
          <w:b/>
          <w:bCs/>
          <w:color w:val="1A1A1A"/>
          <w:sz w:val="22"/>
          <w:szCs w:val="22"/>
        </w:rPr>
        <w:t xml:space="preserve">"Parties."</w:t>
      </w:r>
    </w:p>
    <w:p>
      <w:pPr>
        <w:spacing w:after="40" w:before="80"/>
      </w:pPr>
      <w:r>
        <w:t xml:space="preserve"/>
      </w:r>
    </w:p>
    <w:p>
      <w:pPr>
        <w:spacing w:after="80" w:before="40"/>
      </w:pPr>
      <w:r>
        <w:rPr>
          <w:b/>
          <w:bCs/>
          <w:color w:val="1F5B8C"/>
          <w:sz w:val="22"/>
          <w:szCs w:val="22"/>
        </w:rPr>
        <w:t xml:space="preserve">RENTAL PROPERTY INFORMATION</w:t>
      </w:r>
    </w:p>
    <w:p>
      <w:pPr>
        <w:spacing w:after="60" w:before="60"/>
      </w:pPr>
      <w:r>
        <w:rPr>
          <w:b/>
          <w:bCs/>
          <w:color w:val="1A1A1A"/>
          <w:sz w:val="22"/>
          <w:szCs w:val="22"/>
        </w:rPr>
        <w:t xml:space="preserve">Primary Property Address: </w:t>
      </w:r>
      <w:r>
        <w:rPr>
          <w:color w:val="1A1A1A"/>
          <w:sz w:val="22"/>
          <w:szCs w:val="22"/>
        </w:rPr>
        <w:t xml:space="preserve">__________________________________________</w:t>
      </w:r>
    </w:p>
    <w:p>
      <w:pPr>
        <w:spacing w:after="60" w:before="60"/>
      </w:pPr>
      <w:r>
        <w:rPr>
          <w:b/>
          <w:bCs/>
          <w:color w:val="1A1A1A"/>
          <w:sz w:val="22"/>
          <w:szCs w:val="22"/>
        </w:rPr>
        <w:t xml:space="preserve">County: </w:t>
      </w:r>
      <w:r>
        <w:rPr>
          <w:color w:val="1A1A1A"/>
          <w:sz w:val="22"/>
          <w:szCs w:val="22"/>
        </w:rPr>
        <w:t xml:space="preserve">_______________________</w:t>
      </w:r>
      <w:r>
        <w:rPr>
          <w:b/>
          <w:bCs/>
          <w:color w:val="1A1A1A"/>
          <w:sz w:val="22"/>
          <w:szCs w:val="22"/>
        </w:rPr>
        <w:t xml:space="preserve">      Number of Units: </w:t>
      </w:r>
      <w:r>
        <w:rPr>
          <w:color w:val="1A1A1A"/>
          <w:sz w:val="22"/>
          <w:szCs w:val="22"/>
        </w:rPr>
        <w:t xml:space="preserve">__________</w:t>
      </w:r>
    </w:p>
    <w:p>
      <w:pPr>
        <w:spacing w:after="60" w:before="60"/>
      </w:pPr>
      <w:r>
        <w:rPr>
          <w:b/>
          <w:bCs/>
          <w:color w:val="1A1A1A"/>
          <w:sz w:val="22"/>
          <w:szCs w:val="22"/>
        </w:rPr>
        <w:t xml:space="preserve">Property Type:  </w:t>
      </w:r>
      <w:r>
        <w:rPr>
          <w:color w:val="1A1A1A"/>
          <w:sz w:val="22"/>
          <w:szCs w:val="22"/>
        </w:rPr>
        <w:t xml:space="preserve">☐ Single-Family Home   </w:t>
      </w:r>
      <w:r>
        <w:rPr>
          <w:color w:val="1A1A1A"/>
          <w:sz w:val="22"/>
          <w:szCs w:val="22"/>
        </w:rPr>
        <w:t xml:space="preserve">☐ Townhome   </w:t>
      </w:r>
      <w:r>
        <w:rPr>
          <w:color w:val="1A1A1A"/>
          <w:sz w:val="22"/>
          <w:szCs w:val="22"/>
        </w:rPr>
        <w:t xml:space="preserve">☐ Condo   </w:t>
      </w:r>
      <w:r>
        <w:rPr>
          <w:color w:val="1A1A1A"/>
          <w:sz w:val="22"/>
          <w:szCs w:val="22"/>
        </w:rPr>
        <w:t xml:space="preserve">☐ Multi-Unit   </w:t>
      </w:r>
      <w:r>
        <w:rPr>
          <w:color w:val="1A1A1A"/>
          <w:sz w:val="22"/>
          <w:szCs w:val="22"/>
        </w:rPr>
        <w:t xml:space="preserve">☐ Rented Rooms   </w:t>
      </w:r>
      <w:r>
        <w:rPr>
          <w:color w:val="1A1A1A"/>
          <w:sz w:val="22"/>
          <w:szCs w:val="22"/>
        </w:rPr>
        <w:t xml:space="preserve">☐ Other: __________</w:t>
      </w:r>
    </w:p>
    <w:p>
      <w:pPr>
        <w:spacing w:after="80" w:before="50"/>
      </w:pPr>
      <w:r>
        <w:rPr>
          <w:b/>
          <w:bCs/>
          <w:i/>
          <w:iCs/>
          <w:color w:val="666666"/>
          <w:sz w:val="20"/>
          <w:szCs w:val="20"/>
        </w:rPr>
        <w:t xml:space="preserve">Note: </w:t>
      </w:r>
      <w:r>
        <w:rPr>
          <w:i/>
          <w:iCs/>
          <w:color w:val="666666"/>
          <w:sz w:val="20"/>
          <w:szCs w:val="20"/>
        </w:rPr>
        <w:t xml:space="preserve">Portfolio investors: please list all portfolio properties in your onboarding survey.</w:t>
      </w:r>
    </w:p>
    <w:p>
      <w:pPr>
        <w:pBdr>
          <w:bottom w:val="single" w:color="CCCCCC" w:sz="2" w:space="1"/>
        </w:pBdr>
        <w:spacing w:after="80" w:before="80"/>
      </w:pPr>
      <w:r>
        <w:t xml:space="preserve"/>
      </w:r>
    </w:p>
    <w:p>
      <w:pPr>
        <w:pBdr>
          <w:bottom w:val="single" w:color="CCCCCC" w:sz="2" w:space="1"/>
        </w:pBdr>
        <w:spacing w:after="80" w:before="80"/>
      </w:pPr>
      <w:r>
        <w:t xml:space="preserve"/>
      </w:r>
    </w:p>
    <w:p>
      <w:pPr>
        <w:spacing w:after="80" w:before="200"/>
      </w:pPr>
      <w:r>
        <w:rPr>
          <w:b/>
          <w:bCs/>
          <w:color w:val="1F5B8C"/>
          <w:sz w:val="23"/>
          <w:szCs w:val="23"/>
        </w:rPr>
        <w:t xml:space="preserve">1.  SERVICES</w:t>
      </w:r>
    </w:p>
    <w:p>
      <w:pPr>
        <w:spacing w:after="60" w:before="60"/>
      </w:pPr>
      <w:r>
        <w:rPr>
          <w:color w:val="1A1A1A"/>
          <w:sz w:val="22"/>
          <w:szCs w:val="22"/>
        </w:rPr>
        <w:t xml:space="preserve">Upon execution and receipt of the Onboarding Fee, Rental911 will provide the following Remote Portfolio Management Coordination Services for the Client's residential rental portfolio:</w:t>
      </w:r>
    </w:p>
    <w:p>
      <w:pPr>
        <w:spacing w:after="50" w:before="50"/>
        <w:ind w:left="360"/>
      </w:pPr>
      <w:r>
        <w:rPr>
          <w:color w:val="1A1A1A"/>
          <w:sz w:val="22"/>
          <w:szCs w:val="22"/>
        </w:rPr>
        <w:t xml:space="preserve">•  Serve as the Client's designated point of coordination for tenant communications and concerns</w:t>
      </w:r>
    </w:p>
    <w:p>
      <w:pPr>
        <w:spacing w:after="50" w:before="50"/>
        <w:ind w:left="360"/>
      </w:pPr>
      <w:r>
        <w:rPr>
          <w:color w:val="1A1A1A"/>
          <w:sz w:val="22"/>
          <w:szCs w:val="22"/>
        </w:rPr>
        <w:t xml:space="preserve">•  Monitor lease compliance and flag issues requiring owner attention</w:t>
      </w:r>
    </w:p>
    <w:p>
      <w:pPr>
        <w:spacing w:after="50" w:before="50"/>
        <w:ind w:left="360"/>
      </w:pPr>
      <w:r>
        <w:rPr>
          <w:color w:val="1A1A1A"/>
          <w:sz w:val="22"/>
          <w:szCs w:val="22"/>
        </w:rPr>
        <w:t xml:space="preserve">•  Coordinate maintenance and repair requests with approved vendors</w:t>
      </w:r>
    </w:p>
    <w:p>
      <w:pPr>
        <w:spacing w:after="50" w:before="50"/>
        <w:ind w:left="360"/>
      </w:pPr>
      <w:r>
        <w:rPr>
          <w:color w:val="1A1A1A"/>
          <w:sz w:val="22"/>
          <w:szCs w:val="22"/>
        </w:rPr>
        <w:t xml:space="preserve">•  Oversee rent collection and payment tracking through the agreed-upon platform</w:t>
      </w:r>
    </w:p>
    <w:p>
      <w:pPr>
        <w:spacing w:after="50" w:before="50"/>
        <w:ind w:left="360"/>
      </w:pPr>
      <w:r>
        <w:rPr>
          <w:color w:val="1A1A1A"/>
          <w:sz w:val="22"/>
          <w:szCs w:val="22"/>
        </w:rPr>
        <w:t xml:space="preserve">•  Provide periodic owner reports and portfolio check-ins</w:t>
      </w:r>
    </w:p>
    <w:p>
      <w:pPr>
        <w:spacing w:after="50" w:before="50"/>
        <w:ind w:left="360"/>
      </w:pPr>
      <w:r>
        <w:rPr>
          <w:color w:val="1A1A1A"/>
          <w:sz w:val="22"/>
          <w:szCs w:val="22"/>
        </w:rPr>
        <w:t xml:space="preserve">•  Provide guidance on Maryland landlord-tenant law and local rental compliance</w:t>
      </w:r>
    </w:p>
    <w:p>
      <w:pPr>
        <w:spacing w:after="50" w:before="50"/>
        <w:ind w:left="360"/>
      </w:pPr>
      <w:r>
        <w:rPr>
          <w:color w:val="1A1A1A"/>
          <w:sz w:val="22"/>
          <w:szCs w:val="22"/>
        </w:rPr>
        <w:t xml:space="preserve">•  Assist with tenant onboarding, lease renewals, and vacancy coordination</w:t>
      </w:r>
    </w:p>
    <w:p>
      <w:pPr>
        <w:spacing w:after="50" w:before="50"/>
        <w:ind w:left="360"/>
      </w:pPr>
      <w:r>
        <w:rPr>
          <w:color w:val="1A1A1A"/>
          <w:sz w:val="22"/>
          <w:szCs w:val="22"/>
        </w:rPr>
        <w:t xml:space="preserve">•  Communicate with tenants, vendors, local agencies, and HOAs on the Client's behalf</w:t>
      </w:r>
    </w:p>
    <w:p>
      <w:pPr>
        <w:spacing w:after="50" w:before="50"/>
        <w:ind w:left="360"/>
      </w:pPr>
      <w:r>
        <w:rPr>
          <w:color w:val="1A1A1A"/>
          <w:sz w:val="22"/>
          <w:szCs w:val="22"/>
        </w:rPr>
        <w:t xml:space="preserve">•  Serve as the Client's first point of contact for all day-to-day operational matters</w:t>
      </w:r>
    </w:p>
    <w:p>
      <w:pPr>
        <w:pBdr>
          <w:bottom w:val="single" w:color="CCCCCC" w:sz="2" w:space="1"/>
        </w:pBdr>
        <w:spacing w:after="80" w:before="80"/>
      </w:pPr>
      <w:r>
        <w:t xml:space="preserve"/>
      </w:r>
    </w:p>
    <w:p>
      <w:pPr>
        <w:spacing w:after="80" w:before="200"/>
      </w:pPr>
      <w:r>
        <w:rPr>
          <w:b/>
          <w:bCs/>
          <w:color w:val="1F5B8C"/>
          <w:sz w:val="23"/>
          <w:szCs w:val="23"/>
        </w:rPr>
        <w:t xml:space="preserve">2.  FEES &amp; PAYMENT</w:t>
      </w:r>
    </w:p>
    <w:p>
      <w:pPr>
        <w:spacing w:after="60" w:before="60"/>
      </w:pPr>
      <w:r>
        <w:rPr>
          <w:color w:val="1A1A1A"/>
          <w:sz w:val="22"/>
          <w:szCs w:val="22"/>
        </w:rPr>
        <w:t xml:space="preserve">The following fee structure applies. The Client selects either the Monthly or Quarterly subscription option at signing. The selected option and applicable total are confirmed in writing at execution.</w:t>
      </w:r>
    </w:p>
    <w:p>
      <w:pPr>
        <w:spacing w:after="40" w:before="8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3800"/>
        <w:gridCol w:w="3100"/>
        <w:gridCol w:w="3396"/>
      </w:tblGrid>
      <w:tr>
        <w:tc>
          <w:tcPr>
            <w:tcBorders>
              <w:top w:val="none" w:color="FFFFFF" w:sz="0"/>
              <w:left w:val="none" w:color="FFFFFF" w:sz="0"/>
              <w:bottom w:val="none" w:color="FFFFFF" w:sz="0"/>
              <w:right w:val="none" w:color="FFFFFF" w:sz="0"/>
            </w:tcBorders>
            <w:shd w:fill="1A3060" w:color="auto" w:val="clear"/>
            <w:tcMar>
              <w:top w:type="dxa" w:w="80"/>
              <w:left w:type="dxa" w:w="160"/>
              <w:bottom w:type="dxa" w:w="80"/>
              <w:right w:type="dxa" w:w="80"/>
            </w:tcMar>
          </w:tcPr>
          <w:p>
            <w:r>
              <w:rPr>
                <w:b/>
                <w:bCs/>
                <w:color w:val="FFFFFF"/>
                <w:sz w:val="21"/>
                <w:szCs w:val="21"/>
              </w:rPr>
              <w:t xml:space="preserve">Fee Item</w:t>
            </w:r>
          </w:p>
        </w:tc>
        <w:tc>
          <w:tcPr>
            <w:tcBorders>
              <w:top w:val="none" w:color="FFFFFF" w:sz="0"/>
              <w:left w:val="none" w:color="FFFFFF" w:sz="0"/>
              <w:bottom w:val="none" w:color="FFFFFF" w:sz="0"/>
              <w:right w:val="none" w:color="FFFFFF" w:sz="0"/>
            </w:tcBorders>
            <w:shd w:fill="1A3060" w:color="auto" w:val="clear"/>
            <w:tcMar>
              <w:top w:type="dxa" w:w="80"/>
              <w:left w:type="dxa" w:w="160"/>
              <w:bottom w:type="dxa" w:w="80"/>
              <w:right w:type="dxa" w:w="80"/>
            </w:tcMar>
          </w:tcPr>
          <w:p>
            <w:r>
              <w:rPr>
                <w:b/>
                <w:bCs/>
                <w:color w:val="FFFFFF"/>
                <w:sz w:val="21"/>
                <w:szCs w:val="21"/>
              </w:rPr>
              <w:t xml:space="preserve">Rate</w:t>
            </w:r>
          </w:p>
        </w:tc>
        <w:tc>
          <w:tcPr>
            <w:tcBorders>
              <w:top w:val="none" w:color="FFFFFF" w:sz="0"/>
              <w:left w:val="none" w:color="FFFFFF" w:sz="0"/>
              <w:bottom w:val="none" w:color="FFFFFF" w:sz="0"/>
              <w:right w:val="none" w:color="FFFFFF" w:sz="0"/>
            </w:tcBorders>
            <w:shd w:fill="1A3060" w:color="auto" w:val="clear"/>
            <w:tcMar>
              <w:top w:type="dxa" w:w="80"/>
              <w:left w:type="dxa" w:w="160"/>
              <w:bottom w:type="dxa" w:w="80"/>
              <w:right w:type="dxa" w:w="80"/>
            </w:tcMar>
          </w:tcPr>
          <w:p>
            <w:r>
              <w:rPr>
                <w:b/>
                <w:bCs/>
                <w:color w:val="FFFFFF"/>
                <w:sz w:val="21"/>
                <w:szCs w:val="21"/>
              </w:rPr>
              <w:t xml:space="preserve">Due</w:t>
            </w:r>
          </w:p>
        </w:tc>
      </w:tr>
      <w:tr>
        <w:tc>
          <w:tcPr>
            <w:tcBorders>
              <w:top w:val="single" w:color="DDDDDD" w:sz="2"/>
              <w:left w:val="none" w:color="FFFFFF" w:sz="0"/>
              <w:bottom w:val="single" w:color="DDDDDD" w:sz="2"/>
              <w:right w:val="none" w:color="FFFFFF" w:sz="0"/>
            </w:tcBorders>
            <w:shd w:fill="FFFFFF" w:color="auto" w:val="clear"/>
            <w:tcMar>
              <w:top w:type="dxa" w:w="60"/>
              <w:left w:type="dxa" w:w="160"/>
              <w:bottom w:type="dxa" w:w="60"/>
              <w:right w:type="dxa" w:w="80"/>
            </w:tcMar>
          </w:tcPr>
          <w:p>
            <w:r>
              <w:rPr>
                <w:b/>
                <w:bCs/>
                <w:color w:val="1A1A1A"/>
                <w:sz w:val="21"/>
                <w:szCs w:val="21"/>
              </w:rPr>
              <w:t xml:space="preserve">Portfolio Onboarding Fee</w:t>
            </w:r>
          </w:p>
          <w:p>
            <w:pPr>
              <w:spacing w:after="0" w:before="20"/>
            </w:pPr>
            <w:r>
              <w:rPr>
                <w:color w:val="666666"/>
                <w:sz w:val="20"/>
                <w:szCs w:val="20"/>
              </w:rPr>
              <w:t xml:space="preserve">One-time activation — non-refundable</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color w:val="1A1A1A"/>
                <w:sz w:val="21"/>
                <w:szCs w:val="21"/>
              </w:rPr>
              <w:t xml:space="preserve">$250.00 per unit</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b/>
                <w:bCs/>
                <w:color w:val="1A1A1A"/>
                <w:sz w:val="21"/>
                <w:szCs w:val="21"/>
              </w:rPr>
              <w:t xml:space="preserve">Upon execution</w:t>
            </w:r>
          </w:p>
        </w:tc>
      </w:tr>
      <w:tr>
        <w:tc>
          <w:tcPr>
            <w:tcBorders>
              <w:top w:val="single" w:color="DDDDDD" w:sz="2"/>
              <w:left w:val="none" w:color="FFFFFF" w:sz="0"/>
              <w:bottom w:val="single" w:color="DDDDDD" w:sz="2"/>
              <w:right w:val="none" w:color="FFFFFF" w:sz="0"/>
            </w:tcBorders>
            <w:shd w:fill="F2F4F6" w:color="auto" w:val="clear"/>
            <w:tcMar>
              <w:top w:type="dxa" w:w="60"/>
              <w:left w:type="dxa" w:w="160"/>
              <w:bottom w:type="dxa" w:w="60"/>
              <w:right w:type="dxa" w:w="80"/>
            </w:tcMar>
          </w:tcPr>
          <w:p>
            <w:r>
              <w:rPr>
                <w:b/>
                <w:bCs/>
                <w:color w:val="1A1A1A"/>
                <w:sz w:val="21"/>
                <w:szCs w:val="21"/>
              </w:rPr>
              <w:t xml:space="preserve">Monthly Subscription Option</w:t>
            </w:r>
          </w:p>
          <w:p>
            <w:pPr>
              <w:spacing w:after="0" w:before="20"/>
            </w:pPr>
            <w:r>
              <w:rPr>
                <w:color w:val="666666"/>
                <w:sz w:val="20"/>
                <w:szCs w:val="20"/>
              </w:rPr>
              <w:t xml:space="preserve">Billed monthly — select at signing</w:t>
            </w:r>
          </w:p>
        </w:tc>
        <w:tc>
          <w:tcPr>
            <w:tcBorders>
              <w:top w:val="single" w:color="DDDDDD" w:sz="2"/>
              <w:left w:val="none" w:color="FFFFFF" w:sz="0"/>
              <w:bottom w:val="single" w:color="DDDDDD" w:sz="2"/>
              <w:right w:val="none" w:color="FFFFFF" w:sz="0"/>
            </w:tcBorders>
            <w:shd w:fill="F2F4F6" w:color="auto" w:val="clear"/>
            <w:tcMar>
              <w:top w:type="dxa" w:w="60"/>
              <w:left w:type="dxa" w:w="80"/>
              <w:bottom w:type="dxa" w:w="60"/>
              <w:right w:type="dxa" w:w="80"/>
            </w:tcMar>
          </w:tcPr>
          <w:p>
            <w:r>
              <w:rPr>
                <w:color w:val="1A1A1A"/>
                <w:sz w:val="21"/>
                <w:szCs w:val="21"/>
              </w:rPr>
              <w:t xml:space="preserve">$95.00 per unit / month</w:t>
            </w:r>
          </w:p>
        </w:tc>
        <w:tc>
          <w:tcPr>
            <w:tcBorders>
              <w:top w:val="single" w:color="DDDDDD" w:sz="2"/>
              <w:left w:val="none" w:color="FFFFFF" w:sz="0"/>
              <w:bottom w:val="single" w:color="DDDDDD" w:sz="2"/>
              <w:right w:val="none" w:color="FFFFFF" w:sz="0"/>
            </w:tcBorders>
            <w:shd w:fill="F2F4F6" w:color="auto" w:val="clear"/>
            <w:tcMar>
              <w:top w:type="dxa" w:w="60"/>
              <w:left w:type="dxa" w:w="80"/>
              <w:bottom w:type="dxa" w:w="60"/>
              <w:right w:type="dxa" w:w="80"/>
            </w:tcMar>
          </w:tcPr>
          <w:p>
            <w:r>
              <w:rPr>
                <w:b/>
                <w:bCs/>
                <w:color w:val="1A1A1A"/>
                <w:sz w:val="21"/>
                <w:szCs w:val="21"/>
              </w:rPr>
              <w:t xml:space="preserve">Monthly, 30 days post-execution</w:t>
            </w:r>
          </w:p>
        </w:tc>
      </w:tr>
      <w:tr>
        <w:tc>
          <w:tcPr>
            <w:tcBorders>
              <w:top w:val="single" w:color="DDDDDD" w:sz="2"/>
              <w:left w:val="none" w:color="FFFFFF" w:sz="0"/>
              <w:bottom w:val="single" w:color="DDDDDD" w:sz="2"/>
              <w:right w:val="none" w:color="FFFFFF" w:sz="0"/>
            </w:tcBorders>
            <w:shd w:fill="FFFFFF" w:color="auto" w:val="clear"/>
            <w:tcMar>
              <w:top w:type="dxa" w:w="60"/>
              <w:left w:type="dxa" w:w="160"/>
              <w:bottom w:type="dxa" w:w="60"/>
              <w:right w:type="dxa" w:w="80"/>
            </w:tcMar>
          </w:tcPr>
          <w:p>
            <w:r>
              <w:rPr>
                <w:b/>
                <w:bCs/>
                <w:color w:val="1A1A1A"/>
                <w:sz w:val="21"/>
                <w:szCs w:val="21"/>
              </w:rPr>
              <w:t xml:space="preserve">Quarterly Subscription Option</w:t>
            </w:r>
          </w:p>
          <w:p>
            <w:pPr>
              <w:spacing w:after="0" w:before="20"/>
            </w:pPr>
            <w:r>
              <w:rPr>
                <w:color w:val="666666"/>
                <w:sz w:val="20"/>
                <w:szCs w:val="20"/>
              </w:rPr>
              <w:t xml:space="preserve">Billed quarterly — select at signing</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color w:val="1A1A1A"/>
                <w:sz w:val="21"/>
                <w:szCs w:val="21"/>
              </w:rPr>
              <w:t xml:space="preserve">$285.00 per unit / quarter</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b/>
                <w:bCs/>
                <w:color w:val="1A1A1A"/>
                <w:sz w:val="21"/>
                <w:szCs w:val="21"/>
              </w:rPr>
              <w:t xml:space="preserve">Quarterly, 30 days post-execution</w:t>
            </w:r>
          </w:p>
        </w:tc>
      </w:tr>
    </w:tbl>
    <w:p>
      <w:pPr>
        <w:spacing w:after="40" w:before="80"/>
      </w:pPr>
      <w:r>
        <w:t xml:space="preserve"/>
      </w:r>
    </w:p>
    <w:p>
      <w:pPr>
        <w:spacing w:after="50" w:before="70"/>
      </w:pPr>
      <w:r>
        <w:rPr>
          <w:b/>
          <w:bCs/>
          <w:color w:val="1A1A1A"/>
          <w:sz w:val="22"/>
          <w:szCs w:val="22"/>
        </w:rPr>
        <w:t xml:space="preserve">Onboarding Fee: </w:t>
      </w:r>
      <w:r>
        <w:rPr>
          <w:color w:val="1A1A1A"/>
          <w:sz w:val="22"/>
          <w:szCs w:val="22"/>
        </w:rPr>
        <w:t xml:space="preserve">Due in full upon execution. Services will not commence until payment is received. This fee is non-refundable.</w:t>
      </w:r>
    </w:p>
    <w:p>
      <w:pPr>
        <w:spacing w:after="50" w:before="70"/>
      </w:pPr>
      <w:r>
        <w:rPr>
          <w:b/>
          <w:bCs/>
          <w:color w:val="1A1A1A"/>
          <w:sz w:val="22"/>
          <w:szCs w:val="22"/>
        </w:rPr>
        <w:t xml:space="preserve">Subscription — Monthly Option: </w:t>
      </w:r>
      <w:r>
        <w:rPr>
          <w:color w:val="1A1A1A"/>
          <w:sz w:val="22"/>
          <w:szCs w:val="22"/>
        </w:rPr>
        <w:t xml:space="preserve">$95.00 per contracted unit, per month. Invoiced monthly commencing 30 days after execution. Due within 7 days of invoice.</w:t>
      </w:r>
    </w:p>
    <w:p>
      <w:pPr>
        <w:spacing w:after="50" w:before="70"/>
      </w:pPr>
      <w:r>
        <w:rPr>
          <w:b/>
          <w:bCs/>
          <w:color w:val="1A1A1A"/>
          <w:sz w:val="22"/>
          <w:szCs w:val="22"/>
        </w:rPr>
        <w:t xml:space="preserve">Subscription — Quarterly Option: </w:t>
      </w:r>
      <w:r>
        <w:rPr>
          <w:color w:val="1A1A1A"/>
          <w:sz w:val="22"/>
          <w:szCs w:val="22"/>
        </w:rPr>
        <w:t xml:space="preserve">$285.00 per contracted unit, per quarter. Invoiced quarterly commencing 30 days after execution. Due within 7 days of invoice.</w:t>
      </w:r>
    </w:p>
    <w:p>
      <w:pPr>
        <w:spacing w:after="50" w:before="70"/>
      </w:pPr>
      <w:r>
        <w:rPr>
          <w:b/>
          <w:bCs/>
          <w:color w:val="1A1A1A"/>
          <w:sz w:val="22"/>
          <w:szCs w:val="22"/>
        </w:rPr>
        <w:t xml:space="preserve">Unit Count: </w:t>
      </w:r>
      <w:r>
        <w:rPr>
          <w:color w:val="1A1A1A"/>
          <w:sz w:val="22"/>
          <w:szCs w:val="22"/>
        </w:rPr>
        <w:t xml:space="preserve">The subscription applies to all contracted units regardless of occupancy. Vacant units remain under active coordination (turnover, marketing, re-screening).</w:t>
      </w:r>
    </w:p>
    <w:p>
      <w:pPr>
        <w:spacing w:after="50" w:before="70"/>
      </w:pPr>
      <w:r>
        <w:rPr>
          <w:b/>
          <w:bCs/>
          <w:color w:val="1A1A1A"/>
          <w:sz w:val="22"/>
          <w:szCs w:val="22"/>
        </w:rPr>
        <w:t xml:space="preserve">Late Payments: </w:t>
      </w:r>
      <w:r>
        <w:rPr>
          <w:color w:val="1A1A1A"/>
          <w:sz w:val="22"/>
          <w:szCs w:val="22"/>
        </w:rPr>
        <w:t xml:space="preserve">Invoices unpaid after 14 days are subject to a 1.5% monthly service charge on the outstanding balance.</w:t>
      </w:r>
    </w:p>
    <w:p>
      <w:pPr>
        <w:spacing w:after="50" w:before="70"/>
      </w:pPr>
      <w:r>
        <w:rPr>
          <w:b/>
          <w:bCs/>
          <w:color w:val="1A1A1A"/>
          <w:sz w:val="22"/>
          <w:szCs w:val="22"/>
        </w:rPr>
        <w:t xml:space="preserve">Payment Method: </w:t>
      </w:r>
      <w:r>
        <w:rPr>
          <w:color w:val="1A1A1A"/>
          <w:sz w:val="22"/>
          <w:szCs w:val="22"/>
        </w:rPr>
        <w:t xml:space="preserve">Electronic payment via the Rental911 secure payment link provided at execution.</w:t>
      </w:r>
    </w:p>
    <w:p>
      <w:pPr>
        <w:pBdr>
          <w:bottom w:val="single" w:color="CCCCCC" w:sz="2" w:space="1"/>
        </w:pBdr>
        <w:spacing w:after="80" w:before="80"/>
      </w:pPr>
      <w:r>
        <w:t xml:space="preserve"/>
      </w:r>
    </w:p>
    <w:p>
      <w:pPr>
        <w:spacing w:after="80" w:before="200"/>
      </w:pPr>
      <w:r>
        <w:rPr>
          <w:b/>
          <w:bCs/>
          <w:color w:val="1F5B8C"/>
          <w:sz w:val="23"/>
          <w:szCs w:val="23"/>
        </w:rPr>
        <w:t xml:space="preserve">3.  PAYMENT PROCESSING &amp; DEBIT CARD DISCLOSURE</w:t>
      </w:r>
    </w:p>
    <w:p>
      <w:pPr>
        <w:spacing w:after="60" w:before="60"/>
      </w:pPr>
      <w:r>
        <w:rPr>
          <w:color w:val="1A1A1A"/>
          <w:sz w:val="22"/>
          <w:szCs w:val="22"/>
        </w:rPr>
        <w:t xml:space="preserve">To ensure transparency in rent processing, Client acknowledges the following:</w:t>
      </w:r>
    </w:p>
    <w:p>
      <w:pPr>
        <w:spacing w:after="50" w:before="50"/>
        <w:ind w:left="360"/>
      </w:pPr>
      <w:r>
        <w:rPr>
          <w:color w:val="1A1A1A"/>
          <w:sz w:val="22"/>
          <w:szCs w:val="22"/>
        </w:rPr>
        <w:t xml:space="preserve">•  Credit card payments by tenants — The ~3% card processing fee is charged directly to the tenant as a surcharge at time of payment. Client receives the full rent amount (minor rounding residual may apply).</w:t>
      </w:r>
    </w:p>
    <w:p>
      <w:pPr>
        <w:spacing w:after="50" w:before="50"/>
        <w:ind w:left="360"/>
      </w:pPr>
      <w:r>
        <w:rPr>
          <w:color w:val="1A1A1A"/>
          <w:sz w:val="22"/>
          <w:szCs w:val="22"/>
        </w:rPr>
        <w:t xml:space="preserve">•  Debit card payments by tenants — Federal card network rules (Visa/Mastercard, tied to the Durbin Amendment) prohibit surcharging debit transactions. When a tenant pays via debit card, the ~3% processing fee is deducted from the Client's payout. This is not a Rental911 fee; it is a mandatory card-network cost that cannot be waived.</w:t>
      </w:r>
    </w:p>
    <w:p>
      <w:pPr>
        <w:spacing w:after="50" w:before="50"/>
        <w:ind w:left="360"/>
      </w:pPr>
      <w:r>
        <w:rPr>
          <w:color w:val="1A1A1A"/>
          <w:sz w:val="22"/>
          <w:szCs w:val="22"/>
        </w:rPr>
        <w:t xml:space="preserve">•  ACH/bank transfer payments by tenants — The ACH processing fee is charged directly to the tenant. Client receives the full rent amount.</w:t>
      </w:r>
    </w:p>
    <w:p>
      <w:pPr>
        <w:spacing w:after="60" w:before="60"/>
      </w:pPr>
      <w:r>
        <w:rPr>
          <w:color w:val="1A1A1A"/>
          <w:sz w:val="22"/>
          <w:szCs w:val="22"/>
        </w:rPr>
        <w:t xml:space="preserve">Client signing this Agreement acknowledges and accepts these processing fee mechanics before enrolling in rent collection through the Rental911 platform.</w:t>
      </w:r>
    </w:p>
    <w:p>
      <w:pPr>
        <w:pBdr>
          <w:bottom w:val="single" w:color="CCCCCC" w:sz="2" w:space="1"/>
        </w:pBdr>
        <w:spacing w:after="80" w:before="80"/>
      </w:pPr>
      <w:r>
        <w:t xml:space="preserve"/>
      </w:r>
    </w:p>
    <w:p>
      <w:pPr>
        <w:spacing w:after="80" w:before="200"/>
      </w:pPr>
      <w:r>
        <w:rPr>
          <w:b/>
          <w:bCs/>
          <w:color w:val="1F5B8C"/>
          <w:sz w:val="23"/>
          <w:szCs w:val="23"/>
        </w:rPr>
        <w:t xml:space="preserve">4.  TERM &amp; RENEWAL</w:t>
      </w:r>
    </w:p>
    <w:p>
      <w:pPr>
        <w:spacing w:after="60" w:before="60"/>
      </w:pPr>
      <w:r>
        <w:rPr>
          <w:color w:val="1A1A1A"/>
          <w:sz w:val="22"/>
          <w:szCs w:val="22"/>
        </w:rPr>
        <w:t xml:space="preserve">This Agreement begins on the date of execution and continues on the billing cycle selected by the Client (monthly or quarterly). Each period renews automatically unless either Party provides written notice of non-renewal at least 30 days before the end of the current period.</w:t>
      </w:r>
    </w:p>
    <w:p>
      <w:pPr>
        <w:pBdr>
          <w:bottom w:val="single" w:color="CCCCCC" w:sz="2" w:space="1"/>
        </w:pBdr>
        <w:spacing w:after="80" w:before="80"/>
      </w:pPr>
      <w:r>
        <w:t xml:space="preserve"/>
      </w:r>
    </w:p>
    <w:p>
      <w:pPr>
        <w:spacing w:after="80" w:before="200"/>
      </w:pPr>
      <w:r>
        <w:rPr>
          <w:b/>
          <w:bCs/>
          <w:color w:val="1F5B8C"/>
          <w:sz w:val="23"/>
          <w:szCs w:val="23"/>
        </w:rPr>
        <w:t xml:space="preserve">5.  TERMINATION</w:t>
      </w:r>
    </w:p>
    <w:p>
      <w:pPr>
        <w:spacing w:after="50" w:before="70"/>
      </w:pPr>
      <w:r>
        <w:rPr>
          <w:b/>
          <w:bCs/>
          <w:color w:val="1A1A1A"/>
          <w:sz w:val="22"/>
          <w:szCs w:val="22"/>
        </w:rPr>
        <w:t xml:space="preserve">By Either Party: </w:t>
      </w:r>
      <w:r>
        <w:rPr>
          <w:color w:val="1A1A1A"/>
          <w:sz w:val="22"/>
          <w:szCs w:val="22"/>
        </w:rPr>
        <w:t xml:space="preserve">Either Party may terminate this Agreement with 30 days written notice delivered via email to the other Party's designated address.</w:t>
      </w:r>
    </w:p>
    <w:p>
      <w:pPr>
        <w:spacing w:after="50" w:before="70"/>
      </w:pPr>
      <w:r>
        <w:rPr>
          <w:b/>
          <w:bCs/>
          <w:color w:val="1A1A1A"/>
          <w:sz w:val="22"/>
          <w:szCs w:val="22"/>
        </w:rPr>
        <w:t xml:space="preserve">For Non-Payment: </w:t>
      </w:r>
      <w:r>
        <w:rPr>
          <w:color w:val="1A1A1A"/>
          <w:sz w:val="22"/>
          <w:szCs w:val="22"/>
        </w:rPr>
        <w:t xml:space="preserve">Rental911 reserves the right to suspend services immediately if an invoice remains unpaid for more than 21 days. Termination for non-payment takes effect 7 days after written notice.</w:t>
      </w:r>
    </w:p>
    <w:p>
      <w:pPr>
        <w:spacing w:after="50" w:before="70"/>
      </w:pPr>
      <w:r>
        <w:rPr>
          <w:b/>
          <w:bCs/>
          <w:color w:val="1A1A1A"/>
          <w:sz w:val="22"/>
          <w:szCs w:val="22"/>
        </w:rPr>
        <w:t xml:space="preserve">Upon Termination: </w:t>
      </w:r>
      <w:r>
        <w:rPr>
          <w:color w:val="1A1A1A"/>
          <w:sz w:val="22"/>
          <w:szCs w:val="22"/>
        </w:rPr>
        <w:t xml:space="preserve">Client remains responsible for all fees accrued through the effective termination date. Rental911 will provide a reasonable transition period (not to exceed 14 days) to hand off tenant communications and active matters.</w:t>
      </w:r>
    </w:p>
    <w:p>
      <w:pPr>
        <w:pBdr>
          <w:bottom w:val="single" w:color="CCCCCC" w:sz="2" w:space="1"/>
        </w:pBdr>
        <w:spacing w:after="80" w:before="80"/>
      </w:pPr>
      <w:r>
        <w:t xml:space="preserve"/>
      </w:r>
    </w:p>
    <w:p>
      <w:pPr>
        <w:spacing w:after="80" w:before="200"/>
      </w:pPr>
      <w:r>
        <w:rPr>
          <w:b/>
          <w:bCs/>
          <w:color w:val="1F5B8C"/>
          <w:sz w:val="23"/>
          <w:szCs w:val="23"/>
        </w:rPr>
        <w:t xml:space="preserve">6.  CLIENT RESPONSIBILITIES</w:t>
      </w:r>
    </w:p>
    <w:p>
      <w:pPr>
        <w:spacing w:after="60" w:before="60"/>
      </w:pPr>
      <w:r>
        <w:rPr>
          <w:color w:val="1A1A1A"/>
          <w:sz w:val="22"/>
          <w:szCs w:val="22"/>
        </w:rPr>
        <w:t xml:space="preserve">To ensure successful service delivery, the Client agrees to:</w:t>
      </w:r>
    </w:p>
    <w:p>
      <w:pPr>
        <w:spacing w:after="50" w:before="50"/>
        <w:ind w:left="360"/>
      </w:pPr>
      <w:r>
        <w:rPr>
          <w:color w:val="1A1A1A"/>
          <w:sz w:val="22"/>
          <w:szCs w:val="22"/>
        </w:rPr>
        <w:t xml:space="preserve">•  Provide complete and accurate portfolio information prior to the onboarding call, including a copy of the standard lease agreement used for the portfolio</w:t>
      </w:r>
    </w:p>
    <w:p>
      <w:pPr>
        <w:spacing w:after="50" w:before="50"/>
        <w:ind w:left="360"/>
      </w:pPr>
      <w:r>
        <w:rPr>
          <w:color w:val="1A1A1A"/>
          <w:sz w:val="22"/>
          <w:szCs w:val="22"/>
        </w:rPr>
        <w:t xml:space="preserve">•  Provide a copy of any applicable HOA Covenants, Conditions &amp; Restrictions (CC&amp;Rs) for any development where multiple units are located</w:t>
      </w:r>
    </w:p>
    <w:p>
      <w:pPr>
        <w:spacing w:after="50" w:before="50"/>
        <w:ind w:left="360"/>
      </w:pPr>
      <w:r>
        <w:rPr>
          <w:color w:val="1A1A1A"/>
          <w:sz w:val="22"/>
          <w:szCs w:val="22"/>
        </w:rPr>
        <w:t xml:space="preserve">•  Respond to Rental911 communications within 24 hours for routine matters, and within 4 hours for urgent tenant or maintenance issues</w:t>
      </w:r>
    </w:p>
    <w:p>
      <w:pPr>
        <w:spacing w:after="50" w:before="50"/>
        <w:ind w:left="360"/>
      </w:pPr>
      <w:r>
        <w:rPr>
          <w:color w:val="1A1A1A"/>
          <w:sz w:val="22"/>
          <w:szCs w:val="22"/>
        </w:rPr>
        <w:t xml:space="preserve">•  Make timely decisions when owner approval is required</w:t>
      </w:r>
    </w:p>
    <w:p>
      <w:pPr>
        <w:spacing w:after="50" w:before="50"/>
        <w:ind w:left="360"/>
      </w:pPr>
      <w:r>
        <w:rPr>
          <w:color w:val="1A1A1A"/>
          <w:sz w:val="22"/>
          <w:szCs w:val="22"/>
        </w:rPr>
        <w:t xml:space="preserve">•  Maintain an active payment method on file for above-threshold maintenance authorization (see Section 10)</w:t>
      </w:r>
    </w:p>
    <w:p>
      <w:pPr>
        <w:spacing w:after="50" w:before="50"/>
        <w:ind w:left="360"/>
      </w:pPr>
      <w:r>
        <w:rPr>
          <w:color w:val="1A1A1A"/>
          <w:sz w:val="22"/>
          <w:szCs w:val="22"/>
        </w:rPr>
        <w:t xml:space="preserve">•  Ensure all units hold current, valid rental licenses for their applicable jurisdictions</w:t>
      </w:r>
    </w:p>
    <w:p>
      <w:pPr>
        <w:spacing w:after="50" w:before="50"/>
        <w:ind w:left="360"/>
      </w:pPr>
      <w:r>
        <w:rPr>
          <w:color w:val="1A1A1A"/>
          <w:sz w:val="22"/>
          <w:szCs w:val="22"/>
        </w:rPr>
        <w:t xml:space="preserve">•  Comply with all applicable federal, state, and local landlord-tenant laws, including Maryland Code, Real Property § 8-221 regarding landlord entry notice (see Section 9)</w:t>
      </w:r>
    </w:p>
    <w:p>
      <w:pPr>
        <w:spacing w:after="50" w:before="50"/>
        <w:ind w:left="360"/>
      </w:pPr>
      <w:r>
        <w:rPr>
          <w:color w:val="1A1A1A"/>
          <w:sz w:val="22"/>
          <w:szCs w:val="22"/>
        </w:rPr>
        <w:t xml:space="preserve">•  Notify Rental911 promptly of any changes to the portfolio — unit additions, sales, court matters, or HOA updates</w:t>
      </w:r>
    </w:p>
    <w:p>
      <w:pPr>
        <w:spacing w:after="50" w:before="50"/>
        <w:ind w:left="360"/>
      </w:pPr>
      <w:r>
        <w:rPr>
          <w:color w:val="1A1A1A"/>
          <w:sz w:val="22"/>
          <w:szCs w:val="22"/>
        </w:rPr>
        <w:t xml:space="preserve">•  Understand that employment and income verification of tenants is the Client's own responsibility (see Section 11)</w:t>
      </w:r>
    </w:p>
    <w:p>
      <w:pPr>
        <w:spacing w:after="40" w:before="100"/>
      </w:pPr>
      <w:r>
        <w:t xml:space="preserve"/>
      </w:r>
    </w:p>
    <w:p>
      <w:pPr>
        <w:spacing w:after="60" w:before="120"/>
      </w:pPr>
      <w:r>
        <w:rPr>
          <w:b/>
          <w:bCs/>
          <w:color w:val="1A1A1A"/>
          <w:sz w:val="22"/>
          <w:szCs w:val="22"/>
        </w:rPr>
        <w:t xml:space="preserve">Licensure &amp; Advisory Acknowledgment</w:t>
      </w:r>
    </w:p>
    <w:p>
      <w:pPr>
        <w:spacing w:after="60" w:before="60"/>
      </w:pPr>
      <w:r>
        <w:rPr>
          <w:color w:val="1A1A1A"/>
          <w:sz w:val="22"/>
          <w:szCs w:val="22"/>
        </w:rPr>
        <w:t xml:space="preserve">Client acknowledges that Rental911, LLC is not a licensed real estate broker, attorney, or financial advisor. Services provided under this Agreement constitute property management consulting and coordination only. Client agrees to consult appropriately licensed professionals for any legal, real estate transactional, or financial matters relating to the portfolio.</w:t>
      </w:r>
    </w:p>
    <w:p>
      <w:pPr>
        <w:spacing w:after="80" w:before="100"/>
      </w:pPr>
      <w:r>
        <w:rPr>
          <w:i/>
          <w:iCs/>
          <w:color w:val="1A1A1A"/>
          <w:sz w:val="22"/>
          <w:szCs w:val="22"/>
        </w:rPr>
        <w:t xml:space="preserve">Client Initials: ______</w:t>
      </w:r>
    </w:p>
    <w:p>
      <w:pPr>
        <w:pBdr>
          <w:bottom w:val="single" w:color="CCCCCC" w:sz="2" w:space="1"/>
        </w:pBdr>
        <w:spacing w:after="80" w:before="80"/>
      </w:pPr>
      <w:r>
        <w:t xml:space="preserve"/>
      </w:r>
    </w:p>
    <w:p>
      <w:pPr>
        <w:spacing w:after="80" w:before="200"/>
      </w:pPr>
      <w:r>
        <w:rPr>
          <w:b/>
          <w:bCs/>
          <w:color w:val="1F5B8C"/>
          <w:sz w:val="23"/>
          <w:szCs w:val="23"/>
        </w:rPr>
        <w:t xml:space="preserve">7.  TENANT PLACEMENT &amp; SCREENING</w:t>
      </w:r>
    </w:p>
    <w:p>
      <w:pPr>
        <w:spacing w:after="60" w:before="60"/>
      </w:pPr>
      <w:r>
        <w:rPr>
          <w:color w:val="1A1A1A"/>
          <w:sz w:val="22"/>
          <w:szCs w:val="22"/>
        </w:rPr>
        <w:t xml:space="preserve">Most Clients engage Rental911 with tenants already in occupancy across their portfolio. In those cases, Rental911 coordinates and confirms the legal compliance aspects of existing tenancies and does not perform independent tenant screening. When a Client requires Rental911 to source and place a new tenant in any portfolio unit, that service is conducted under a separate, fully executed Tenant Placement/Agency Agreement — which must be signed before any placement work begins.</w:t>
      </w:r>
    </w:p>
    <w:p>
      <w:pPr>
        <w:spacing w:after="40" w:before="60"/>
      </w:pPr>
      <w:r>
        <w:t xml:space="preserve"/>
      </w:r>
    </w:p>
    <w:p>
      <w:pPr>
        <w:spacing w:after="80" w:before="80"/>
        <w:ind w:left="360" w:right="360"/>
      </w:pPr>
      <w:r>
        <w:rPr>
          <w:b/>
          <w:bCs/>
          <w:i/>
          <w:iCs/>
          <w:color w:val="1F5B8C"/>
          <w:sz w:val="21"/>
          <w:szCs w:val="21"/>
        </w:rPr>
        <w:t xml:space="preserve">ℹ  Did You Know?  </w:t>
      </w:r>
      <w:r>
        <w:rPr>
          <w:i/>
          <w:iCs/>
          <w:color w:val="666666"/>
          <w:sz w:val="21"/>
          <w:szCs w:val="21"/>
        </w:rPr>
        <w:t xml:space="preserve">Under Maryland law (effective October 1, 2020), source of income — including Housing Choice Vouchers (Section 8), Social Security, child support, and other lawful income — is a legally protected class. It is unlawful to refuse to rent to a qualified applicant solely because of their income source. The Maryland Commission on Civil Rights (MCCR) enforces this protection statewide. Neither Rental911 nor Client may discriminate against tenants or applicants on the basis of their source of income.</w:t>
      </w:r>
    </w:p>
    <w:p>
      <w:pPr>
        <w:pBdr>
          <w:bottom w:val="single" w:color="CCCCCC" w:sz="2" w:space="1"/>
        </w:pBdr>
        <w:spacing w:after="80" w:before="80"/>
      </w:pPr>
      <w:r>
        <w:t xml:space="preserve"/>
      </w:r>
    </w:p>
    <w:p>
      <w:pPr>
        <w:spacing w:after="80" w:before="200"/>
      </w:pPr>
      <w:r>
        <w:rPr>
          <w:b/>
          <w:bCs/>
          <w:color w:val="1F5B8C"/>
          <w:sz w:val="23"/>
          <w:szCs w:val="23"/>
        </w:rPr>
        <w:t xml:space="preserve">8.  WHAT RENTAL911 DOES NOT DO</w:t>
      </w:r>
    </w:p>
    <w:p>
      <w:pPr>
        <w:spacing w:after="60" w:before="60"/>
      </w:pPr>
      <w:r>
        <w:rPr>
          <w:color w:val="1A1A1A"/>
          <w:sz w:val="22"/>
          <w:szCs w:val="22"/>
        </w:rPr>
        <w:t xml:space="preserve">To avoid misunderstanding, the following services are expressly outside the scope of this Agreement:</w:t>
      </w:r>
    </w:p>
    <w:p>
      <w:pPr>
        <w:spacing w:after="50" w:before="70"/>
        <w:ind w:left="360"/>
      </w:pPr>
      <w:r>
        <w:rPr>
          <w:b/>
          <w:bCs/>
          <w:color w:val="1A1A1A"/>
          <w:sz w:val="22"/>
          <w:szCs w:val="22"/>
        </w:rPr>
        <w:t xml:space="preserve">a.  </w:t>
      </w:r>
      <w:r>
        <w:rPr>
          <w:b/>
          <w:bCs/>
          <w:color w:val="1A1A1A"/>
          <w:sz w:val="22"/>
          <w:szCs w:val="22"/>
        </w:rPr>
        <w:t xml:space="preserve">Legal Advice — </w:t>
      </w:r>
      <w:r>
        <w:rPr>
          <w:color w:val="1A1A1A"/>
          <w:sz w:val="22"/>
          <w:szCs w:val="22"/>
        </w:rPr>
        <w:t xml:space="preserve">Rental911 does not provide legal advice, legal representation, or formal legal opinions. Clients should consult a licensed Maryland attorney for lease disputes, eviction filings, or any legal proceeding.</w:t>
      </w:r>
    </w:p>
    <w:p>
      <w:pPr>
        <w:spacing w:after="50" w:before="70"/>
        <w:ind w:left="360"/>
      </w:pPr>
      <w:r>
        <w:rPr>
          <w:b/>
          <w:bCs/>
          <w:color w:val="1A1A1A"/>
          <w:sz w:val="22"/>
          <w:szCs w:val="22"/>
        </w:rPr>
        <w:t xml:space="preserve">b.  </w:t>
      </w:r>
      <w:r>
        <w:rPr>
          <w:b/>
          <w:bCs/>
          <w:color w:val="1A1A1A"/>
          <w:sz w:val="22"/>
          <w:szCs w:val="22"/>
        </w:rPr>
        <w:t xml:space="preserve">Tenant Placement — </w:t>
      </w:r>
      <w:r>
        <w:rPr>
          <w:color w:val="1A1A1A"/>
          <w:sz w:val="22"/>
          <w:szCs w:val="22"/>
        </w:rPr>
        <w:t xml:space="preserve">Tenant sourcing, screening, and placement are not included in this Agreement. These services are available separately under a Tenant Placement/Agency Agreement ($895 per tenant placed).</w:t>
      </w:r>
    </w:p>
    <w:p>
      <w:pPr>
        <w:spacing w:after="50" w:before="70"/>
        <w:ind w:left="360"/>
      </w:pPr>
      <w:r>
        <w:rPr>
          <w:b/>
          <w:bCs/>
          <w:color w:val="1A1A1A"/>
          <w:sz w:val="22"/>
          <w:szCs w:val="22"/>
        </w:rPr>
        <w:t xml:space="preserve">c.  </w:t>
      </w:r>
      <w:r>
        <w:rPr>
          <w:b/>
          <w:bCs/>
          <w:color w:val="1A1A1A"/>
          <w:sz w:val="22"/>
          <w:szCs w:val="22"/>
        </w:rPr>
        <w:t xml:space="preserve">Fund Holding — </w:t>
      </w:r>
      <w:r>
        <w:rPr>
          <w:color w:val="1A1A1A"/>
          <w:sz w:val="22"/>
          <w:szCs w:val="22"/>
        </w:rPr>
        <w:t xml:space="preserve">Rental911 does not hold, escrow, or manage Client funds. Rent payments are processed through Stripe and disbursed directly to the Client's connected bank account. Maintenance charges are billed to the Client's payment method on file.</w:t>
      </w:r>
    </w:p>
    <w:p>
      <w:pPr>
        <w:spacing w:after="50" w:before="70"/>
        <w:ind w:left="360"/>
      </w:pPr>
      <w:r>
        <w:rPr>
          <w:b/>
          <w:bCs/>
          <w:color w:val="1A1A1A"/>
          <w:sz w:val="22"/>
          <w:szCs w:val="22"/>
        </w:rPr>
        <w:t xml:space="preserve">d.  </w:t>
      </w:r>
      <w:r>
        <w:rPr>
          <w:b/>
          <w:bCs/>
          <w:color w:val="1A1A1A"/>
          <w:sz w:val="22"/>
          <w:szCs w:val="22"/>
        </w:rPr>
        <w:t xml:space="preserve">Real Estate Agency — </w:t>
      </w:r>
      <w:r>
        <w:rPr>
          <w:color w:val="1A1A1A"/>
          <w:sz w:val="22"/>
          <w:szCs w:val="22"/>
        </w:rPr>
        <w:t xml:space="preserve">Rental911 is not a licensed real estate broker and does not act as a buyer's or seller's agent. The preferred 2% listing commission benefit, where offered, is facilitated through Rental911's affiliated agent network under a separate arrangement.</w:t>
      </w:r>
    </w:p>
    <w:p>
      <w:pPr>
        <w:pBdr>
          <w:bottom w:val="single" w:color="CCCCCC" w:sz="2" w:space="1"/>
        </w:pBdr>
        <w:spacing w:after="80" w:before="80"/>
      </w:pPr>
      <w:r>
        <w:t xml:space="preserve"/>
      </w:r>
    </w:p>
    <w:p>
      <w:pPr>
        <w:spacing w:after="80" w:before="200"/>
      </w:pPr>
      <w:r>
        <w:rPr>
          <w:b/>
          <w:bCs/>
          <w:color w:val="1F5B8C"/>
          <w:sz w:val="23"/>
          <w:szCs w:val="23"/>
        </w:rPr>
        <w:t xml:space="preserve">9.  PROPERTY CHECK-INS &amp; LANDLORD ENTRY NOTICE</w:t>
      </w:r>
    </w:p>
    <w:p>
      <w:pPr>
        <w:spacing w:after="60" w:before="60"/>
      </w:pPr>
      <w:r>
        <w:rPr>
          <w:color w:val="1A1A1A"/>
          <w:sz w:val="22"/>
          <w:szCs w:val="22"/>
        </w:rPr>
        <w:t xml:space="preserve">Rental911's in-person touchpoints on each portfolio property are limited to move-in and move-out documentation. Rental911 does not conduct periodic or interim property inspections during an active tenancy. Any mid-tenancy check-ins the Client wishes to conduct are the Client's sole responsibility.</w:t>
      </w:r>
    </w:p>
    <w:p>
      <w:pPr>
        <w:spacing w:after="40" w:before="80"/>
      </w:pPr>
      <w:r>
        <w:t xml:space="preserve"/>
      </w:r>
    </w:p>
    <w:p>
      <w:pPr>
        <w:spacing w:after="60" w:before="120"/>
      </w:pPr>
      <w:r>
        <w:rPr>
          <w:b/>
          <w:bCs/>
          <w:color w:val="1A1A1A"/>
          <w:sz w:val="22"/>
          <w:szCs w:val="22"/>
        </w:rPr>
        <w:t xml:space="preserve">Maryland Landlord Entry Notice — Required Acknowledgment</w:t>
      </w:r>
    </w:p>
    <w:p>
      <w:pPr>
        <w:spacing w:after="60" w:before="60"/>
      </w:pPr>
      <w:r>
        <w:rPr>
          <w:color w:val="1A1A1A"/>
          <w:sz w:val="22"/>
          <w:szCs w:val="22"/>
        </w:rPr>
        <w:t xml:space="preserve">Under Maryland Code, Real Property § 8-221 (effective October 1, 2025): before entering a rental unit for any non-emergency purpose, the landlord must provide the tenant at least 24 hours' written notice stating the date, approximate time, and reason for entry. Entry is limited to 7:00 a.m.–7:00 p.m., Monday through Saturday, unless the tenant consents in writing to different timing. Emergency threats to property, health, or safety are exempt.</w:t>
      </w:r>
    </w:p>
    <w:p>
      <w:pPr>
        <w:spacing w:after="60" w:before="60"/>
      </w:pPr>
      <w:r>
        <w:rPr>
          <w:color w:val="1A1A1A"/>
          <w:sz w:val="22"/>
          <w:szCs w:val="22"/>
        </w:rPr>
        <w:t xml:space="preserve">Client acknowledges they have read and understand their legal entry notice obligations before conducting any entry to any property in the portfolio.</w:t>
      </w:r>
    </w:p>
    <w:p>
      <w:pPr>
        <w:spacing w:after="80" w:before="100"/>
      </w:pPr>
      <w:r>
        <w:rPr>
          <w:i/>
          <w:iCs/>
          <w:color w:val="1A1A1A"/>
          <w:sz w:val="22"/>
          <w:szCs w:val="22"/>
        </w:rPr>
        <w:t xml:space="preserve">Client Initials: ______</w:t>
      </w:r>
    </w:p>
    <w:p>
      <w:pPr>
        <w:pBdr>
          <w:bottom w:val="single" w:color="CCCCCC" w:sz="2" w:space="1"/>
        </w:pBdr>
        <w:spacing w:after="80" w:before="80"/>
      </w:pPr>
      <w:r>
        <w:t xml:space="preserve"/>
      </w:r>
    </w:p>
    <w:p>
      <w:pPr>
        <w:spacing w:after="80" w:before="200"/>
      </w:pPr>
      <w:r>
        <w:rPr>
          <w:b/>
          <w:bCs/>
          <w:color w:val="1F5B8C"/>
          <w:sz w:val="23"/>
          <w:szCs w:val="23"/>
        </w:rPr>
        <w:t xml:space="preserve">10.  MAINTENANCE AUTHORIZATION THRESHOLD</w:t>
      </w:r>
    </w:p>
    <w:p>
      <w:pPr>
        <w:spacing w:after="60" w:before="60"/>
      </w:pPr>
      <w:r>
        <w:rPr>
          <w:color w:val="1A1A1A"/>
          <w:sz w:val="22"/>
          <w:szCs w:val="22"/>
        </w:rPr>
        <w:t xml:space="preserve">Rental911 does not hold Client funds. For maintenance and repair coordination across each property in the portfolio, Client establishes a pre-approved authorization ceiling at onboarding:</w:t>
      </w:r>
    </w:p>
    <w:p>
      <w:pPr>
        <w:spacing w:after="40" w:before="60"/>
      </w:pPr>
      <w:r>
        <w:t xml:space="preserve"/>
      </w:r>
    </w:p>
    <w:p>
      <w:pPr>
        <w:spacing w:after="40" w:before="40"/>
      </w:pPr>
      <w:r>
        <w:rPr>
          <w:b/>
          <w:bCs/>
          <w:color w:val="1A1A1A"/>
          <w:sz w:val="22"/>
          <w:szCs w:val="22"/>
        </w:rPr>
        <w:t xml:space="preserve">Default Threshold: $500.00 per property</w:t>
      </w:r>
    </w:p>
    <w:p>
      <w:pPr>
        <w:spacing w:after="50" w:before="50"/>
        <w:ind w:left="360"/>
      </w:pPr>
      <w:r>
        <w:rPr>
          <w:color w:val="1A1A1A"/>
          <w:sz w:val="22"/>
          <w:szCs w:val="22"/>
        </w:rPr>
        <w:t xml:space="preserve">•  Repairs at or below the Client's threshold: Rental911 coordinates with vendors and bills the Client's payment method on file — no prior approval needed.</w:t>
      </w:r>
    </w:p>
    <w:p>
      <w:pPr>
        <w:spacing w:after="50" w:before="50"/>
        <w:ind w:left="360"/>
      </w:pPr>
      <w:r>
        <w:rPr>
          <w:color w:val="1A1A1A"/>
          <w:sz w:val="22"/>
          <w:szCs w:val="22"/>
        </w:rPr>
        <w:t xml:space="preserve">•  Repairs above the Client's threshold: Rental911 contacts Client for approval before any work proceeds.</w:t>
      </w:r>
    </w:p>
    <w:p>
      <w:pPr>
        <w:spacing w:after="40" w:before="60"/>
      </w:pPr>
      <w:r>
        <w:t xml:space="preserve"/>
      </w:r>
    </w:p>
    <w:p>
      <w:pPr>
        <w:spacing w:after="60" w:before="60"/>
      </w:pPr>
      <w:r>
        <w:rPr>
          <w:color w:val="1A1A1A"/>
          <w:sz w:val="22"/>
          <w:szCs w:val="22"/>
        </w:rPr>
        <w:t xml:space="preserve">Client's selected threshold is recorded at onboarding and stored in the platform. Adjustments may be requested in writing at any time. Rental911 bills above-threshold repairs to the same payment method on file used for the monthly subscription.</w:t>
      </w:r>
    </w:p>
    <w:p>
      <w:pPr>
        <w:spacing w:after="60" w:before="60"/>
      </w:pPr>
      <w:r>
        <w:rPr>
          <w:color w:val="1A1A1A"/>
          <w:sz w:val="22"/>
          <w:szCs w:val="22"/>
        </w:rPr>
        <w:t xml:space="preserve">Client acknowledges the default $500 threshold per property, or has entered a custom amount on the onboarding survey.</w:t>
      </w:r>
    </w:p>
    <w:p>
      <w:pPr>
        <w:spacing w:after="80" w:before="100"/>
      </w:pPr>
      <w:r>
        <w:rPr>
          <w:i/>
          <w:iCs/>
          <w:color w:val="1A1A1A"/>
          <w:sz w:val="22"/>
          <w:szCs w:val="22"/>
        </w:rPr>
        <w:t xml:space="preserve">Client Initials: ______</w:t>
      </w:r>
    </w:p>
    <w:p>
      <w:pPr>
        <w:pBdr>
          <w:bottom w:val="single" w:color="CCCCCC" w:sz="2" w:space="1"/>
        </w:pBdr>
        <w:spacing w:after="80" w:before="80"/>
      </w:pPr>
      <w:r>
        <w:t xml:space="preserve"/>
      </w:r>
    </w:p>
    <w:p>
      <w:pPr>
        <w:spacing w:after="80" w:before="200"/>
      </w:pPr>
      <w:r>
        <w:rPr>
          <w:b/>
          <w:bCs/>
          <w:color w:val="1F5B8C"/>
          <w:sz w:val="23"/>
          <w:szCs w:val="23"/>
        </w:rPr>
        <w:t xml:space="preserve">11.  EMPLOYMENT VERIFICATION</w:t>
      </w:r>
    </w:p>
    <w:p>
      <w:pPr>
        <w:spacing w:after="60" w:before="60"/>
      </w:pPr>
      <w:r>
        <w:rPr>
          <w:color w:val="1A1A1A"/>
          <w:sz w:val="22"/>
          <w:szCs w:val="22"/>
        </w:rPr>
        <w:t xml:space="preserve">Employment and income verification is the sole responsibility of the Client. Rental911 does not perform, evaluate, or act on any employment or income verification. Any verification activity is entirely outside the scope of this Agreement.</w:t>
      </w:r>
    </w:p>
    <w:p>
      <w:pPr>
        <w:pBdr>
          <w:bottom w:val="single" w:color="CCCCCC" w:sz="2" w:space="1"/>
        </w:pBdr>
        <w:spacing w:after="80" w:before="80"/>
      </w:pPr>
      <w:r>
        <w:t xml:space="preserve"/>
      </w:r>
    </w:p>
    <w:p>
      <w:pPr>
        <w:spacing w:after="80" w:before="200"/>
      </w:pPr>
      <w:r>
        <w:rPr>
          <w:b/>
          <w:bCs/>
          <w:color w:val="1F5B8C"/>
          <w:sz w:val="23"/>
          <w:szCs w:val="23"/>
        </w:rPr>
        <w:t xml:space="preserve">12.  HOME WARRANTY REQUIREMENT</w:t>
      </w:r>
    </w:p>
    <w:p>
      <w:pPr>
        <w:spacing w:after="60" w:before="60"/>
      </w:pPr>
      <w:r>
        <w:rPr>
          <w:color w:val="1A1A1A"/>
          <w:sz w:val="22"/>
          <w:szCs w:val="22"/>
        </w:rPr>
        <w:t xml:space="preserve">An active home warranty policy is required on every property in the Client's portfolio throughout the term of this Agreement. Rental911's preferred home warranty partner is AFC Home Club.</w:t>
      </w:r>
    </w:p>
    <w:p>
      <w:pPr>
        <w:spacing w:after="40" w:before="60"/>
      </w:pPr>
      <w:r>
        <w:t xml:space="preserve"/>
      </w:r>
    </w:p>
    <w:p>
      <w:pPr>
        <w:spacing w:after="50" w:before="70"/>
      </w:pPr>
      <w:r>
        <w:rPr>
          <w:b/>
          <w:bCs/>
          <w:color w:val="1A1A1A"/>
          <w:sz w:val="22"/>
          <w:szCs w:val="22"/>
        </w:rPr>
        <w:t xml:space="preserve">No existing warranty — AFC enrollment required: </w:t>
      </w:r>
      <w:r>
        <w:rPr>
          <w:color w:val="1A1A1A"/>
          <w:sz w:val="22"/>
          <w:szCs w:val="22"/>
        </w:rPr>
        <w:t xml:space="preserve">If a portfolio property does not have an active home warranty in place, Rental911 will enroll that property in AFC Home Club coverage upon the Client's written authorization provided during onboarding. The Client selects their coverage tier (Diamond or Platinum) directly in the onboarding survey. Rental911 manages enrollment on the Client's behalf through Rental911's AFC agent account. For all AFC-enrolled properties, Rental911 will file warranty claims directly with AFC on the Client's behalf when covered repair issues are reported through the platform.</w:t>
      </w:r>
    </w:p>
    <w:p>
      <w:pPr>
        <w:spacing w:after="50" w:before="70"/>
      </w:pPr>
      <w:r>
        <w:rPr>
          <w:b/>
          <w:bCs/>
          <w:color w:val="1A1A1A"/>
          <w:sz w:val="22"/>
          <w:szCs w:val="22"/>
        </w:rPr>
        <w:t xml:space="preserve">Existing warranty — Client keeps it: </w:t>
      </w:r>
      <w:r>
        <w:rPr>
          <w:color w:val="1A1A1A"/>
          <w:sz w:val="22"/>
          <w:szCs w:val="22"/>
        </w:rPr>
        <w:t xml:space="preserve">If a Client already has an active home warranty on a portfolio property and elects to keep it, that is permitted. In that case, the Client is solely responsible for filing and coordinating all claims with their own warranty provider. Rental911 will route tenant-reported issues to the Client as notification; claim filing and follow-through are the Client's responsibility.</w:t>
      </w:r>
    </w:p>
    <w:p>
      <w:pPr>
        <w:spacing w:after="50" w:before="70"/>
      </w:pPr>
      <w:r>
        <w:rPr>
          <w:b/>
          <w:bCs/>
          <w:color w:val="1A1A1A"/>
          <w:sz w:val="22"/>
          <w:szCs w:val="22"/>
        </w:rPr>
        <w:t xml:space="preserve">Service call fee: </w:t>
      </w:r>
      <w:r>
        <w:rPr>
          <w:color w:val="1A1A1A"/>
          <w:sz w:val="22"/>
          <w:szCs w:val="22"/>
        </w:rPr>
        <w:t xml:space="preserve">For AFC Home Club policies, a service call fee ($75 or $125 — selected by the Client at time of enrollment) is due directly to the vendor at the time of each service visit. This fee is not collected through the Rental911 platform. The maximum service call fee under any AFC plan offered through Rental911 is $125 per visit.</w:t>
      </w:r>
    </w:p>
    <w:p>
      <w:pPr>
        <w:spacing w:after="50" w:before="70"/>
      </w:pPr>
      <w:r>
        <w:rPr>
          <w:b/>
          <w:bCs/>
          <w:color w:val="1A1A1A"/>
          <w:sz w:val="22"/>
          <w:szCs w:val="22"/>
        </w:rPr>
        <w:t xml:space="preserve">Coverage determinations: </w:t>
      </w:r>
      <w:r>
        <w:rPr>
          <w:color w:val="1A1A1A"/>
          <w:sz w:val="22"/>
          <w:szCs w:val="22"/>
        </w:rPr>
        <w:t xml:space="preserve">Rental911 is not a party to any home warranty contract and is not responsible for coverage determinations, claim denials, or deductible costs. Warranty coverage questions should be directed to the applicable warranty provider.</w:t>
      </w:r>
    </w:p>
    <w:p>
      <w:pPr>
        <w:pBdr>
          <w:bottom w:val="single" w:color="CCCCCC" w:sz="2" w:space="1"/>
        </w:pBdr>
        <w:spacing w:after="80" w:before="80"/>
      </w:pPr>
      <w:r>
        <w:t xml:space="preserve"/>
      </w:r>
    </w:p>
    <w:p>
      <w:pPr>
        <w:spacing w:after="80" w:before="200"/>
      </w:pPr>
      <w:r>
        <w:rPr>
          <w:b/>
          <w:bCs/>
          <w:color w:val="1F5B8C"/>
          <w:sz w:val="23"/>
          <w:szCs w:val="23"/>
        </w:rPr>
        <w:t xml:space="preserve">13.  CONFIDENTIALITY</w:t>
      </w:r>
    </w:p>
    <w:p>
      <w:pPr>
        <w:spacing w:after="60" w:before="60"/>
      </w:pPr>
      <w:r>
        <w:rPr>
          <w:color w:val="1A1A1A"/>
          <w:sz w:val="22"/>
          <w:szCs w:val="22"/>
        </w:rPr>
        <w:t xml:space="preserve">Each Party agrees to keep the terms of this Agreement and any non-public information about the other Party's business confidential. This obligation survives termination. Rental911 will treat all tenant and property data as confidential and will not share it with third parties except as required to deliver services or as required by law.</w:t>
      </w:r>
    </w:p>
    <w:p>
      <w:pPr>
        <w:pBdr>
          <w:bottom w:val="single" w:color="CCCCCC" w:sz="2" w:space="1"/>
        </w:pBdr>
        <w:spacing w:after="80" w:before="80"/>
      </w:pPr>
      <w:r>
        <w:t xml:space="preserve"/>
      </w:r>
    </w:p>
    <w:p>
      <w:pPr>
        <w:spacing w:after="80" w:before="200"/>
      </w:pPr>
      <w:r>
        <w:rPr>
          <w:b/>
          <w:bCs/>
          <w:color w:val="1F5B8C"/>
          <w:sz w:val="23"/>
          <w:szCs w:val="23"/>
        </w:rPr>
        <w:t xml:space="preserve">14.  LIMITATION OF LIABILITY</w:t>
      </w:r>
    </w:p>
    <w:p>
      <w:pPr>
        <w:spacing w:after="60" w:before="60"/>
      </w:pPr>
      <w:r>
        <w:rPr>
          <w:color w:val="1A1A1A"/>
          <w:sz w:val="22"/>
          <w:szCs w:val="22"/>
        </w:rPr>
        <w:t xml:space="preserve">Rental911's liability under this Agreement is limited to the fees paid in the billing period in which any claim arises. Rental911 is not liable for damages resulting from third-party vendor performance, tenant actions, court outcomes, or circumstances outside Rental911's reasonable control. Nothing in this section limits liability for gross negligence or willful misconduct.</w:t>
      </w:r>
    </w:p>
    <w:p>
      <w:pPr>
        <w:pBdr>
          <w:bottom w:val="single" w:color="CCCCCC" w:sz="2" w:space="1"/>
        </w:pBdr>
        <w:spacing w:after="80" w:before="80"/>
      </w:pPr>
      <w:r>
        <w:t xml:space="preserve"/>
      </w:r>
    </w:p>
    <w:p>
      <w:pPr>
        <w:spacing w:after="80" w:before="200"/>
      </w:pPr>
      <w:r>
        <w:rPr>
          <w:b/>
          <w:bCs/>
          <w:color w:val="1F5B8C"/>
          <w:sz w:val="23"/>
          <w:szCs w:val="23"/>
        </w:rPr>
        <w:t xml:space="preserve">15.  REPRESENTATIVE AUTHORITY &amp; SERVICE PARTNERSHIP</w:t>
      </w:r>
    </w:p>
    <w:p>
      <w:pPr>
        <w:spacing w:after="60" w:before="60"/>
      </w:pPr>
      <w:r>
        <w:rPr>
          <w:color w:val="1A1A1A"/>
          <w:sz w:val="22"/>
          <w:szCs w:val="22"/>
        </w:rPr>
        <w:t xml:space="preserve">Upon full execution of this Agreement and receipt of the Onboarding Fee, Rental911 is authorized to act as the Client's appointed representative for all matters within the scope of services defined herein. This includes — but is not limited to — communicating with tenants, vendors, local housing authorities, HOAs, and other third parties on the Client's behalf.</w:t>
      </w:r>
    </w:p>
    <w:p>
      <w:pPr>
        <w:spacing w:after="40" w:before="60"/>
      </w:pPr>
      <w:r>
        <w:t xml:space="preserve"/>
      </w:r>
    </w:p>
    <w:p>
      <w:pPr>
        <w:spacing w:after="60" w:before="60"/>
      </w:pPr>
      <w:r>
        <w:rPr>
          <w:color w:val="1A1A1A"/>
          <w:sz w:val="22"/>
          <w:szCs w:val="22"/>
        </w:rPr>
        <w:t xml:space="preserve">This Agreement establishes a contracted service partnership between the Parties. Rental911 serves as the Client's coordination and management partner for the portfolio. The Client retains ownership of all properties and final decision-making authority on matters that exceed the scope of services or the authorized repair threshold defined herein.</w:t>
      </w:r>
    </w:p>
    <w:p>
      <w:pPr>
        <w:spacing w:after="40" w:before="60"/>
      </w:pPr>
      <w:r>
        <w:t xml:space="preserve"/>
      </w:r>
    </w:p>
    <w:p>
      <w:pPr>
        <w:spacing w:after="60" w:before="60"/>
      </w:pPr>
      <w:r>
        <w:rPr>
          <w:color w:val="1A1A1A"/>
          <w:sz w:val="22"/>
          <w:szCs w:val="22"/>
        </w:rPr>
        <w:t xml:space="preserve">Rental911 is not an employee of the Client. This Agreement does not create a general partnership, joint venture, or fiduciary relationship beyond the scope of services described in Section 1.</w:t>
      </w:r>
    </w:p>
    <w:p>
      <w:pPr>
        <w:pBdr>
          <w:bottom w:val="single" w:color="CCCCCC" w:sz="2" w:space="1"/>
        </w:pBdr>
        <w:spacing w:after="80" w:before="80"/>
      </w:pPr>
      <w:r>
        <w:t xml:space="preserve"/>
      </w:r>
    </w:p>
    <w:p>
      <w:pPr>
        <w:spacing w:after="80" w:before="200"/>
      </w:pPr>
      <w:r>
        <w:rPr>
          <w:b/>
          <w:bCs/>
          <w:color w:val="1F5B8C"/>
          <w:sz w:val="23"/>
          <w:szCs w:val="23"/>
        </w:rPr>
        <w:t xml:space="preserve">16.  GOVERNING LAW &amp; DISPUTES</w:t>
      </w:r>
    </w:p>
    <w:p>
      <w:pPr>
        <w:spacing w:after="60" w:before="60"/>
      </w:pPr>
      <w:r>
        <w:rPr>
          <w:color w:val="1A1A1A"/>
          <w:sz w:val="22"/>
          <w:szCs w:val="22"/>
        </w:rPr>
        <w:t xml:space="preserve">This Agreement is governed by the laws of the State of Maryland. Any dispute that cannot be resolved through good-faith discussion shall be submitted to non-binding mediation before either Party pursues legal action. The prevailing Party in any legal proceeding shall be entitled to reasonable attorney's fees.</w:t>
      </w:r>
    </w:p>
    <w:p>
      <w:pPr>
        <w:pBdr>
          <w:bottom w:val="single" w:color="CCCCCC" w:sz="2" w:space="1"/>
        </w:pBdr>
        <w:spacing w:after="80" w:before="80"/>
      </w:pPr>
      <w:r>
        <w:t xml:space="preserve"/>
      </w:r>
    </w:p>
    <w:p>
      <w:pPr>
        <w:spacing w:after="80" w:before="200"/>
      </w:pPr>
      <w:r>
        <w:rPr>
          <w:b/>
          <w:bCs/>
          <w:color w:val="1F5B8C"/>
          <w:sz w:val="23"/>
          <w:szCs w:val="23"/>
        </w:rPr>
        <w:t xml:space="preserve">17.  ENTIRE AGREEMENT &amp; AMENDMENTS</w:t>
      </w:r>
    </w:p>
    <w:p>
      <w:pPr>
        <w:spacing w:after="60" w:before="60"/>
      </w:pPr>
      <w:r>
        <w:rPr>
          <w:color w:val="1A1A1A"/>
          <w:sz w:val="22"/>
          <w:szCs w:val="22"/>
        </w:rPr>
        <w:t xml:space="preserve">This Agreement constitutes the entire understanding between the Parties and supersedes all prior discussions or representations. Amendments must be in writing and signed by both Parties. Scope adjustments (e.g., adding units, changing the billing cycle, Tenant Placement/Agency Agreement, Employment Verification Authorization, or maintenance threshold confirmation) will be confirmed in a written addendum.</w:t>
      </w:r>
    </w:p>
    <w:p>
      <w:pPr>
        <w:pBdr>
          <w:bottom w:val="single" w:color="CCCCCC" w:sz="2" w:space="1"/>
        </w:pBdr>
        <w:spacing w:after="80" w:before="80"/>
      </w:pPr>
      <w:r>
        <w:t xml:space="preserve"/>
      </w:r>
    </w:p>
    <w:p>
      <w:pPr>
        <w:spacing w:after="60" w:before="80"/>
      </w:pPr>
      <w:r>
        <w:rPr>
          <w:b/>
          <w:bCs/>
          <w:color w:val="1F5B8C"/>
          <w:sz w:val="28"/>
          <w:szCs w:val="28"/>
        </w:rPr>
        <w:t xml:space="preserve">SIGNATURES</w:t>
      </w:r>
    </w:p>
    <w:p>
      <w:pPr>
        <w:spacing w:after="60" w:before="60"/>
      </w:pPr>
      <w:r>
        <w:rPr>
          <w:color w:val="1A1A1A"/>
          <w:sz w:val="22"/>
          <w:szCs w:val="22"/>
        </w:rPr>
        <w:t xml:space="preserve">By signing below, each Party agrees to the terms of this Agreement.</w:t>
      </w:r>
    </w:p>
    <w:p>
      <w:pPr>
        <w:spacing w:after="40" w:before="60"/>
      </w:pPr>
      <w:r>
        <w:t xml:space="preserve"/>
      </w:r>
    </w:p>
    <w:p>
      <w:pPr>
        <w:spacing w:after="40" w:before="40"/>
      </w:pPr>
      <w:r>
        <w:rPr>
          <w:b/>
          <w:bCs/>
          <w:color w:val="1A1A1A"/>
          <w:sz w:val="22"/>
          <w:szCs w:val="22"/>
        </w:rPr>
        <w:t xml:space="preserve">SERVICE PROVIDER</w:t>
      </w:r>
      <w:r>
        <w:rPr>
          <w:sz w:val="22"/>
          <w:szCs w:val="22"/>
        </w:rPr>
        <w:t xml:space="preserve">                                                  </w:t>
      </w:r>
      <w:r>
        <w:rPr>
          <w:b/>
          <w:bCs/>
          <w:color w:val="1A1A1A"/>
          <w:sz w:val="22"/>
          <w:szCs w:val="22"/>
        </w:rPr>
        <w:t xml:space="preserve">CLIENT</w:t>
      </w:r>
    </w:p>
    <w:p>
      <w:pPr>
        <w:spacing w:after="40" w:before="4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00"/>
        <w:gridCol w:w="5196"/>
      </w:tblGrid>
      <w:tr>
        <w:tc>
          <w:tcPr>
            <w:tcBorders>
              <w:top w:val="none" w:color="FFFFFF" w:sz="0"/>
              <w:left w:val="none" w:color="FFFFFF" w:sz="0"/>
              <w:bottom w:val="none" w:color="FFFFFF" w:sz="0"/>
              <w:right w:val="none" w:color="FFFFFF" w:sz="0"/>
            </w:tcBorders>
            <w:tcMar>
              <w:top w:type="dxa" w:w="0"/>
              <w:left w:type="dxa" w:w="0"/>
              <w:bottom w:type="dxa" w:w="0"/>
              <w:right w:type="dxa" w:w="240"/>
            </w:tcMar>
          </w:tcPr>
          <w:p>
            <w:pPr>
              <w:pBdr>
                <w:bottom w:val="single" w:color="1A1A1A" w:sz="4" w:space="1"/>
              </w:pBdr>
              <w:spacing w:after="160" w:before="200"/>
            </w:pPr>
            <w:r>
              <w:t xml:space="preserve"/>
            </w:r>
          </w:p>
          <w:p>
            <w:pPr>
              <w:spacing w:after="80" w:before="80"/>
            </w:pPr>
            <w:r>
              <w:rPr>
                <w:b/>
                <w:bCs/>
                <w:color w:val="1A1A1A"/>
                <w:sz w:val="22"/>
                <w:szCs w:val="22"/>
              </w:rPr>
              <w:t xml:space="preserve">Printed Name:</w:t>
            </w:r>
          </w:p>
          <w:p>
            <w:pPr>
              <w:pBdr>
                <w:bottom w:val="single" w:color="1A1A1A" w:sz="4" w:space="1"/>
              </w:pBdr>
              <w:spacing w:after="0" w:before="0"/>
            </w:pPr>
            <w:r>
              <w:rPr>
                <w:color w:val="1A1A1A"/>
                <w:sz w:val="22"/>
                <w:szCs w:val="22"/>
              </w:rPr>
              <w:t xml:space="preserve"/>
            </w:r>
          </w:p>
          <w:p>
            <w:pPr>
              <w:spacing w:after="40" w:before="80"/>
            </w:pPr>
            <w:r>
              <w:t xml:space="preserve"/>
            </w:r>
          </w:p>
          <w:p>
            <w:pPr>
              <w:spacing w:after="40" w:before="40"/>
            </w:pPr>
            <w:r>
              <w:rPr>
                <w:b/>
                <w:bCs/>
                <w:color w:val="1A1A1A"/>
                <w:sz w:val="22"/>
                <w:szCs w:val="22"/>
              </w:rPr>
              <w:t xml:space="preserve">Title / Role:</w:t>
            </w:r>
          </w:p>
          <w:p>
            <w:pPr>
              <w:pBdr>
                <w:bottom w:val="single" w:color="1A1A1A" w:sz="4" w:space="1"/>
              </w:pBdr>
              <w:spacing w:after="0" w:before="0"/>
            </w:pPr>
            <w:r>
              <w:rPr>
                <w:color w:val="1A1A1A"/>
                <w:sz w:val="22"/>
                <w:szCs w:val="22"/>
              </w:rPr>
              <w:t xml:space="preserve">Owner / Portfolio Coordination Partner</w:t>
            </w:r>
          </w:p>
          <w:p>
            <w:pPr>
              <w:spacing w:after="40" w:before="80"/>
            </w:pPr>
            <w:r>
              <w:t xml:space="preserve"/>
            </w:r>
          </w:p>
          <w:p>
            <w:pPr>
              <w:spacing w:after="40" w:before="40"/>
            </w:pPr>
            <w:r>
              <w:rPr>
                <w:b/>
                <w:bCs/>
                <w:color w:val="1A1A1A"/>
                <w:sz w:val="22"/>
                <w:szCs w:val="22"/>
              </w:rPr>
              <w:t xml:space="preserve">Entity:</w:t>
            </w:r>
          </w:p>
          <w:p>
            <w:pPr>
              <w:pBdr>
                <w:bottom w:val="single" w:color="1A1A1A" w:sz="4" w:space="1"/>
              </w:pBdr>
              <w:spacing w:after="0" w:before="0"/>
            </w:pPr>
            <w:r>
              <w:rPr>
                <w:color w:val="1A1A1A"/>
                <w:sz w:val="22"/>
                <w:szCs w:val="22"/>
              </w:rPr>
              <w:t xml:space="preserve">Christine Pollard d/b/a Rental911</w:t>
            </w:r>
          </w:p>
          <w:p>
            <w:pPr>
              <w:spacing w:after="40" w:before="80"/>
            </w:pPr>
            <w:r>
              <w:t xml:space="preserve"/>
            </w:r>
          </w:p>
          <w:p>
            <w:pPr>
              <w:spacing w:after="40" w:before="40"/>
            </w:pPr>
            <w:r>
              <w:rPr>
                <w:b/>
                <w:bCs/>
                <w:color w:val="1A1A1A"/>
                <w:sz w:val="22"/>
                <w:szCs w:val="22"/>
              </w:rPr>
              <w:t xml:space="preserve">Date:</w:t>
            </w:r>
          </w:p>
          <w:p>
            <w:pPr>
              <w:pBdr>
                <w:bottom w:val="single" w:color="1A1A1A" w:sz="4" w:space="1"/>
              </w:pBdr>
              <w:spacing w:after="0" w:before="0"/>
            </w:pPr>
            <w: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240"/>
            </w:tcMar>
          </w:tcPr>
          <w:p>
            <w:pPr>
              <w:pBdr>
                <w:bottom w:val="single" w:color="1A1A1A" w:sz="4" w:space="1"/>
              </w:pBdr>
              <w:spacing w:after="160" w:before="200"/>
            </w:pPr>
            <w:r>
              <w:t xml:space="preserve"/>
            </w:r>
          </w:p>
          <w:p>
            <w:pPr>
              <w:spacing w:after="80" w:before="80"/>
            </w:pPr>
            <w:r>
              <w:rPr>
                <w:b/>
                <w:bCs/>
                <w:color w:val="1A1A1A"/>
                <w:sz w:val="22"/>
                <w:szCs w:val="22"/>
              </w:rPr>
              <w:t xml:space="preserve">Printed Name:</w:t>
            </w:r>
          </w:p>
          <w:p>
            <w:pPr>
              <w:pBdr>
                <w:bottom w:val="single" w:color="1A1A1A" w:sz="4" w:space="1"/>
              </w:pBdr>
              <w:spacing w:after="0" w:before="0"/>
            </w:pPr>
            <w:r>
              <w:rPr>
                <w:color w:val="1A1A1A"/>
                <w:sz w:val="22"/>
                <w:szCs w:val="22"/>
              </w:rPr>
              <w:t xml:space="preserve"/>
            </w:r>
          </w:p>
          <w:p>
            <w:pPr>
              <w:spacing w:after="40" w:before="80"/>
            </w:pPr>
            <w:r>
              <w:t xml:space="preserve"/>
            </w:r>
          </w:p>
          <w:p>
            <w:pPr>
              <w:spacing w:after="40" w:before="40"/>
            </w:pPr>
            <w:r>
              <w:rPr>
                <w:b/>
                <w:bCs/>
                <w:color w:val="1A1A1A"/>
                <w:sz w:val="22"/>
                <w:szCs w:val="22"/>
              </w:rPr>
              <w:t xml:space="preserve">Title / Role:</w:t>
            </w:r>
          </w:p>
          <w:p>
            <w:pPr>
              <w:pBdr>
                <w:bottom w:val="single" w:color="1A1A1A" w:sz="4" w:space="1"/>
              </w:pBdr>
              <w:spacing w:after="0" w:before="0"/>
            </w:pPr>
            <w:r>
              <w:rPr>
                <w:color w:val="1A1A1A"/>
                <w:sz w:val="22"/>
                <w:szCs w:val="22"/>
              </w:rPr>
              <w:t xml:space="preserve">Portfolio Owner</w:t>
            </w:r>
          </w:p>
          <w:p>
            <w:pPr>
              <w:spacing w:after="40" w:before="80"/>
            </w:pPr>
            <w:r>
              <w:t xml:space="preserve"/>
            </w:r>
          </w:p>
          <w:p>
            <w:pPr>
              <w:spacing w:after="40" w:before="40"/>
            </w:pPr>
            <w:r>
              <w:rPr>
                <w:b/>
                <w:bCs/>
                <w:color w:val="1A1A1A"/>
                <w:sz w:val="22"/>
                <w:szCs w:val="22"/>
              </w:rPr>
              <w:t xml:space="preserve">Entity:</w:t>
            </w:r>
          </w:p>
          <w:p>
            <w:pPr>
              <w:pBdr>
                <w:bottom w:val="single" w:color="1A1A1A" w:sz="4" w:space="1"/>
              </w:pBdr>
              <w:spacing w:after="0" w:before="0"/>
            </w:pPr>
            <w:r>
              <w:rPr>
                <w:color w:val="1A1A1A"/>
                <w:sz w:val="22"/>
                <w:szCs w:val="22"/>
              </w:rPr>
              <w:t xml:space="preserve"/>
            </w:r>
          </w:p>
          <w:p>
            <w:pPr>
              <w:spacing w:after="40" w:before="80"/>
            </w:pPr>
            <w:r>
              <w:t xml:space="preserve"/>
            </w:r>
          </w:p>
          <w:p>
            <w:pPr>
              <w:spacing w:after="40" w:before="40"/>
            </w:pPr>
            <w:r>
              <w:rPr>
                <w:b/>
                <w:bCs/>
                <w:color w:val="1A1A1A"/>
                <w:sz w:val="22"/>
                <w:szCs w:val="22"/>
              </w:rPr>
              <w:t xml:space="preserve">Date:</w:t>
            </w:r>
          </w:p>
          <w:p>
            <w:pPr>
              <w:pBdr>
                <w:bottom w:val="single" w:color="1A1A1A" w:sz="4" w:space="1"/>
              </w:pBdr>
              <w:spacing w:after="0" w:before="0"/>
            </w:pPr>
            <w:r>
              <w:t xml:space="preserve"/>
            </w:r>
          </w:p>
        </w:tc>
      </w:tr>
    </w:tbl>
    <w:p>
      <w:pPr>
        <w:spacing w:after="40" w:before="120"/>
      </w:pPr>
      <w:r>
        <w:t xml:space="preserve"/>
      </w:r>
    </w:p>
    <w:p>
      <w:pPr>
        <w:pBdr>
          <w:bottom w:val="single" w:color="C99A2A" w:sz="8" w:space="1"/>
        </w:pBdr>
        <w:spacing w:after="100" w:before="100"/>
      </w:pPr>
      <w:r>
        <w:t xml:space="preserve"/>
      </w:r>
    </w:p>
    <w:p>
      <w:pPr>
        <w:spacing w:after="0" w:before="80"/>
        <w:jc w:val="center"/>
      </w:pPr>
      <w:r>
        <w:rPr>
          <w:color w:val="666666"/>
          <w:sz w:val="20"/>
          <w:szCs w:val="20"/>
        </w:rPr>
        <w:t xml:space="preserve">Questions before signing? Contact us at clientcare@rental911.net  |  rental911.net</w:t>
      </w:r>
    </w:p>
    <w:sectPr>
      <w:footerReference w:type="default" r:id="rId7"/>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Rental911 — Remote Investor Partner Agreement  |  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2026-08-04T11:52:00.077Z</dcterms:created>
  <dcterms:modified xsi:type="dcterms:W3CDTF">2026-08-04T11:52:00.091Z</dcterms:modified>
</cp:coreProperties>
</file>

<file path=docProps/custom.xml><?xml version="1.0" encoding="utf-8"?>
<Properties xmlns="http://schemas.openxmlformats.org/officeDocument/2006/custom-properties" xmlns:vt="http://schemas.openxmlformats.org/officeDocument/2006/docPropsVTypes"/>
</file>