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5F" w:rsidRDefault="00F32E15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3D6F5F" w:rsidRDefault="00F32E15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3D6F5F" w:rsidRDefault="00F32E15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3D6F5F" w:rsidRDefault="003D6F5F">
      <w:pPr>
        <w:spacing w:line="360" w:lineRule="auto"/>
        <w:jc w:val="center"/>
        <w:rPr>
          <w:lang w:val="uk-UA"/>
        </w:rPr>
      </w:pPr>
    </w:p>
    <w:p w:rsidR="003D6F5F" w:rsidRDefault="00F32E15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 xml:space="preserve">Стратегическое </w:t>
      </w:r>
      <w:proofErr w:type="spellStart"/>
      <w:r>
        <w:t>управ</w:t>
      </w:r>
      <w:bookmarkStart w:id="0" w:name="_GoBack"/>
      <w:bookmarkEnd w:id="0"/>
      <w:r>
        <w:t>лени</w:t>
      </w:r>
      <w:proofErr w:type="spellEnd"/>
      <w:r>
        <w:rPr>
          <w:lang w:val="uk-UA"/>
        </w:rPr>
        <w:t>я»</w:t>
      </w:r>
    </w:p>
    <w:p w:rsidR="003D6F5F" w:rsidRDefault="003D6F5F">
      <w:pPr>
        <w:spacing w:line="360" w:lineRule="auto"/>
        <w:jc w:val="center"/>
        <w:rPr>
          <w:lang w:val="uk-UA"/>
        </w:rPr>
      </w:pPr>
    </w:p>
    <w:p w:rsidR="003D6F5F" w:rsidRDefault="003D6F5F">
      <w:pPr>
        <w:spacing w:line="360" w:lineRule="auto"/>
        <w:jc w:val="center"/>
        <w:rPr>
          <w:lang w:val="uk-UA"/>
        </w:rPr>
      </w:pPr>
    </w:p>
    <w:p w:rsidR="003D6F5F" w:rsidRPr="003C23D7" w:rsidRDefault="00F32E15">
      <w:pPr>
        <w:spacing w:line="360" w:lineRule="auto"/>
        <w:jc w:val="center"/>
        <w:rPr>
          <w:lang w:val="en-US"/>
        </w:rPr>
      </w:pPr>
      <w:r>
        <w:t>Отчет к лабораторной работе №</w:t>
      </w:r>
      <w:r w:rsidR="003C23D7">
        <w:rPr>
          <w:lang w:val="en-US"/>
        </w:rPr>
        <w:t xml:space="preserve"> 4</w:t>
      </w:r>
    </w:p>
    <w:p w:rsidR="003D6F5F" w:rsidRPr="003C23D7" w:rsidRDefault="00F32E15">
      <w:pPr>
        <w:spacing w:line="360" w:lineRule="auto"/>
        <w:jc w:val="center"/>
      </w:pPr>
      <w:r w:rsidRPr="003C23D7">
        <w:rPr>
          <w:bCs/>
        </w:rPr>
        <w:t>«</w:t>
      </w:r>
      <w:r>
        <w:t>СУММАТОРЫ, КОМПАРАТОРЫ</w:t>
      </w:r>
      <w:r w:rsidRPr="003C23D7">
        <w:rPr>
          <w:bCs/>
        </w:rPr>
        <w:t>»</w:t>
      </w:r>
    </w:p>
    <w:p w:rsidR="003D6F5F" w:rsidRDefault="003D6F5F">
      <w:pPr>
        <w:spacing w:line="360" w:lineRule="auto"/>
        <w:rPr>
          <w:b/>
          <w:bCs/>
        </w:rPr>
      </w:pPr>
    </w:p>
    <w:p w:rsidR="003D6F5F" w:rsidRDefault="003D6F5F">
      <w:pPr>
        <w:spacing w:line="360" w:lineRule="auto"/>
        <w:jc w:val="right"/>
        <w:rPr>
          <w:bCs/>
        </w:rPr>
      </w:pPr>
    </w:p>
    <w:p w:rsidR="003D6F5F" w:rsidRDefault="003D6F5F">
      <w:pPr>
        <w:spacing w:line="360" w:lineRule="auto"/>
        <w:jc w:val="right"/>
        <w:rPr>
          <w:bCs/>
        </w:rPr>
      </w:pPr>
    </w:p>
    <w:p w:rsidR="003D6F5F" w:rsidRDefault="00F32E1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3D6F5F" w:rsidRDefault="00F32E1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3D6F5F" w:rsidRDefault="00F32E15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proofErr w:type="spellStart"/>
      <w:r>
        <w:rPr>
          <w:bCs/>
        </w:rPr>
        <w:t>Мошко</w:t>
      </w:r>
      <w:proofErr w:type="spellEnd"/>
      <w:r>
        <w:rPr>
          <w:bCs/>
        </w:rPr>
        <w:t xml:space="preserve"> Е. А.</w:t>
      </w:r>
    </w:p>
    <w:p w:rsidR="003D6F5F" w:rsidRDefault="003D6F5F">
      <w:pPr>
        <w:spacing w:line="360" w:lineRule="auto"/>
        <w:jc w:val="right"/>
        <w:rPr>
          <w:bCs/>
        </w:rPr>
      </w:pPr>
    </w:p>
    <w:p w:rsidR="003D6F5F" w:rsidRDefault="003D6F5F">
      <w:pPr>
        <w:spacing w:line="360" w:lineRule="auto"/>
        <w:jc w:val="center"/>
      </w:pPr>
    </w:p>
    <w:p w:rsidR="003D6F5F" w:rsidRDefault="003D6F5F"/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3D6F5F">
      <w:pPr>
        <w:jc w:val="center"/>
      </w:pPr>
    </w:p>
    <w:p w:rsidR="003D6F5F" w:rsidRDefault="00F32E15">
      <w:pPr>
        <w:jc w:val="center"/>
      </w:pPr>
      <w:r>
        <w:t>Харьков</w:t>
      </w:r>
      <w:r w:rsidRPr="003C23D7">
        <w:t>,</w:t>
      </w:r>
      <w:r>
        <w:rPr>
          <w:lang w:val="uk-UA"/>
        </w:rPr>
        <w:t xml:space="preserve"> 2018</w:t>
      </w:r>
      <w:r>
        <w:br w:type="page"/>
      </w:r>
    </w:p>
    <w:p w:rsidR="003D6F5F" w:rsidRDefault="00F32E15">
      <w:pPr>
        <w:pStyle w:val="ab"/>
      </w:pPr>
      <w:proofErr w:type="spellStart"/>
      <w:r>
        <w:lastRenderedPageBreak/>
        <w:t>Лабораторна</w:t>
      </w:r>
      <w:proofErr w:type="spellEnd"/>
      <w:r>
        <w:t xml:space="preserve"> робота №</w:t>
      </w:r>
    </w:p>
    <w:p w:rsidR="003D6F5F" w:rsidRDefault="00F32E15">
      <w:pPr>
        <w:pStyle w:val="ab"/>
      </w:pPr>
      <w:r>
        <w:t xml:space="preserve">Тема: </w:t>
      </w:r>
      <w:r>
        <w:t>Сумматоры, Компараторы</w:t>
      </w:r>
    </w:p>
    <w:p w:rsidR="003D6F5F" w:rsidRDefault="00F32E15">
      <w:pPr>
        <w:pStyle w:val="ab"/>
      </w:pPr>
      <w:proofErr w:type="spellStart"/>
      <w:r>
        <w:t>Задани</w:t>
      </w:r>
      <w:proofErr w:type="spellEnd"/>
      <w:proofErr w:type="gramStart"/>
      <w:r>
        <w:rPr>
          <w:lang w:val="en-US"/>
        </w:rPr>
        <w:t>e</w:t>
      </w:r>
      <w:proofErr w:type="gramEnd"/>
      <w:r w:rsidRPr="003C23D7">
        <w:t xml:space="preserve"> </w:t>
      </w:r>
      <w:r>
        <w:t>№1</w:t>
      </w:r>
    </w:p>
    <w:p w:rsidR="003D6F5F" w:rsidRDefault="00F32E1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</w:t>
      </w:r>
      <w:proofErr w:type="spellStart"/>
      <w:r>
        <w:t>четвертьсумматора</w:t>
      </w:r>
      <w:proofErr w:type="spellEnd"/>
      <w:r>
        <w:t xml:space="preserve"> (рис. 4.1),</w:t>
      </w:r>
      <w:r>
        <w:t xml:space="preserve"> снять временную диаграмму, проанализировать ее. Записать логическое выражение, которое характеризует принцип работы </w:t>
      </w:r>
      <w:proofErr w:type="spellStart"/>
      <w:r>
        <w:t>четвертьсумматора</w:t>
      </w:r>
      <w:proofErr w:type="spellEnd"/>
      <w:r>
        <w:t>. Записать таблицу состояний.</w:t>
      </w:r>
    </w:p>
    <w:p w:rsidR="003D6F5F" w:rsidRDefault="003D6F5F">
      <w:pPr>
        <w:jc w:val="center"/>
      </w:pPr>
      <w:r w:rsidRPr="003D6F5F">
        <w:object w:dxaOrig="383" w:dyaOrig="260">
          <v:shape id="ole_rId2" o:spid="_x0000_i1025" style="width:33.75pt;height:23.2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ShapeID="ole_rId2" DrawAspect="Content" ObjectID="_1628326522" r:id="rId5"/>
        </w:object>
      </w:r>
    </w:p>
    <w:tbl>
      <w:tblPr>
        <w:tblW w:w="4303" w:type="dxa"/>
        <w:tblInd w:w="1330" w:type="dxa"/>
        <w:tblLook w:val="04A0"/>
      </w:tblPr>
      <w:tblGrid>
        <w:gridCol w:w="2526"/>
        <w:gridCol w:w="1777"/>
      </w:tblGrid>
      <w:tr w:rsidR="003D6F5F">
        <w:tc>
          <w:tcPr>
            <w:tcW w:w="2525" w:type="dxa"/>
            <w:shd w:val="clear" w:color="auto" w:fill="auto"/>
          </w:tcPr>
          <w:p w:rsidR="003D6F5F" w:rsidRDefault="003D6F5F">
            <w:pPr>
              <w:pStyle w:val="af"/>
            </w:pPr>
          </w:p>
        </w:tc>
        <w:tc>
          <w:tcPr>
            <w:tcW w:w="1777" w:type="dxa"/>
            <w:shd w:val="clear" w:color="auto" w:fill="auto"/>
          </w:tcPr>
          <w:p w:rsidR="003D6F5F" w:rsidRDefault="003D6F5F">
            <w:pPr>
              <w:pStyle w:val="af"/>
              <w:rPr>
                <w:b/>
                <w:bCs/>
                <w:u w:val="single"/>
              </w:rPr>
            </w:pPr>
          </w:p>
        </w:tc>
      </w:tr>
    </w:tbl>
    <w:p w:rsidR="003D6F5F" w:rsidRDefault="00F32E15">
      <w:pPr>
        <w:pStyle w:val="ae"/>
        <w:spacing w:before="80"/>
      </w:pPr>
      <w:r>
        <w:rPr>
          <w:i/>
          <w:iCs/>
          <w:sz w:val="24"/>
          <w:szCs w:val="24"/>
        </w:rPr>
        <w:t xml:space="preserve">Рисунок 4.1 – Условные обозначения </w:t>
      </w:r>
      <w:proofErr w:type="spellStart"/>
      <w:r>
        <w:rPr>
          <w:i/>
          <w:iCs/>
          <w:sz w:val="24"/>
          <w:szCs w:val="24"/>
        </w:rPr>
        <w:t>четвертьсумматора</w:t>
      </w:r>
      <w:proofErr w:type="spellEnd"/>
    </w:p>
    <w:p w:rsidR="003D6F5F" w:rsidRDefault="00F32E1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3D6F5F" w:rsidRDefault="00F32E1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2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Default="00F32E15">
      <w:pPr>
        <w:spacing w:before="80"/>
        <w:jc w:val="center"/>
        <w:rPr>
          <w:b/>
          <w:bCs/>
          <w:i/>
          <w:iCs/>
        </w:rPr>
      </w:pPr>
      <w:r>
        <w:rPr>
          <w:noProof/>
          <w:lang w:val="en-US"/>
        </w:rPr>
        <w:drawing>
          <wp:inline distT="0" distB="0" distL="0" distR="0">
            <wp:extent cx="2124075" cy="276225"/>
            <wp:effectExtent l="0" t="0" r="0" b="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F" w:rsidRDefault="00F32E15">
      <w:pPr>
        <w:spacing w:before="80"/>
        <w:jc w:val="center"/>
        <w:rPr>
          <w:b/>
          <w:bCs/>
        </w:rPr>
      </w:pPr>
      <w:r>
        <w:rPr>
          <w:b/>
          <w:bCs/>
        </w:rPr>
        <w:t>Задание №2</w:t>
      </w:r>
    </w:p>
    <w:p w:rsidR="003D6F5F" w:rsidRDefault="00F32E1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полусумматора, содержащую макрос </w:t>
      </w:r>
      <w:r>
        <w:t>“</w:t>
      </w:r>
      <w:r>
        <w:rPr>
          <w:lang w:val="en-US"/>
        </w:rPr>
        <w:t>HS</w:t>
      </w:r>
      <w:r>
        <w:t>”</w:t>
      </w:r>
      <w:r>
        <w:t xml:space="preserve">, внутренняя структура которого представлена на рисунке 4.2. Снять временную диаграмму и проанализировать ее. Записать логическое выражение, которое характеризует принцип работы </w:t>
      </w:r>
      <w:r>
        <w:t>полусумматора. Записать таблицу состояний.</w:t>
      </w:r>
    </w:p>
    <w:p w:rsidR="003D6F5F" w:rsidRDefault="00F32E15">
      <w:pPr>
        <w:pStyle w:val="af"/>
      </w:pPr>
      <w:r>
        <w:rPr>
          <w:noProof/>
          <w:lang w:val="en-US"/>
        </w:rPr>
        <w:drawing>
          <wp:inline distT="0" distB="0" distL="0" distR="0">
            <wp:extent cx="1623695" cy="68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27" t="12024" r="-27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F" w:rsidRDefault="00F32E15">
      <w:pPr>
        <w:pStyle w:val="ae"/>
        <w:spacing w:before="80"/>
        <w:rPr>
          <w:i/>
          <w:iCs/>
        </w:rPr>
      </w:pPr>
      <w:r>
        <w:rPr>
          <w:i/>
          <w:iCs/>
          <w:sz w:val="24"/>
          <w:szCs w:val="24"/>
        </w:rPr>
        <w:t>Рисунок 4.2 – Схема полусумматора “</w:t>
      </w:r>
      <w:r>
        <w:rPr>
          <w:i/>
          <w:iCs/>
          <w:sz w:val="24"/>
          <w:szCs w:val="24"/>
          <w:lang w:val="en-US"/>
        </w:rPr>
        <w:t>HS</w:t>
      </w:r>
      <w:r>
        <w:rPr>
          <w:i/>
          <w:iCs/>
          <w:sz w:val="24"/>
          <w:szCs w:val="24"/>
        </w:rPr>
        <w:t>”</w:t>
      </w:r>
    </w:p>
    <w:p w:rsidR="003D6F5F" w:rsidRDefault="00F32E1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3D6F5F" w:rsidRDefault="00F32E15">
      <w:pPr>
        <w:spacing w:before="80"/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585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F5F" w:rsidRPr="003D6F5F">
        <w:pict>
          <v:rect id="shape_0" o:spid="_x0000_s1027" style="position:absolute;left:0;text-align:left;margin-left:0;margin-top:0;width:134.15pt;height:131.7pt;z-index:251661824;mso-position-horizontal-relative:text;mso-position-vertical:top;mso-position-vertical-relative:text" filled="f" stroked="f" strokecolor="#3465a4">
            <v:fill o:detectmouseclick="t"/>
            <v:stroke joinstyle="round"/>
            <v:textbox>
              <w:txbxContent>
                <w:p w:rsidR="003D6F5F" w:rsidRDefault="00F32E15">
                  <w:pPr>
                    <w:pStyle w:val="Caption"/>
                    <w:rPr>
                      <w:color w:val="auto"/>
                    </w:rPr>
                  </w:pPr>
                  <w:r>
                    <w:rPr>
                      <w:noProof/>
                      <w:color w:val="auto"/>
                      <w:lang w:val="en-US"/>
                    </w:rPr>
                    <w:drawing>
                      <wp:inline distT="0" distB="0" distL="0" distR="0">
                        <wp:extent cx="1704340" cy="1143635"/>
                        <wp:effectExtent l="0" t="0" r="0" b="0"/>
                        <wp:docPr id="8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l="60944" t="60815" r="27364" b="266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340" cy="1143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Таблица состояний для полусумматора</w:t>
                  </w:r>
                </w:p>
              </w:txbxContent>
            </v:textbox>
            <w10:wrap type="square"/>
          </v:rect>
        </w:pict>
      </w:r>
      <w:r w:rsidR="003D6F5F" w:rsidRPr="003D6F5F">
        <w:pict>
          <v:rect id="_x0000_s1026" style="position:absolute;left:0;text-align:left;margin-left:0;margin-top:0;width:176.2pt;height:89.35pt;z-index:251662848;mso-position-horizontal-relative:text;mso-position-vertical:top;mso-position-vertical-relative:text" filled="f" stroked="f" strokecolor="#3465a4">
            <v:fill o:detectmouseclick="t"/>
            <v:stroke joinstyle="round"/>
            <v:textbox>
              <w:txbxContent>
                <w:p w:rsidR="003D6F5F" w:rsidRDefault="00F32E15">
                  <w:pPr>
                    <w:pStyle w:val="Caption"/>
                    <w:rPr>
                      <w:color w:val="auto"/>
                    </w:rPr>
                  </w:pPr>
                  <w:r>
                    <w:rPr>
                      <w:vanish/>
                      <w:color w:val="auto"/>
                    </w:rPr>
                    <w:br/>
                  </w:r>
                  <w:r>
                    <w:rPr>
                      <w:noProof/>
                      <w:vanish/>
                      <w:color w:val="auto"/>
                      <w:lang w:val="en-US"/>
                    </w:rPr>
                    <w:drawing>
                      <wp:inline distT="0" distB="0" distL="0" distR="0">
                        <wp:extent cx="2238375" cy="815975"/>
                        <wp:effectExtent l="0" t="0" r="0" b="0"/>
                        <wp:docPr id="12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Рисунок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l="45871" t="46193" r="38758" b="4484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375" cy="815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auto"/>
                    </w:rPr>
                    <w:t>Формула полусумматора</w:t>
                  </w:r>
                </w:p>
              </w:txbxContent>
            </v:textbox>
            <w10:wrap type="square"/>
          </v:rect>
        </w:pict>
      </w:r>
    </w:p>
    <w:p w:rsidR="003D6F5F" w:rsidRDefault="00F32E15">
      <w:pPr>
        <w:spacing w:before="80"/>
        <w:jc w:val="center"/>
        <w:rPr>
          <w:b/>
          <w:bCs/>
        </w:rPr>
      </w:pPr>
      <w:r>
        <w:rPr>
          <w:b/>
          <w:bCs/>
        </w:rPr>
        <w:t>Задание №3</w:t>
      </w:r>
    </w:p>
    <w:p w:rsidR="003D6F5F" w:rsidRDefault="00F32E1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полного сумматора, содержащую макрос </w:t>
      </w:r>
      <w:r>
        <w:t>“</w:t>
      </w:r>
      <w:r>
        <w:rPr>
          <w:lang w:val="en-US"/>
        </w:rPr>
        <w:t>SM</w:t>
      </w:r>
      <w:r>
        <w:t>”</w:t>
      </w:r>
      <w:r>
        <w:t xml:space="preserve">, внутренняя </w:t>
      </w:r>
      <w:r>
        <w:t>структура которого представлена на рисунке 4.3. Снять временную диаграмму и проанализировать ее. Записать таблицу состояний.</w:t>
      </w:r>
    </w:p>
    <w:p w:rsidR="003D6F5F" w:rsidRDefault="003D6F5F">
      <w:pPr>
        <w:rPr>
          <w:sz w:val="16"/>
          <w:szCs w:val="16"/>
        </w:rPr>
      </w:pPr>
    </w:p>
    <w:p w:rsidR="003D6F5F" w:rsidRDefault="00F32E15">
      <w:pPr>
        <w:pStyle w:val="af"/>
      </w:pPr>
      <w:r>
        <w:rPr>
          <w:noProof/>
          <w:lang w:val="en-US"/>
        </w:rPr>
        <w:drawing>
          <wp:inline distT="0" distB="0" distL="0" distR="0">
            <wp:extent cx="4041140" cy="1910715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13" t="4961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F" w:rsidRDefault="00F32E15">
      <w:pPr>
        <w:pStyle w:val="ae"/>
        <w:spacing w:before="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4.3 – Схема </w:t>
      </w:r>
      <w:proofErr w:type="spellStart"/>
      <w:r>
        <w:rPr>
          <w:i/>
          <w:iCs/>
          <w:sz w:val="24"/>
          <w:szCs w:val="24"/>
        </w:rPr>
        <w:t>повного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суматору</w:t>
      </w:r>
      <w:proofErr w:type="spellEnd"/>
    </w:p>
    <w:p w:rsidR="003D6F5F" w:rsidRDefault="00F32E15">
      <w:r>
        <w:rPr>
          <w:b/>
          <w:bCs/>
          <w:i/>
          <w:iCs/>
        </w:rPr>
        <w:t>Выполнение</w:t>
      </w:r>
      <w:r>
        <w:t>.</w:t>
      </w:r>
    </w:p>
    <w:p w:rsidR="003D6F5F" w:rsidRDefault="00F32E15">
      <w:pPr>
        <w:pStyle w:val="ae"/>
        <w:spacing w:before="8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0425" cy="234505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Pr="003C23D7" w:rsidRDefault="00F32E15">
      <w:pPr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45085</wp:posOffset>
            </wp:positionV>
            <wp:extent cx="5810250" cy="2646045"/>
            <wp:effectExtent l="0" t="0" r="0" b="0"/>
            <wp:wrapSquare wrapText="largest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59" t="1638" r="927" b="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Default="003D6F5F">
      <w:pPr>
        <w:jc w:val="center"/>
        <w:rPr>
          <w:b/>
          <w:bCs/>
        </w:rPr>
      </w:pPr>
    </w:p>
    <w:tbl>
      <w:tblPr>
        <w:tblW w:w="2434" w:type="dxa"/>
        <w:jc w:val="center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  <w:insideH w:val="single" w:sz="2" w:space="0" w:color="A2A9B1"/>
          <w:insideV w:val="single" w:sz="2" w:space="0" w:color="A2A9B1"/>
        </w:tblBorders>
        <w:tblCellMar>
          <w:top w:w="28" w:type="dxa"/>
          <w:left w:w="26" w:type="dxa"/>
          <w:bottom w:w="28" w:type="dxa"/>
          <w:right w:w="28" w:type="dxa"/>
        </w:tblCellMar>
        <w:tblLook w:val="04A0"/>
      </w:tblPr>
      <w:tblGrid>
        <w:gridCol w:w="437"/>
        <w:gridCol w:w="437"/>
        <w:gridCol w:w="437"/>
        <w:gridCol w:w="572"/>
        <w:gridCol w:w="551"/>
      </w:tblGrid>
      <w:tr w:rsidR="003D6F5F">
        <w:trPr>
          <w:jc w:val="center"/>
        </w:trPr>
        <w:tc>
          <w:tcPr>
            <w:tcW w:w="1311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jc w:val="left"/>
            </w:pPr>
            <w:r>
              <w:t>Вход</w:t>
            </w:r>
          </w:p>
        </w:tc>
        <w:tc>
          <w:tcPr>
            <w:tcW w:w="1123" w:type="dxa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jc w:val="left"/>
            </w:pPr>
            <w:r>
              <w:t>Выход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A’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3D6F5F" w:rsidRDefault="00F32E1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S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0</w:t>
            </w:r>
          </w:p>
        </w:tc>
      </w:tr>
      <w:tr w:rsidR="003D6F5F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3D6F5F" w:rsidRDefault="00F32E15">
            <w:pPr>
              <w:pStyle w:val="TableContents"/>
            </w:pPr>
            <w:r>
              <w:t>1</w:t>
            </w:r>
          </w:p>
        </w:tc>
      </w:tr>
    </w:tbl>
    <w:p w:rsidR="003D6F5F" w:rsidRDefault="00F32E15">
      <w:pPr>
        <w:jc w:val="center"/>
        <w:rPr>
          <w:b/>
          <w:bCs/>
        </w:rPr>
      </w:pPr>
      <w:r>
        <w:rPr>
          <w:b/>
          <w:bCs/>
        </w:rPr>
        <w:t>Задание №4</w:t>
      </w:r>
    </w:p>
    <w:p w:rsidR="003D6F5F" w:rsidRDefault="00F32E1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>Собрать схему, представленную на рисунке 4.4. Проанализировать ее.</w:t>
      </w:r>
    </w:p>
    <w:p w:rsidR="003D6F5F" w:rsidRDefault="003D6F5F"/>
    <w:p w:rsidR="003D6F5F" w:rsidRDefault="00F32E15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4116070" cy="2031365"/>
            <wp:effectExtent l="0" t="0" r="0" b="0"/>
            <wp:docPr id="16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 l="22160" t="39265" r="23181" b="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F" w:rsidRDefault="00F32E15">
      <w:pPr>
        <w:pStyle w:val="a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.4 – Схема </w:t>
      </w:r>
      <w:r>
        <w:rPr>
          <w:i/>
          <w:iCs/>
          <w:sz w:val="24"/>
          <w:szCs w:val="24"/>
        </w:rPr>
        <w:t>сложения двоичных чисел</w:t>
      </w:r>
    </w:p>
    <w:p w:rsidR="003D6F5F" w:rsidRDefault="00F32E15">
      <w:r>
        <w:t>Реализовать сложение нескольких двоичных чисел.</w:t>
      </w:r>
    </w:p>
    <w:p w:rsidR="003D6F5F" w:rsidRDefault="00F32E15">
      <w:pPr>
        <w:jc w:val="center"/>
        <w:rPr>
          <w:i/>
          <w:iCs/>
        </w:rPr>
      </w:pPr>
      <w:r>
        <w:rPr>
          <w:i/>
          <w:iCs/>
        </w:rPr>
        <w:t>10000,111,101</w:t>
      </w:r>
    </w:p>
    <w:p w:rsidR="003D6F5F" w:rsidRDefault="00F32E15">
      <w:r>
        <w:rPr>
          <w:b/>
          <w:bCs/>
          <w:i/>
          <w:iCs/>
        </w:rPr>
        <w:t>Выполнение.</w:t>
      </w:r>
    </w:p>
    <w:p w:rsidR="003D6F5F" w:rsidRDefault="00F32E15">
      <w:pPr>
        <w:rPr>
          <w:b/>
          <w:bCs/>
          <w:i/>
          <w:iCs/>
        </w:rPr>
      </w:pPr>
      <w:r>
        <w:rPr>
          <w:noProof/>
          <w:lang w:val="en-US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96185"/>
            <wp:effectExtent l="0" t="0" r="0" b="0"/>
            <wp:wrapTopAndBottom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Default="00F32E15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1090"/>
            <wp:effectExtent l="0" t="0" r="0" b="0"/>
            <wp:wrapTopAndBottom/>
            <wp:docPr id="1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Default="00F32E15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2382520"/>
            <wp:effectExtent l="0" t="0" r="0" b="0"/>
            <wp:wrapTopAndBottom/>
            <wp:docPr id="1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2360"/>
            <wp:effectExtent l="0" t="0" r="0" b="0"/>
            <wp:wrapSquare wrapText="largest"/>
            <wp:docPr id="2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F5F" w:rsidRDefault="00F32E15">
      <w:pPr>
        <w:jc w:val="center"/>
        <w:rPr>
          <w:b/>
          <w:bCs/>
        </w:rPr>
      </w:pPr>
      <w:r>
        <w:rPr>
          <w:b/>
          <w:bCs/>
        </w:rPr>
        <w:t>Задание №5</w:t>
      </w:r>
    </w:p>
    <w:p w:rsidR="003D6F5F" w:rsidRDefault="00F32E1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компаратора, зная таблицу истинности. </w:t>
      </w:r>
    </w:p>
    <w:tbl>
      <w:tblPr>
        <w:tblW w:w="4583" w:type="dxa"/>
        <w:tblInd w:w="187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675"/>
        <w:gridCol w:w="654"/>
        <w:gridCol w:w="1003"/>
        <w:gridCol w:w="1084"/>
        <w:gridCol w:w="1167"/>
      </w:tblGrid>
      <w:tr w:rsidR="003D6F5F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A&lt;B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A&gt;B</w:t>
            </w:r>
          </w:p>
        </w:tc>
      </w:tr>
      <w:tr w:rsidR="003D6F5F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6F5F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6F5F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6F5F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D6F5F" w:rsidRDefault="00F32E15">
      <w:pPr>
        <w:rPr>
          <w:i/>
          <w:iCs/>
        </w:rPr>
      </w:pPr>
      <w:r>
        <w:rPr>
          <w:i/>
          <w:iCs/>
        </w:rPr>
        <w:t>Привести логические выражения, отображающие работу компаратора.</w:t>
      </w:r>
    </w:p>
    <w:p w:rsidR="003D6F5F" w:rsidRDefault="00F32E1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3D6F5F" w:rsidRDefault="00F32E15"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9770"/>
            <wp:effectExtent l="0" t="0" r="0" b="0"/>
            <wp:wrapTopAndBottom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Логические выражения, выражающие работу </w:t>
      </w:r>
      <w:r>
        <w:t>компаратора:</w:t>
      </w:r>
    </w:p>
    <w:tbl>
      <w:tblPr>
        <w:tblW w:w="935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3118"/>
        <w:gridCol w:w="2364"/>
        <w:gridCol w:w="3873"/>
      </w:tblGrid>
      <w:tr w:rsidR="003D6F5F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AB + A’B’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</w:pPr>
            <w:r>
              <w:t>Исключающее НЕ</w:t>
            </w:r>
          </w:p>
        </w:tc>
      </w:tr>
      <w:tr w:rsidR="003D6F5F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A&gt;B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B’A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</w:pPr>
            <w:bookmarkStart w:id="1" w:name="__DdeLink__384_2588792839"/>
            <w:r>
              <w:t>Отрицание обр. импликации</w:t>
            </w:r>
            <w:bookmarkEnd w:id="1"/>
          </w:p>
        </w:tc>
      </w:tr>
      <w:tr w:rsidR="003D6F5F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B&gt;A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BA’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D6F5F" w:rsidRDefault="00F32E15">
            <w:pPr>
              <w:pStyle w:val="TableContents"/>
            </w:pPr>
            <w:r>
              <w:t>Отрицание импликации</w:t>
            </w:r>
          </w:p>
        </w:tc>
      </w:tr>
    </w:tbl>
    <w:p w:rsidR="003D6F5F" w:rsidRDefault="003D6F5F">
      <w:pPr>
        <w:rPr>
          <w:lang w:val="en-US"/>
        </w:rPr>
      </w:pPr>
    </w:p>
    <w:p w:rsidR="003D6F5F" w:rsidRDefault="00F32E15">
      <w:r>
        <w:rPr>
          <w:b/>
          <w:bCs/>
        </w:rPr>
        <w:t xml:space="preserve">Вывод. </w:t>
      </w:r>
      <w:r>
        <w:t>В этой лабораторной работе я ознакомился с работой полусумматоров, сумматоров, построил схему компаратора по данной таблице истинности.</w:t>
      </w:r>
    </w:p>
    <w:sectPr w:rsidR="003D6F5F" w:rsidSect="003D6F5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6F5F"/>
    <w:rsid w:val="003C23D7"/>
    <w:rsid w:val="003D6F5F"/>
    <w:rsid w:val="00F3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3D6F5F"/>
    <w:rPr>
      <w:rFonts w:cs="Courier New"/>
    </w:rPr>
  </w:style>
  <w:style w:type="character" w:customStyle="1" w:styleId="ListLabel2">
    <w:name w:val="ListLabel 2"/>
    <w:qFormat/>
    <w:rsid w:val="003D6F5F"/>
    <w:rPr>
      <w:rFonts w:cs="Courier New"/>
    </w:rPr>
  </w:style>
  <w:style w:type="character" w:customStyle="1" w:styleId="ListLabel3">
    <w:name w:val="ListLabel 3"/>
    <w:qFormat/>
    <w:rsid w:val="003D6F5F"/>
    <w:rPr>
      <w:rFonts w:cs="Courier New"/>
    </w:rPr>
  </w:style>
  <w:style w:type="character" w:customStyle="1" w:styleId="ListLabel4">
    <w:name w:val="ListLabel 4"/>
    <w:qFormat/>
    <w:rsid w:val="003D6F5F"/>
    <w:rPr>
      <w:rFonts w:eastAsia="Calibri" w:cs="Times New Roman"/>
    </w:rPr>
  </w:style>
  <w:style w:type="character" w:customStyle="1" w:styleId="ListLabel5">
    <w:name w:val="ListLabel 5"/>
    <w:qFormat/>
    <w:rsid w:val="003D6F5F"/>
    <w:rPr>
      <w:rFonts w:cs="Courier New"/>
    </w:rPr>
  </w:style>
  <w:style w:type="character" w:customStyle="1" w:styleId="ListLabel6">
    <w:name w:val="ListLabel 6"/>
    <w:qFormat/>
    <w:rsid w:val="003D6F5F"/>
    <w:rPr>
      <w:rFonts w:cs="Courier New"/>
    </w:rPr>
  </w:style>
  <w:style w:type="character" w:customStyle="1" w:styleId="ListLabel7">
    <w:name w:val="ListLabel 7"/>
    <w:qFormat/>
    <w:rsid w:val="003D6F5F"/>
    <w:rPr>
      <w:rFonts w:cs="Courier New"/>
    </w:rPr>
  </w:style>
  <w:style w:type="paragraph" w:customStyle="1" w:styleId="Heading">
    <w:name w:val="Heading"/>
    <w:basedOn w:val="a"/>
    <w:next w:val="a8"/>
    <w:qFormat/>
    <w:rsid w:val="003D6F5F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3D6F5F"/>
    <w:pPr>
      <w:spacing w:after="140" w:line="276" w:lineRule="auto"/>
    </w:pPr>
  </w:style>
  <w:style w:type="paragraph" w:styleId="a9">
    <w:name w:val="List"/>
    <w:basedOn w:val="a8"/>
    <w:rsid w:val="003D6F5F"/>
    <w:rPr>
      <w:rFonts w:cs="Arial"/>
    </w:rPr>
  </w:style>
  <w:style w:type="paragraph" w:customStyle="1" w:styleId="Caption">
    <w:name w:val="Caption"/>
    <w:basedOn w:val="a"/>
    <w:qFormat/>
    <w:rsid w:val="003D6F5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3D6F5F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Номер рисунка"/>
    <w:basedOn w:val="a"/>
    <w:next w:val="a"/>
    <w:qFormat/>
    <w:rsid w:val="003D6F5F"/>
    <w:pPr>
      <w:keepLines/>
      <w:jc w:val="center"/>
    </w:pPr>
    <w:rPr>
      <w:szCs w:val="20"/>
    </w:rPr>
  </w:style>
  <w:style w:type="paragraph" w:customStyle="1" w:styleId="af">
    <w:name w:val="Рисунок"/>
    <w:basedOn w:val="a"/>
    <w:qFormat/>
    <w:rsid w:val="003D6F5F"/>
    <w:pPr>
      <w:keepNext/>
      <w:keepLines/>
      <w:jc w:val="center"/>
    </w:pPr>
  </w:style>
  <w:style w:type="paragraph" w:customStyle="1" w:styleId="TableContents">
    <w:name w:val="Table Contents"/>
    <w:basedOn w:val="a"/>
    <w:qFormat/>
    <w:rsid w:val="003D6F5F"/>
    <w:pPr>
      <w:suppressLineNumbers/>
    </w:pPr>
  </w:style>
  <w:style w:type="paragraph" w:customStyle="1" w:styleId="TableHeading">
    <w:name w:val="Table Heading"/>
    <w:basedOn w:val="TableContents"/>
    <w:qFormat/>
    <w:rsid w:val="003D6F5F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3D6F5F"/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328</Words>
  <Characters>1872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22</cp:revision>
  <dcterms:created xsi:type="dcterms:W3CDTF">2017-10-29T20:37:00Z</dcterms:created>
  <dcterms:modified xsi:type="dcterms:W3CDTF">2019-08-26T09:09:00Z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