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F1" w:rsidRDefault="009A717F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DE0BF1" w:rsidRDefault="009A717F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DE0BF1" w:rsidRDefault="009A717F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DE0BF1" w:rsidRDefault="00DE0BF1">
      <w:pPr>
        <w:spacing w:line="360" w:lineRule="auto"/>
        <w:jc w:val="center"/>
        <w:rPr>
          <w:lang w:val="uk-UA"/>
        </w:rPr>
      </w:pPr>
    </w:p>
    <w:p w:rsidR="00DE0BF1" w:rsidRDefault="009A717F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>Стратегического управления</w:t>
      </w:r>
      <w:r>
        <w:rPr>
          <w:lang w:val="uk-UA"/>
        </w:rPr>
        <w:t>»</w:t>
      </w:r>
    </w:p>
    <w:p w:rsidR="00DE0BF1" w:rsidRDefault="00DE0BF1">
      <w:pPr>
        <w:spacing w:line="360" w:lineRule="auto"/>
        <w:jc w:val="center"/>
        <w:rPr>
          <w:lang w:val="uk-UA"/>
        </w:rPr>
      </w:pPr>
    </w:p>
    <w:p w:rsidR="00DE0BF1" w:rsidRDefault="00DE0BF1">
      <w:pPr>
        <w:spacing w:line="360" w:lineRule="auto"/>
        <w:jc w:val="center"/>
        <w:rPr>
          <w:lang w:val="uk-UA"/>
        </w:rPr>
      </w:pPr>
    </w:p>
    <w:p w:rsidR="00DE0BF1" w:rsidRDefault="009A717F">
      <w:pPr>
        <w:spacing w:line="360" w:lineRule="auto"/>
        <w:jc w:val="center"/>
      </w:pPr>
      <w:r>
        <w:t xml:space="preserve">Отчет к лабораторной работе № </w:t>
      </w:r>
      <w:r w:rsidRPr="009A717F">
        <w:t>5</w:t>
      </w:r>
    </w:p>
    <w:p w:rsidR="00DE0BF1" w:rsidRPr="009A717F" w:rsidRDefault="009A717F">
      <w:pPr>
        <w:spacing w:line="360" w:lineRule="auto"/>
        <w:jc w:val="center"/>
      </w:pPr>
      <w:r w:rsidRPr="009A717F">
        <w:rPr>
          <w:bCs/>
        </w:rPr>
        <w:t>«</w:t>
      </w:r>
      <w:r>
        <w:t>СЧЕТЧИКИ</w:t>
      </w:r>
      <w:r w:rsidRPr="009A717F">
        <w:rPr>
          <w:bCs/>
        </w:rPr>
        <w:t>»</w:t>
      </w:r>
    </w:p>
    <w:p w:rsidR="00DE0BF1" w:rsidRDefault="00DE0BF1">
      <w:pPr>
        <w:spacing w:line="360" w:lineRule="auto"/>
        <w:rPr>
          <w:b/>
          <w:bCs/>
        </w:rPr>
      </w:pPr>
    </w:p>
    <w:p w:rsidR="00DE0BF1" w:rsidRDefault="00DE0BF1">
      <w:pPr>
        <w:spacing w:line="360" w:lineRule="auto"/>
        <w:jc w:val="right"/>
        <w:rPr>
          <w:bCs/>
        </w:rPr>
      </w:pPr>
    </w:p>
    <w:p w:rsidR="00DE0BF1" w:rsidRDefault="00DE0BF1">
      <w:pPr>
        <w:spacing w:line="360" w:lineRule="auto"/>
        <w:jc w:val="right"/>
        <w:rPr>
          <w:bCs/>
        </w:rPr>
      </w:pPr>
    </w:p>
    <w:p w:rsidR="00DE0BF1" w:rsidRDefault="009A717F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DE0BF1" w:rsidRDefault="009A717F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DE0BF1" w:rsidRDefault="009A717F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DE0BF1" w:rsidRDefault="00DE0BF1">
      <w:pPr>
        <w:spacing w:line="360" w:lineRule="auto"/>
        <w:jc w:val="right"/>
        <w:rPr>
          <w:bCs/>
        </w:rPr>
      </w:pPr>
    </w:p>
    <w:p w:rsidR="00DE0BF1" w:rsidRDefault="00DE0BF1">
      <w:pPr>
        <w:spacing w:line="360" w:lineRule="auto"/>
        <w:jc w:val="center"/>
      </w:pPr>
    </w:p>
    <w:p w:rsidR="00DE0BF1" w:rsidRDefault="00DE0BF1"/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DE0BF1">
      <w:pPr>
        <w:jc w:val="center"/>
      </w:pPr>
    </w:p>
    <w:p w:rsidR="00DE0BF1" w:rsidRDefault="009A717F">
      <w:pPr>
        <w:jc w:val="center"/>
      </w:pPr>
      <w:r>
        <w:t>Харьков</w:t>
      </w:r>
      <w:r w:rsidRPr="009A717F">
        <w:t>,</w:t>
      </w:r>
      <w:r>
        <w:rPr>
          <w:lang w:val="uk-UA"/>
        </w:rPr>
        <w:t xml:space="preserve"> 2018</w:t>
      </w:r>
      <w:r>
        <w:br w:type="page"/>
      </w:r>
    </w:p>
    <w:p w:rsidR="00DE0BF1" w:rsidRDefault="009A717F">
      <w:pPr>
        <w:pStyle w:val="ac"/>
      </w:pPr>
      <w:proofErr w:type="spellStart"/>
      <w:r>
        <w:lastRenderedPageBreak/>
        <w:t>Лабораторна</w:t>
      </w:r>
      <w:proofErr w:type="spellEnd"/>
      <w:r>
        <w:t xml:space="preserve"> робота № 5</w:t>
      </w:r>
    </w:p>
    <w:p w:rsidR="00DE0BF1" w:rsidRDefault="009A717F">
      <w:pPr>
        <w:pStyle w:val="ac"/>
      </w:pPr>
      <w:r>
        <w:t>Тема:  Счетчики</w:t>
      </w:r>
    </w:p>
    <w:p w:rsidR="00DE0BF1" w:rsidRDefault="009A717F">
      <w:pPr>
        <w:pStyle w:val="ac"/>
      </w:pPr>
      <w:r>
        <w:t>Задание №1</w:t>
      </w:r>
    </w:p>
    <w:p w:rsidR="00DE0BF1" w:rsidRDefault="009A717F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Собрать макрос «</w:t>
      </w:r>
      <w:proofErr w:type="spellStart"/>
      <w:r>
        <w:t>tp</w:t>
      </w:r>
      <w:proofErr w:type="spellEnd"/>
      <w:r>
        <w:t>» (рис. 5.1), представляющий собой Т-триггер, построенный на базе JK-триггера, который имеет следующую внутреннюю структуру.</w:t>
      </w:r>
    </w:p>
    <w:p w:rsidR="00DE0BF1" w:rsidRDefault="00DE0BF1"/>
    <w:p w:rsidR="00DE0BF1" w:rsidRDefault="009A717F">
      <w:pPr>
        <w:pStyle w:val="af"/>
      </w:pPr>
      <w:r>
        <w:rPr>
          <w:noProof/>
          <w:lang w:val="en-US"/>
        </w:rPr>
        <w:drawing>
          <wp:inline distT="0" distB="0" distL="0" distR="0">
            <wp:extent cx="6143625" cy="1903095"/>
            <wp:effectExtent l="0" t="0" r="0" b="0"/>
            <wp:docPr id="1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-3" t="9860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1" w:rsidRDefault="009A717F">
      <w:pPr>
        <w:pStyle w:val="af0"/>
      </w:pPr>
      <w:r>
        <w:t>Рисунок 5.1 – Внутренняя структура JK-триггера</w:t>
      </w:r>
    </w:p>
    <w:p w:rsidR="00DE0BF1" w:rsidRDefault="00DE0BF1"/>
    <w:p w:rsidR="00DE0BF1" w:rsidRDefault="009A717F">
      <w:pPr>
        <w:rPr>
          <w:i/>
          <w:iCs/>
        </w:rPr>
      </w:pPr>
      <w:r>
        <w:rPr>
          <w:i/>
          <w:iCs/>
        </w:rPr>
        <w:t>Подключить ГС и ЛА. Запустить схему и получить временную диаграмму.</w:t>
      </w:r>
    </w:p>
    <w:p w:rsidR="00DE0BF1" w:rsidRDefault="009A717F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DE0BF1" w:rsidRDefault="009A717F"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19970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BF1" w:rsidRDefault="009A717F"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961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BF1" w:rsidRDefault="009A717F">
      <w:pPr>
        <w:jc w:val="center"/>
        <w:rPr>
          <w:b/>
          <w:bCs/>
        </w:rPr>
      </w:pPr>
      <w:r>
        <w:rPr>
          <w:b/>
          <w:bCs/>
        </w:rPr>
        <w:lastRenderedPageBreak/>
        <w:t>Задание №2</w:t>
      </w:r>
    </w:p>
    <w:p w:rsidR="00DE0BF1" w:rsidRDefault="009A717F">
      <w:pPr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Осуществить режим суммирования.</w:t>
      </w:r>
    </w:p>
    <w:p w:rsidR="00DE0BF1" w:rsidRDefault="009A717F">
      <w:r>
        <w:t>Собрать схему в пакете EWB, которая представлена на рисунке 5.2:</w:t>
      </w:r>
    </w:p>
    <w:p w:rsidR="00DE0BF1" w:rsidRDefault="00DE0BF1"/>
    <w:p w:rsidR="00DE0BF1" w:rsidRDefault="009A717F">
      <w:pPr>
        <w:pStyle w:val="af"/>
      </w:pPr>
      <w:r>
        <w:rPr>
          <w:noProof/>
          <w:lang w:val="en-US"/>
        </w:rPr>
        <w:drawing>
          <wp:inline distT="0" distB="0" distL="0" distR="0">
            <wp:extent cx="4628515" cy="2125345"/>
            <wp:effectExtent l="0" t="0" r="0" b="0"/>
            <wp:docPr id="4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65" t="34468" r="9187" b="31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1" w:rsidRDefault="009A717F">
      <w:pPr>
        <w:pStyle w:val="af0"/>
      </w:pPr>
      <w:r>
        <w:t>Рисунок 5.2 – Счетчик в режиме суммирования</w:t>
      </w:r>
    </w:p>
    <w:p w:rsidR="00DE0BF1" w:rsidRDefault="00DE0BF1"/>
    <w:p w:rsidR="00DE0BF1" w:rsidRDefault="009A717F">
      <w:r>
        <w:t>Запустить схему и получить временную диаграмму.</w:t>
      </w:r>
    </w:p>
    <w:p w:rsidR="00DE0BF1" w:rsidRDefault="009A717F">
      <w:r>
        <w:rPr>
          <w:b/>
          <w:bCs/>
          <w:i/>
          <w:iCs/>
        </w:rPr>
        <w:t>Выполнение</w:t>
      </w:r>
      <w:r>
        <w:t>.</w:t>
      </w:r>
    </w:p>
    <w:p w:rsidR="00DE0BF1" w:rsidRDefault="009A717F"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1365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BF1" w:rsidRDefault="009A717F">
      <w:pPr>
        <w:jc w:val="center"/>
        <w:rPr>
          <w:b/>
          <w:bCs/>
        </w:rPr>
      </w:pPr>
      <w:r>
        <w:rPr>
          <w:b/>
          <w:bCs/>
        </w:rPr>
        <w:t>Задание №3</w:t>
      </w:r>
    </w:p>
    <w:p w:rsidR="00DE0BF1" w:rsidRDefault="009A717F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Осуществить режим вычитания. Собрать схему в пакете EWB, которая представлена на рисунке 5.3:</w:t>
      </w:r>
    </w:p>
    <w:p w:rsidR="00DE0BF1" w:rsidRDefault="00DE0BF1"/>
    <w:p w:rsidR="00DE0BF1" w:rsidRDefault="009A717F">
      <w:pPr>
        <w:pStyle w:val="af"/>
      </w:pPr>
      <w:r>
        <w:rPr>
          <w:noProof/>
          <w:lang w:val="en-US"/>
        </w:rPr>
        <w:drawing>
          <wp:inline distT="0" distB="0" distL="0" distR="0">
            <wp:extent cx="3270250" cy="1490345"/>
            <wp:effectExtent l="0" t="0" r="0" b="0"/>
            <wp:docPr id="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21" t="34789" r="13443" b="30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1" w:rsidRDefault="009A717F">
      <w:pPr>
        <w:pStyle w:val="af0"/>
      </w:pPr>
      <w:r>
        <w:t>Рисунок 5.3 – Счетчик в режиме вычитания</w:t>
      </w:r>
    </w:p>
    <w:p w:rsidR="00DE0BF1" w:rsidRDefault="00DE0BF1"/>
    <w:p w:rsidR="00DE0BF1" w:rsidRDefault="009A717F">
      <w:r>
        <w:t>Запустить схему и получить временную диаграмму.</w:t>
      </w:r>
    </w:p>
    <w:p w:rsidR="00DE0BF1" w:rsidRDefault="009A717F">
      <w:r>
        <w:rPr>
          <w:b/>
          <w:bCs/>
          <w:i/>
          <w:iCs/>
        </w:rPr>
        <w:t>Выполнение</w:t>
      </w:r>
      <w:r>
        <w:t>.</w:t>
      </w:r>
    </w:p>
    <w:p w:rsidR="00DE0BF1" w:rsidRDefault="009A717F"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22805"/>
            <wp:effectExtent l="0" t="0" r="0" b="0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BF1" w:rsidRDefault="009A717F">
      <w:pPr>
        <w:jc w:val="center"/>
        <w:rPr>
          <w:b/>
          <w:bCs/>
        </w:rPr>
      </w:pPr>
      <w:r>
        <w:rPr>
          <w:b/>
          <w:bCs/>
        </w:rPr>
        <w:t>Вывод</w:t>
      </w:r>
    </w:p>
    <w:p w:rsidR="00DE0BF1" w:rsidRDefault="009A717F">
      <w:r>
        <w:t>Счетчик числа импульсов — устройство, на выходах которого получается двоичный (двоично-десятичный) код, определяемый числом поступивших импульсов. Счётчик, образованный цепочкой из n триггеров сможет подсчитать в двоичном коде 2n импульсов.</w:t>
      </w:r>
    </w:p>
    <w:p w:rsidR="00DE0BF1" w:rsidRDefault="009A717F">
      <w:pPr>
        <w:rPr>
          <w:i/>
          <w:iCs/>
        </w:rPr>
      </w:pPr>
      <w:r>
        <w:rPr>
          <w:i/>
          <w:iCs/>
        </w:rPr>
        <w:t>Для суммирующего счетчика:</w:t>
      </w:r>
    </w:p>
    <w:p w:rsidR="00DE0BF1" w:rsidRDefault="009A717F">
      <w:r>
        <w:t>Первый разряд счётчика переключается с приходом каждого входного импульса, что соответствует алгоритму работы Т-триггера. На каждые два входных импульса Т-триггер формирует один выходной импульс.</w:t>
      </w:r>
    </w:p>
    <w:p w:rsidR="00DE0BF1" w:rsidRDefault="009A717F">
      <w:r>
        <w:t>Второй разряд переключается в состояние «1» после прихода каждого 2-го импульса.</w:t>
      </w:r>
    </w:p>
    <w:p w:rsidR="00DE0BF1" w:rsidRDefault="009A717F">
      <w:r>
        <w:t>Третий разряд — после прихода каждого 4-го импульса.</w:t>
      </w:r>
    </w:p>
    <w:p w:rsidR="00DE0BF1" w:rsidRDefault="009A717F">
      <w:pPr>
        <w:rPr>
          <w:i/>
          <w:iCs/>
        </w:rPr>
      </w:pPr>
      <w:r>
        <w:rPr>
          <w:i/>
          <w:iCs/>
        </w:rPr>
        <w:t>Вычитающий счетчик:</w:t>
      </w:r>
    </w:p>
    <w:p w:rsidR="00DE0BF1" w:rsidRDefault="009A717F">
      <w:r>
        <w:t>Двоичное число, хранящееся в счётчике, с каждым поступающим импульсом уменьшается на 1.</w:t>
      </w:r>
    </w:p>
    <w:p w:rsidR="00DE0BF1" w:rsidRDefault="009A717F">
      <w:r>
        <w:t>Перенос из младшего разряда в старший имеет место при смене состояния младшего разряда с 0 на 1.</w:t>
      </w:r>
      <w:r>
        <w:tab/>
      </w:r>
    </w:p>
    <w:sectPr w:rsidR="00DE0BF1" w:rsidSect="00CA181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0BF1"/>
    <w:rsid w:val="006E208A"/>
    <w:rsid w:val="009A717F"/>
    <w:rsid w:val="00CA1811"/>
    <w:rsid w:val="00DE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CA1811"/>
    <w:rPr>
      <w:rFonts w:cs="Courier New"/>
    </w:rPr>
  </w:style>
  <w:style w:type="character" w:customStyle="1" w:styleId="ListLabel2">
    <w:name w:val="ListLabel 2"/>
    <w:qFormat/>
    <w:rsid w:val="00CA1811"/>
    <w:rPr>
      <w:rFonts w:cs="Courier New"/>
    </w:rPr>
  </w:style>
  <w:style w:type="character" w:customStyle="1" w:styleId="ListLabel3">
    <w:name w:val="ListLabel 3"/>
    <w:qFormat/>
    <w:rsid w:val="00CA1811"/>
    <w:rPr>
      <w:rFonts w:cs="Courier New"/>
    </w:rPr>
  </w:style>
  <w:style w:type="character" w:customStyle="1" w:styleId="ListLabel4">
    <w:name w:val="ListLabel 4"/>
    <w:qFormat/>
    <w:rsid w:val="00CA1811"/>
    <w:rPr>
      <w:rFonts w:eastAsia="Calibri" w:cs="Times New Roman"/>
    </w:rPr>
  </w:style>
  <w:style w:type="character" w:customStyle="1" w:styleId="ListLabel5">
    <w:name w:val="ListLabel 5"/>
    <w:qFormat/>
    <w:rsid w:val="00CA1811"/>
    <w:rPr>
      <w:rFonts w:cs="Courier New"/>
    </w:rPr>
  </w:style>
  <w:style w:type="character" w:customStyle="1" w:styleId="ListLabel6">
    <w:name w:val="ListLabel 6"/>
    <w:qFormat/>
    <w:rsid w:val="00CA1811"/>
    <w:rPr>
      <w:rFonts w:cs="Courier New"/>
    </w:rPr>
  </w:style>
  <w:style w:type="character" w:customStyle="1" w:styleId="ListLabel7">
    <w:name w:val="ListLabel 7"/>
    <w:qFormat/>
    <w:rsid w:val="00CA1811"/>
    <w:rPr>
      <w:rFonts w:cs="Courier New"/>
    </w:rPr>
  </w:style>
  <w:style w:type="paragraph" w:customStyle="1" w:styleId="Heading">
    <w:name w:val="Heading"/>
    <w:basedOn w:val="a"/>
    <w:next w:val="a8"/>
    <w:qFormat/>
    <w:rsid w:val="00CA1811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CA1811"/>
    <w:pPr>
      <w:spacing w:after="140" w:line="276" w:lineRule="auto"/>
    </w:pPr>
  </w:style>
  <w:style w:type="paragraph" w:styleId="a9">
    <w:name w:val="List"/>
    <w:basedOn w:val="a8"/>
    <w:rsid w:val="00CA1811"/>
    <w:rPr>
      <w:rFonts w:cs="Arial"/>
    </w:rPr>
  </w:style>
  <w:style w:type="paragraph" w:styleId="aa">
    <w:name w:val="caption"/>
    <w:basedOn w:val="a"/>
    <w:qFormat/>
    <w:rsid w:val="00CA181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CA1811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af">
    <w:name w:val="Рисунок"/>
    <w:basedOn w:val="a"/>
    <w:qFormat/>
    <w:rsid w:val="00CA1811"/>
    <w:pPr>
      <w:keepNext/>
      <w:keepLines/>
      <w:jc w:val="center"/>
    </w:pPr>
  </w:style>
  <w:style w:type="paragraph" w:customStyle="1" w:styleId="af0">
    <w:name w:val="Номер рисунка"/>
    <w:basedOn w:val="a"/>
    <w:next w:val="a"/>
    <w:qFormat/>
    <w:rsid w:val="00CA1811"/>
    <w:pPr>
      <w:keepLines/>
      <w:jc w:val="center"/>
    </w:pPr>
    <w:rPr>
      <w:szCs w:val="20"/>
    </w:rPr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293</Words>
  <Characters>1676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19</cp:revision>
  <dcterms:created xsi:type="dcterms:W3CDTF">2017-10-29T20:37:00Z</dcterms:created>
  <dcterms:modified xsi:type="dcterms:W3CDTF">2019-08-26T09:25:00Z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