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Pr="00E9117B" w:rsidRDefault="005B2672" w:rsidP="005B2672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5</w:t>
      </w:r>
    </w:p>
    <w:p w:rsidR="005B2672" w:rsidRPr="00E9117B" w:rsidRDefault="005B2672" w:rsidP="005B26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Pr="00E9117B"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прийняття рішень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B2672" w:rsidRPr="00F3324B" w:rsidRDefault="005B2672" w:rsidP="005B2672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2672" w:rsidRPr="00F3324B" w:rsidRDefault="005B2672" w:rsidP="005B2672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2672" w:rsidRPr="00F3324B" w:rsidRDefault="005B2672" w:rsidP="005B2672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2672" w:rsidRPr="00F3324B" w:rsidRDefault="005B2672" w:rsidP="005B2672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24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5B2672" w:rsidRPr="00F3324B" w:rsidRDefault="005B2672" w:rsidP="005B2672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2672" w:rsidRPr="00D213CD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2672" w:rsidRPr="00D213CD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416-а</w:t>
      </w:r>
    </w:p>
    <w:p w:rsidR="005B2672" w:rsidRPr="007218CA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5B2672" w:rsidRPr="00D213CD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5B2672" w:rsidRPr="00D213CD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5B2672" w:rsidRPr="00D213CD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5B2672" w:rsidRPr="00E9117B" w:rsidRDefault="005B2672" w:rsidP="005B2672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Ю.</w:t>
      </w: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Default="005B2672" w:rsidP="005B2672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5B2672" w:rsidRPr="00D213CD" w:rsidRDefault="005B2672" w:rsidP="005B2672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5B2672" w:rsidRPr="00D213CD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Default="005B2672" w:rsidP="005B26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Default="005B2672" w:rsidP="005B2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2672" w:rsidRDefault="005B2672" w:rsidP="005B2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lastRenderedPageBreak/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5B2672" w:rsidRPr="00006B5D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</w:t>
      </w:r>
      <w:r w:rsidRPr="009F5C9F">
        <w:rPr>
          <w:rFonts w:ascii="Times New Roman" w:hAnsi="Times New Roman" w:cs="Times New Roman"/>
          <w:lang w:val="uk-UA"/>
        </w:rPr>
        <w:t xml:space="preserve">розв’язання багатокритеріальної задачі лінійного програмування по знаходженню ефективних альтернатив за </w:t>
      </w:r>
      <w:r>
        <w:rPr>
          <w:rFonts w:ascii="Times New Roman" w:hAnsi="Times New Roman" w:cs="Times New Roman"/>
          <w:lang w:val="uk-UA"/>
        </w:rPr>
        <w:t>методу послідовних поступок</w:t>
      </w:r>
      <w:r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>.</w:t>
      </w:r>
    </w:p>
    <w:p w:rsidR="005B2672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  <w:r>
        <w:rPr>
          <w:rFonts w:ascii="Times New Roman" w:hAnsi="Times New Roman" w:cs="Times New Roman"/>
          <w:lang w:val="uk-UA"/>
        </w:rPr>
        <w:t>:</w:t>
      </w:r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006B5D" w:rsidRDefault="005B2672" w:rsidP="005B267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5B2672" w:rsidRPr="00006B5D" w:rsidRDefault="005B2672" w:rsidP="005B267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5B2672" w:rsidRPr="008F5784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5B2672" w:rsidRPr="00006B5D" w:rsidRDefault="005B2672" w:rsidP="005B2672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5B2672" w:rsidRPr="00006B5D" w:rsidRDefault="005B2672" w:rsidP="005B2672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65.45pt" o:ole="">
            <v:imagedata r:id="rId8" o:title=""/>
          </v:shape>
          <o:OLEObject Type="Embed" ProgID="Equation.3" ShapeID="_x0000_i1025" DrawAspect="Content" ObjectID="_1637352245" r:id="rId9"/>
        </w:object>
      </w:r>
    </w:p>
    <w:p w:rsidR="005B2672" w:rsidRPr="00006B5D" w:rsidRDefault="005B2672" w:rsidP="005B2672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5B2672" w:rsidRDefault="005B2672" w:rsidP="005B2672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6" type="#_x0000_t75" style="width:12pt;height:18pt" o:ole="">
            <v:imagedata r:id="rId10" o:title=""/>
          </v:shape>
          <o:OLEObject Type="Embed" ProgID="Msxml2.SAXXMLReader.6.0" ShapeID="_x0000_i1026" DrawAspect="Content" ObjectID="_1637352246" r:id="rId11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639FE62" wp14:editId="39E0E219">
            <wp:extent cx="13716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34EB386" wp14:editId="7D49D85E">
            <wp:extent cx="342900" cy="23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7" type="#_x0000_t75" style="width:54pt;height:18pt" o:ole="">
            <v:imagedata r:id="rId14" o:title=""/>
          </v:shape>
          <o:OLEObject Type="Embed" ProgID="Equation.3" ShapeID="_x0000_i1027" DrawAspect="Content" ObjectID="_1637352247" r:id="rId15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8" type="#_x0000_t75" style="width:12pt;height:12pt" o:ole="">
            <v:imagedata r:id="rId16" o:title=""/>
          </v:shape>
          <o:OLEObject Type="Embed" ProgID="Equation.3" ShapeID="_x0000_i1028" DrawAspect="Content" ObjectID="_1637352248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14FE934D" wp14:editId="0565B2D7">
            <wp:extent cx="3810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29" type="#_x0000_t75" style="width:120.55pt;height:18pt" o:ole="">
            <v:imagedata r:id="rId19" o:title=""/>
          </v:shape>
          <o:OLEObject Type="Embed" ProgID="Equation.3" ShapeID="_x0000_i1029" DrawAspect="Content" ObjectID="_1637352249" r:id="rId20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0" type="#_x0000_t75" style="width:6.55pt;height:12pt" o:ole="">
            <v:imagedata r:id="rId21" o:title=""/>
          </v:shape>
          <o:OLEObject Type="Embed" ProgID="Equation.3" ShapeID="_x0000_i1030" DrawAspect="Content" ObjectID="_1637352250" r:id="rId22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</w:t>
      </w:r>
      <w:r w:rsidRPr="00006B5D">
        <w:rPr>
          <w:rFonts w:ascii="Times New Roman" w:hAnsi="Times New Roman" w:cs="Times New Roman"/>
          <w:lang w:val="uk-UA"/>
        </w:rPr>
        <w:lastRenderedPageBreak/>
        <w:t>альтернативи – варіанта розв’язку, що задовольняє обмеження задачі і є способом досягнення поставлених цілей.</w:t>
      </w:r>
    </w:p>
    <w:p w:rsidR="005B2672" w:rsidRDefault="005B2672" w:rsidP="005B2672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lang w:val="uk-UA"/>
        </w:rPr>
      </w:pPr>
    </w:p>
    <w:p w:rsidR="005B2672" w:rsidRDefault="005B2672" w:rsidP="005B267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>
        <w:rPr>
          <w:rFonts w:ascii="Times New Roman" w:hAnsi="Times New Roman" w:cs="Times New Roman"/>
          <w:b/>
          <w:bCs/>
          <w:lang w:val="uk-UA"/>
        </w:rPr>
        <w:t>відповідно до методу послідовних поступок у загальному вигляді</w:t>
      </w:r>
    </w:p>
    <w:p w:rsidR="005B2672" w:rsidRDefault="005B2672" w:rsidP="005B2672">
      <w:pPr>
        <w:pStyle w:val="a4"/>
        <w:spacing w:line="360" w:lineRule="auto"/>
        <w:ind w:firstLine="709"/>
      </w:pPr>
      <w:r>
        <w:t xml:space="preserve">При решении многокритериальной задачи методом последовательных уступок вначале производится качественный анализ относительной важности частных критериев; на основании такого анализа критерии располагаются и нумеруются в порядке убывания важности, так что главным является критерий </w:t>
      </w:r>
      <w:r>
        <w:rPr>
          <w:position w:val="-12"/>
        </w:rPr>
        <w:object w:dxaOrig="300" w:dyaOrig="380">
          <v:shape id="_x0000_i1031" type="#_x0000_t75" style="width:15.25pt;height:19.1pt" o:ole="" fillcolor="window">
            <v:imagedata r:id="rId23" o:title=""/>
          </v:shape>
          <o:OLEObject Type="Embed" ProgID="Equation.3" ShapeID="_x0000_i1031" DrawAspect="Content" ObjectID="_1637352251" r:id="rId24"/>
        </w:object>
      </w:r>
      <w:r>
        <w:t xml:space="preserve">, менее важен </w:t>
      </w:r>
      <w:r>
        <w:rPr>
          <w:position w:val="-12"/>
        </w:rPr>
        <w:object w:dxaOrig="340" w:dyaOrig="380">
          <v:shape id="_x0000_i1032" type="#_x0000_t75" style="width:16.9pt;height:19.1pt" o:ole="" fillcolor="window">
            <v:imagedata r:id="rId25" o:title=""/>
          </v:shape>
          <o:OLEObject Type="Embed" ProgID="Equation.3" ShapeID="_x0000_i1032" DrawAspect="Content" ObjectID="_1637352252" r:id="rId26"/>
        </w:object>
      </w:r>
      <w:r>
        <w:t xml:space="preserve">, затем следуют остальные частные критерии </w:t>
      </w:r>
      <w:r>
        <w:rPr>
          <w:position w:val="-12"/>
        </w:rPr>
        <w:object w:dxaOrig="1740" w:dyaOrig="380">
          <v:shape id="_x0000_i1033" type="#_x0000_t75" style="width:87.25pt;height:19.1pt" o:ole="" fillcolor="window">
            <v:imagedata r:id="rId27" o:title=""/>
          </v:shape>
          <o:OLEObject Type="Embed" ProgID="Equation.3" ShapeID="_x0000_i1033" DrawAspect="Content" ObjectID="_1637352253" r:id="rId28"/>
        </w:object>
      </w:r>
      <w:r>
        <w:t xml:space="preserve">. </w:t>
      </w:r>
      <w:proofErr w:type="spellStart"/>
      <w:r>
        <w:t>Максимизируется</w:t>
      </w:r>
      <w:proofErr w:type="spellEnd"/>
      <w:r>
        <w:t xml:space="preserve"> первый по важности критерий </w:t>
      </w:r>
      <w:r>
        <w:rPr>
          <w:position w:val="-12"/>
        </w:rPr>
        <w:object w:dxaOrig="300" w:dyaOrig="380">
          <v:shape id="_x0000_i1034" type="#_x0000_t75" style="width:15.25pt;height:19.1pt" o:ole="" fillcolor="window">
            <v:imagedata r:id="rId23" o:title=""/>
          </v:shape>
          <o:OLEObject Type="Embed" ProgID="Equation.3" ShapeID="_x0000_i1034" DrawAspect="Content" ObjectID="_1637352254" r:id="rId29"/>
        </w:object>
      </w:r>
      <w:r>
        <w:t xml:space="preserve"> и определяется его наибольшее значение </w:t>
      </w:r>
      <w:r>
        <w:rPr>
          <w:position w:val="-12"/>
        </w:rPr>
        <w:object w:dxaOrig="340" w:dyaOrig="380">
          <v:shape id="_x0000_i1035" type="#_x0000_t75" style="width:16.9pt;height:19.1pt" o:ole="" fillcolor="window">
            <v:imagedata r:id="rId30" o:title=""/>
          </v:shape>
          <o:OLEObject Type="Embed" ProgID="Equation.3" ShapeID="_x0000_i1035" DrawAspect="Content" ObjectID="_1637352255" r:id="rId31"/>
        </w:object>
      </w:r>
      <w:r>
        <w:t xml:space="preserve">. Затем назначается величина “допустимого” снижения (уступки) </w:t>
      </w:r>
      <w:r>
        <w:rPr>
          <w:position w:val="-12"/>
        </w:rPr>
        <w:object w:dxaOrig="800" w:dyaOrig="380">
          <v:shape id="_x0000_i1036" type="#_x0000_t75" style="width:40.35pt;height:19.1pt" o:ole="" fillcolor="window">
            <v:imagedata r:id="rId32" o:title=""/>
          </v:shape>
          <o:OLEObject Type="Embed" ProgID="Equation.3" ShapeID="_x0000_i1036" DrawAspect="Content" ObjectID="_1637352256" r:id="rId33"/>
        </w:object>
      </w:r>
      <w:r>
        <w:t xml:space="preserve"> критерия </w:t>
      </w:r>
      <w:r>
        <w:rPr>
          <w:position w:val="-12"/>
        </w:rPr>
        <w:object w:dxaOrig="300" w:dyaOrig="380">
          <v:shape id="_x0000_i1037" type="#_x0000_t75" style="width:15.25pt;height:19.1pt" o:ole="" fillcolor="window">
            <v:imagedata r:id="rId23" o:title=""/>
          </v:shape>
          <o:OLEObject Type="Embed" ProgID="Equation.3" ShapeID="_x0000_i1037" DrawAspect="Content" ObjectID="_1637352257" r:id="rId34"/>
        </w:object>
      </w:r>
      <w:r>
        <w:t xml:space="preserve"> и ищется наибольшее значение </w:t>
      </w:r>
      <w:r>
        <w:rPr>
          <w:position w:val="-12"/>
        </w:rPr>
        <w:object w:dxaOrig="380" w:dyaOrig="380">
          <v:shape id="_x0000_i1038" type="#_x0000_t75" style="width:19.1pt;height:19.1pt" o:ole="" fillcolor="window">
            <v:imagedata r:id="rId35" o:title=""/>
          </v:shape>
          <o:OLEObject Type="Embed" ProgID="Equation.3" ShapeID="_x0000_i1038" DrawAspect="Content" ObjectID="_1637352258" r:id="rId36"/>
        </w:object>
      </w:r>
      <w:r>
        <w:t xml:space="preserve"> второго критерия </w:t>
      </w:r>
      <w:r>
        <w:rPr>
          <w:position w:val="-12"/>
        </w:rPr>
        <w:object w:dxaOrig="340" w:dyaOrig="380">
          <v:shape id="_x0000_i1039" type="#_x0000_t75" style="width:16.9pt;height:19.1pt" o:ole="" fillcolor="window">
            <v:imagedata r:id="rId25" o:title=""/>
          </v:shape>
          <o:OLEObject Type="Embed" ProgID="Equation.3" ShapeID="_x0000_i1039" DrawAspect="Content" ObjectID="_1637352259" r:id="rId37"/>
        </w:object>
      </w:r>
      <w:r>
        <w:t xml:space="preserve"> при условии, что значение первого критерия должно быть не меньше, чем </w:t>
      </w:r>
      <w:r>
        <w:rPr>
          <w:position w:val="-12"/>
        </w:rPr>
        <w:object w:dxaOrig="940" w:dyaOrig="380">
          <v:shape id="_x0000_i1040" type="#_x0000_t75" style="width:46.9pt;height:19.1pt" o:ole="" fillcolor="window">
            <v:imagedata r:id="rId38" o:title=""/>
          </v:shape>
          <o:OLEObject Type="Embed" ProgID="Equation.3" ShapeID="_x0000_i1040" DrawAspect="Content" ObjectID="_1637352260" r:id="rId39"/>
        </w:object>
      </w:r>
      <w:r>
        <w:t xml:space="preserve">. Снова назначается величина уступки </w:t>
      </w:r>
      <w:r>
        <w:rPr>
          <w:position w:val="-12"/>
        </w:rPr>
        <w:object w:dxaOrig="840" w:dyaOrig="380">
          <v:shape id="_x0000_i1041" type="#_x0000_t75" style="width:42pt;height:19.1pt" o:ole="" fillcolor="window">
            <v:imagedata r:id="rId40" o:title=""/>
          </v:shape>
          <o:OLEObject Type="Embed" ProgID="Equation.3" ShapeID="_x0000_i1041" DrawAspect="Content" ObjectID="_1637352261" r:id="rId41"/>
        </w:object>
      </w:r>
      <w:r>
        <w:t xml:space="preserve">, но уже по второму критерию, которая вместе с первой используется при нахождении условного максимума третьего критерия, и т.д. наконец, </w:t>
      </w:r>
      <w:proofErr w:type="spellStart"/>
      <w:r>
        <w:t>максимизируется</w:t>
      </w:r>
      <w:proofErr w:type="spellEnd"/>
      <w:r>
        <w:t xml:space="preserve"> последний по важности критерий </w:t>
      </w:r>
      <w:r>
        <w:rPr>
          <w:position w:val="-12"/>
        </w:rPr>
        <w:object w:dxaOrig="440" w:dyaOrig="380">
          <v:shape id="_x0000_i1042" type="#_x0000_t75" style="width:22.35pt;height:19.1pt" o:ole="" fillcolor="window">
            <v:imagedata r:id="rId42" o:title=""/>
          </v:shape>
          <o:OLEObject Type="Embed" ProgID="Equation.3" ShapeID="_x0000_i1042" DrawAspect="Content" ObjectID="_1637352262" r:id="rId43"/>
        </w:object>
      </w:r>
      <w:r>
        <w:t xml:space="preserve">, при условии, что значение каждого критерия </w:t>
      </w:r>
      <w:r>
        <w:rPr>
          <w:position w:val="-12"/>
        </w:rPr>
        <w:object w:dxaOrig="1680" w:dyaOrig="440">
          <v:shape id="_x0000_i1043" type="#_x0000_t75" style="width:84pt;height:22.35pt" o:ole="" fillcolor="window">
            <v:imagedata r:id="rId44" o:title=""/>
          </v:shape>
          <o:OLEObject Type="Embed" ProgID="Equation.3" ShapeID="_x0000_i1043" DrawAspect="Content" ObjectID="_1637352263" r:id="rId45"/>
        </w:object>
      </w:r>
      <w:r>
        <w:t xml:space="preserve"> должно быть не меньше соответствующей величины </w:t>
      </w:r>
      <w:r>
        <w:rPr>
          <w:position w:val="-12"/>
        </w:rPr>
        <w:object w:dxaOrig="920" w:dyaOrig="380">
          <v:shape id="_x0000_i1044" type="#_x0000_t75" style="width:46.35pt;height:19.1pt" o:ole="" fillcolor="window">
            <v:imagedata r:id="rId46" o:title=""/>
          </v:shape>
          <o:OLEObject Type="Embed" ProgID="Equation.3" ShapeID="_x0000_i1044" DrawAspect="Content" ObjectID="_1637352264" r:id="rId47"/>
        </w:object>
      </w:r>
      <w:r>
        <w:t>; получаемые в итоге стратегии считаются оптимальными.</w:t>
      </w:r>
    </w:p>
    <w:p w:rsidR="005B2672" w:rsidRDefault="005B2672" w:rsidP="005B2672">
      <w:pPr>
        <w:pStyle w:val="a4"/>
        <w:spacing w:line="360" w:lineRule="auto"/>
        <w:ind w:firstLine="709"/>
      </w:pPr>
      <w:r>
        <w:tab/>
      </w:r>
    </w:p>
    <w:p w:rsidR="005B2672" w:rsidRDefault="005B2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5B2672" w:rsidRDefault="005B2672" w:rsidP="005B2672">
      <w:pPr>
        <w:pStyle w:val="a4"/>
        <w:spacing w:line="360" w:lineRule="auto"/>
        <w:ind w:firstLine="709"/>
      </w:pPr>
      <w:r>
        <w:lastRenderedPageBreak/>
        <w:t>Таким образом. Оптимальной считается всякая стратегия, являющаяся решением последней задачи из следующей последовательности задач:</w:t>
      </w:r>
    </w:p>
    <w:p w:rsidR="005B2672" w:rsidRDefault="005B2672" w:rsidP="005B2672">
      <w:pPr>
        <w:pStyle w:val="a4"/>
        <w:numPr>
          <w:ilvl w:val="0"/>
          <w:numId w:val="1"/>
        </w:numPr>
        <w:spacing w:line="360" w:lineRule="auto"/>
        <w:ind w:firstLine="709"/>
      </w:pPr>
      <w:r>
        <w:t xml:space="preserve">найти </w:t>
      </w:r>
      <w:r w:rsidR="00463A28" w:rsidRPr="00463A28">
        <w:rPr>
          <w:position w:val="-24"/>
        </w:rPr>
        <w:object w:dxaOrig="1440" w:dyaOrig="480">
          <v:shape id="_x0000_i1067" type="#_x0000_t75" style="width:1in;height:24pt" o:ole="" fillcolor="window">
            <v:imagedata r:id="rId48" o:title=""/>
          </v:shape>
          <o:OLEObject Type="Embed" ProgID="Equation.DSMT4" ShapeID="_x0000_i1067" DrawAspect="Content" ObjectID="_1637352265" r:id="rId49"/>
        </w:object>
      </w:r>
    </w:p>
    <w:p w:rsidR="005B2672" w:rsidRDefault="005B2672" w:rsidP="005B2672">
      <w:pPr>
        <w:pStyle w:val="a4"/>
        <w:numPr>
          <w:ilvl w:val="0"/>
          <w:numId w:val="1"/>
        </w:numPr>
        <w:spacing w:line="360" w:lineRule="auto"/>
        <w:ind w:firstLine="709"/>
      </w:pPr>
      <w:r>
        <w:t xml:space="preserve">найти </w:t>
      </w:r>
      <w:r w:rsidR="00463A28" w:rsidRPr="00463A28">
        <w:rPr>
          <w:position w:val="-38"/>
        </w:rPr>
        <w:object w:dxaOrig="1700" w:dyaOrig="620">
          <v:shape id="_x0000_i1069" type="#_x0000_t75" style="width:85.1pt;height:31.1pt" o:ole="" fillcolor="window">
            <v:imagedata r:id="rId50" o:title=""/>
          </v:shape>
          <o:OLEObject Type="Embed" ProgID="Equation.DSMT4" ShapeID="_x0000_i1069" DrawAspect="Content" ObjectID="_1637352266" r:id="rId51"/>
        </w:objec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5B2672" w:rsidRDefault="005B2672" w:rsidP="005B2672">
      <w:pPr>
        <w:pStyle w:val="a4"/>
        <w:numPr>
          <w:ilvl w:val="0"/>
          <w:numId w:val="1"/>
        </w:numPr>
        <w:spacing w:line="360" w:lineRule="auto"/>
        <w:ind w:firstLine="709"/>
      </w:pPr>
      <w:r>
        <w:t>…………………………….</w:t>
      </w:r>
    </w:p>
    <w:p w:rsidR="005B2672" w:rsidRDefault="005B2672" w:rsidP="005B2672">
      <w:pPr>
        <w:pStyle w:val="a4"/>
        <w:spacing w:line="360" w:lineRule="auto"/>
        <w:ind w:firstLine="709"/>
      </w:pPr>
      <w:r>
        <w:t xml:space="preserve">М) найти </w:t>
      </w:r>
      <w:r w:rsidR="00463A28" w:rsidRPr="00463A28">
        <w:rPr>
          <w:position w:val="-48"/>
        </w:rPr>
        <w:object w:dxaOrig="1760" w:dyaOrig="720">
          <v:shape id="_x0000_i1071" type="#_x0000_t75" style="width:87.8pt;height:36pt" o:ole="" fillcolor="window">
            <v:imagedata r:id="rId52" o:title=""/>
          </v:shape>
          <o:OLEObject Type="Embed" ProgID="Equation.DSMT4" ShapeID="_x0000_i1071" DrawAspect="Content" ObjectID="_1637352267" r:id="rId53"/>
        </w:object>
      </w:r>
      <w:r>
        <w:t>.</w:t>
      </w:r>
    </w:p>
    <w:p w:rsidR="005B2672" w:rsidRDefault="005B2672" w:rsidP="005B2672">
      <w:pPr>
        <w:pStyle w:val="a4"/>
        <w:spacing w:line="360" w:lineRule="auto"/>
        <w:ind w:firstLine="709"/>
      </w:pPr>
      <w:r>
        <w:tab/>
        <w:t xml:space="preserve">Если критерий </w:t>
      </w:r>
      <w:r>
        <w:rPr>
          <w:position w:val="-12"/>
        </w:rPr>
        <w:object w:dxaOrig="420" w:dyaOrig="380">
          <v:shape id="_x0000_i1048" type="#_x0000_t75" style="width:21.25pt;height:19.1pt" o:ole="" fillcolor="window">
            <v:imagedata r:id="rId54" o:title=""/>
          </v:shape>
          <o:OLEObject Type="Embed" ProgID="Equation.3" ShapeID="_x0000_i1048" DrawAspect="Content" ObjectID="_1637352268" r:id="rId55"/>
        </w:object>
      </w:r>
      <w:r>
        <w:t xml:space="preserve"> на множестве стратегий, удовлетворяющих ограничениям задачи М), не достигает своего наибольшего значения </w:t>
      </w:r>
      <w:r>
        <w:rPr>
          <w:position w:val="-12"/>
        </w:rPr>
        <w:object w:dxaOrig="460" w:dyaOrig="380">
          <v:shape id="_x0000_i1049" type="#_x0000_t75" style="width:22.9pt;height:19.1pt" o:ole="" fillcolor="window">
            <v:imagedata r:id="rId56" o:title=""/>
          </v:shape>
          <o:OLEObject Type="Embed" ProgID="Equation.3" ShapeID="_x0000_i1049" DrawAspect="Content" ObjectID="_1637352269" r:id="rId57"/>
        </w:object>
      </w:r>
      <w:r>
        <w:t xml:space="preserve">, то решением многокритериальной задачи считают </w:t>
      </w:r>
      <w:proofErr w:type="spellStart"/>
      <w:r>
        <w:t>максимизирующую</w:t>
      </w:r>
      <w:proofErr w:type="spellEnd"/>
      <w:r>
        <w:t xml:space="preserve"> последовательность стратегий </w:t>
      </w:r>
      <w:r w:rsidR="00463A28" w:rsidRPr="00463A28">
        <w:rPr>
          <w:position w:val="-10"/>
        </w:rPr>
        <w:object w:dxaOrig="499" w:dyaOrig="360">
          <v:shape id="_x0000_i1073" type="#_x0000_t75" style="width:24.55pt;height:18pt" o:ole="" fillcolor="window">
            <v:imagedata r:id="rId58" o:title=""/>
          </v:shape>
          <o:OLEObject Type="Embed" ProgID="Equation.DSMT4" ShapeID="_x0000_i1073" DrawAspect="Content" ObjectID="_1637352270" r:id="rId59"/>
        </w:object>
      </w:r>
      <w:r>
        <w:t xml:space="preserve"> из указанного множества </w:t>
      </w:r>
      <w:bookmarkStart w:id="1" w:name="_GoBack"/>
      <w:r w:rsidR="00463A28" w:rsidRPr="00463A28">
        <w:rPr>
          <w:position w:val="-20"/>
        </w:rPr>
        <w:object w:dxaOrig="1860" w:dyaOrig="460">
          <v:shape id="_x0000_i1075" type="#_x0000_t75" style="width:93.25pt;height:22.9pt" o:ole="" fillcolor="window">
            <v:imagedata r:id="rId60" o:title=""/>
          </v:shape>
          <o:OLEObject Type="Embed" ProgID="Equation.DSMT4" ShapeID="_x0000_i1075" DrawAspect="Content" ObjectID="_1637352271" r:id="rId61"/>
        </w:object>
      </w:r>
      <w:bookmarkEnd w:id="1"/>
      <w:r>
        <w:t>.</w:t>
      </w:r>
    </w:p>
    <w:p w:rsidR="005B2672" w:rsidRPr="005B2672" w:rsidRDefault="005B2672" w:rsidP="005B2672">
      <w:pPr>
        <w:pStyle w:val="a3"/>
        <w:spacing w:line="360" w:lineRule="auto"/>
        <w:ind w:firstLine="709"/>
        <w:jc w:val="left"/>
        <w:rPr>
          <w:rFonts w:ascii="Times New Roman" w:hAnsi="Times New Roman" w:cs="Times New Roman"/>
        </w:rPr>
      </w:pPr>
    </w:p>
    <w:p w:rsidR="005B2672" w:rsidRPr="00006B5D" w:rsidRDefault="005B2672" w:rsidP="005B267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5B2672" w:rsidRPr="00006B5D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5B2672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5B2672" w:rsidRPr="00B40B55" w:rsidRDefault="005B2672" w:rsidP="005B267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B40B55" w:rsidRDefault="00634850" w:rsidP="005B267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B2672" w:rsidRPr="00006B5D" w:rsidRDefault="005B2672" w:rsidP="005B267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</w:t>
      </w:r>
      <w:r>
        <w:rPr>
          <w:rFonts w:ascii="Times New Roman" w:hAnsi="Times New Roman" w:cs="Times New Roman"/>
          <w:b/>
          <w:bCs/>
          <w:lang w:val="uk-UA"/>
        </w:rPr>
        <w:t>методу послідовних поступок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5B2672" w:rsidRPr="00006B5D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5B2672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Необхідно знайти значення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lang w:val="uk-UA"/>
        </w:rPr>
        <w:t xml:space="preserve"> окремо для функцій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lang w:val="uk-UA"/>
        </w:rPr>
        <w:t xml:space="preserve"> на допустимій множині альтернатив:</w:t>
      </w:r>
    </w:p>
    <w:p w:rsidR="005B2672" w:rsidRPr="00304312" w:rsidRDefault="00634850" w:rsidP="005B2672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=78.375</m:t>
          </m:r>
        </m:oMath>
      </m:oMathPara>
    </w:p>
    <w:p w:rsidR="005B2672" w:rsidRPr="005B2672" w:rsidRDefault="00634850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=21.6</m:t>
          </m:r>
        </m:oMath>
      </m:oMathPara>
    </w:p>
    <w:p w:rsidR="005B2672" w:rsidRDefault="005B2672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Далі необхідно визначити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</m:oMath>
      <w:r w:rsidR="009646DC">
        <w:rPr>
          <w:rFonts w:ascii="Times New Roman" w:hAnsi="Times New Roman" w:cs="Times New Roman"/>
        </w:rPr>
        <w:t xml:space="preserve">. </w:t>
      </w:r>
      <w:r w:rsidR="009646DC">
        <w:rPr>
          <w:rFonts w:ascii="Times New Roman" w:hAnsi="Times New Roman" w:cs="Times New Roman"/>
          <w:lang w:val="uk-UA"/>
        </w:rPr>
        <w:t xml:space="preserve">Для кожного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uk-UA"/>
          </w:rPr>
          <m:t xml:space="preserve"> </m:t>
        </m:r>
      </m:oMath>
      <w:r w:rsidR="009646DC">
        <w:rPr>
          <w:rFonts w:ascii="Times New Roman" w:hAnsi="Times New Roman" w:cs="Times New Roman"/>
          <w:lang w:val="uk-UA"/>
        </w:rPr>
        <w:t>було обрано по 7 різних значень:</w:t>
      </w:r>
    </w:p>
    <w:p w:rsidR="009646DC" w:rsidRPr="009646DC" w:rsidRDefault="009646DC" w:rsidP="005B267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</m:oMath>
    </w:p>
    <w:p w:rsidR="005B2672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1,0</m:t>
            </m:r>
          </m:sub>
        </m:sSub>
        <m:r>
          <w:rPr>
            <w:rFonts w:ascii="Cambria Math" w:hAnsi="Cambria Math" w:cs="Times New Roman"/>
            <w:lang w:val="en-US"/>
          </w:rPr>
          <m:t>=0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1,1</m:t>
            </m:r>
          </m:sub>
        </m:sSub>
        <m:r>
          <w:rPr>
            <w:rFonts w:ascii="Cambria Math" w:hAnsi="Cambria Math" w:cs="Times New Roman"/>
            <w:lang w:val="en-US"/>
          </w:rPr>
          <m:t>=18.31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1,2</m:t>
            </m:r>
          </m:sub>
        </m:sSub>
        <m:r>
          <w:rPr>
            <w:rFonts w:ascii="Cambria Math" w:hAnsi="Cambria Math" w:cs="Times New Roman"/>
            <w:lang w:val="en-US"/>
          </w:rPr>
          <m:t>=36.625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1,3</m:t>
            </m:r>
          </m:sub>
        </m:sSub>
        <m:r>
          <w:rPr>
            <w:rFonts w:ascii="Cambria Math" w:hAnsi="Cambria Math" w:cs="Times New Roman"/>
            <w:lang w:val="en-US"/>
          </w:rPr>
          <m:t>=54.93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1,4</m:t>
            </m:r>
          </m:sub>
        </m:sSub>
        <m:r>
          <w:rPr>
            <w:rFonts w:ascii="Cambria Math" w:hAnsi="Cambria Math" w:cs="Times New Roman"/>
            <w:lang w:val="en-US"/>
          </w:rPr>
          <m:t>=73.25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1,5</m:t>
            </m:r>
          </m:sub>
        </m:sSub>
        <m:r>
          <w:rPr>
            <w:rFonts w:ascii="Cambria Math" w:hAnsi="Cambria Math" w:cs="Times New Roman"/>
            <w:lang w:val="en-US"/>
          </w:rPr>
          <m:t>=91.56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1,6</m:t>
            </m:r>
          </m:sub>
        </m:sSub>
        <m:r>
          <w:rPr>
            <w:rFonts w:ascii="Cambria Math" w:hAnsi="Cambria Math" w:cs="Times New Roman"/>
            <w:lang w:val="en-US"/>
          </w:rPr>
          <m:t>=109.875</m:t>
        </m:r>
      </m:oMath>
    </w:p>
    <w:p w:rsidR="009646DC" w:rsidRPr="009646DC" w:rsidRDefault="009646DC" w:rsidP="009646DC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:rsidR="009646DC" w:rsidRPr="009646DC" w:rsidRDefault="009646DC" w:rsidP="009646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</m:oMath>
    </w:p>
    <w:p w:rsid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2,0</m:t>
            </m:r>
          </m:sub>
        </m:sSub>
        <m:r>
          <w:rPr>
            <w:rFonts w:ascii="Cambria Math" w:hAnsi="Cambria Math" w:cs="Times New Roman"/>
            <w:lang w:val="en-US"/>
          </w:rPr>
          <m:t>=0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2,1</m:t>
            </m:r>
          </m:sub>
        </m:sSub>
        <m:r>
          <w:rPr>
            <w:rFonts w:ascii="Cambria Math" w:hAnsi="Cambria Math" w:cs="Times New Roman"/>
            <w:lang w:val="en-US"/>
          </w:rPr>
          <m:t>=10.83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2,2</m:t>
            </m:r>
          </m:sub>
        </m:sSub>
        <m:r>
          <w:rPr>
            <w:rFonts w:ascii="Cambria Math" w:hAnsi="Cambria Math" w:cs="Times New Roman"/>
            <w:lang w:val="en-US"/>
          </w:rPr>
          <m:t>=21.67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2,3</m:t>
            </m:r>
          </m:sub>
        </m:sSub>
        <m:r>
          <w:rPr>
            <w:rFonts w:ascii="Cambria Math" w:hAnsi="Cambria Math" w:cs="Times New Roman"/>
            <w:lang w:val="en-US"/>
          </w:rPr>
          <m:t>=32.5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2,4</m:t>
            </m:r>
          </m:sub>
        </m:sSub>
        <m:r>
          <w:rPr>
            <w:rFonts w:ascii="Cambria Math" w:hAnsi="Cambria Math" w:cs="Times New Roman"/>
            <w:lang w:val="en-US"/>
          </w:rPr>
          <m:t>=43.34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2,5</m:t>
            </m:r>
          </m:sub>
        </m:sSub>
        <m:r>
          <w:rPr>
            <w:rFonts w:ascii="Cambria Math" w:hAnsi="Cambria Math" w:cs="Times New Roman"/>
            <w:lang w:val="en-US"/>
          </w:rPr>
          <m:t>=54.18</m:t>
        </m:r>
      </m:oMath>
    </w:p>
    <w:p w:rsidR="009646DC" w:rsidRPr="009646DC" w:rsidRDefault="00634850" w:rsidP="009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2,6</m:t>
            </m:r>
          </m:sub>
        </m:sSub>
        <m:r>
          <w:rPr>
            <w:rFonts w:ascii="Cambria Math" w:hAnsi="Cambria Math" w:cs="Times New Roman"/>
            <w:lang w:val="en-US"/>
          </w:rPr>
          <m:t>=65</m:t>
        </m:r>
      </m:oMath>
    </w:p>
    <w:p w:rsidR="00123D5D" w:rsidRDefault="00123D5D">
      <w:pPr>
        <w:rPr>
          <w:lang w:val="uk-UA"/>
        </w:rPr>
      </w:pPr>
    </w:p>
    <w:p w:rsidR="009646DC" w:rsidRDefault="009646DC" w:rsidP="009646DC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Потрібно вирішити яку саме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обрати. Для рішення цієї задачі було вирішено наступну задачу для кожного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1, i</m:t>
            </m:r>
          </m:sub>
        </m:sSub>
      </m:oMath>
      <w:r w:rsidRPr="009646D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побудовано графік на основі якого було обрано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1,3</m:t>
            </m:r>
          </m:sub>
        </m:sSub>
        <m:r>
          <w:rPr>
            <w:rFonts w:ascii="Cambria Math" w:hAnsi="Cambria Math" w:cs="Times New Roman"/>
          </w:rPr>
          <m:t>=54.93</m:t>
        </m:r>
      </m:oMath>
      <w:r>
        <w:rPr>
          <w:rFonts w:ascii="Times New Roman" w:eastAsiaTheme="minorEastAsia" w:hAnsi="Times New Roman" w:cs="Times New Roman"/>
          <w:lang w:val="uk-UA"/>
        </w:rPr>
        <w:t>.</w:t>
      </w:r>
    </w:p>
    <w:p w:rsidR="009646DC" w:rsidRPr="009646DC" w:rsidRDefault="009646DC" w:rsidP="009646DC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6"/>
          <w:lang w:val="uk-UA"/>
        </w:rPr>
      </w:pPr>
    </w:p>
    <w:p w:rsidR="009646DC" w:rsidRPr="009646DC" w:rsidRDefault="009646DC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eastAsiaTheme="minorEastAsia" w:hAnsi="Cambria Math"/>
              <w:sz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→max</m:t>
          </m:r>
        </m:oMath>
      </m:oMathPara>
    </w:p>
    <w:p w:rsidR="009646DC" w:rsidRPr="009646DC" w:rsidRDefault="009646DC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≥78.375-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</m:oMath>
      </m:oMathPara>
    </w:p>
    <w:p w:rsidR="009646DC" w:rsidRPr="009646DC" w:rsidRDefault="009646DC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≤54</m:t>
          </m:r>
        </m:oMath>
      </m:oMathPara>
    </w:p>
    <w:p w:rsidR="009646DC" w:rsidRPr="003A04AD" w:rsidRDefault="003A04AD" w:rsidP="003A04AD">
      <w:pPr>
        <w:spacing w:after="0"/>
        <w:jc w:val="center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≤53</m:t>
        </m:r>
      </m:oMath>
      <w:r>
        <w:rPr>
          <w:rFonts w:eastAsiaTheme="minorEastAsia"/>
          <w:sz w:val="28"/>
          <w:lang w:val="uk-UA"/>
        </w:rPr>
        <w:t xml:space="preserve">                                             (2)</w:t>
      </w:r>
    </w:p>
    <w:p w:rsidR="009646DC" w:rsidRPr="009646DC" w:rsidRDefault="009646DC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≤62</m:t>
          </m:r>
        </m:oMath>
      </m:oMathPara>
    </w:p>
    <w:p w:rsidR="009646DC" w:rsidRPr="009646DC" w:rsidRDefault="009646DC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≤63</m:t>
          </m:r>
        </m:oMath>
      </m:oMathPara>
    </w:p>
    <w:p w:rsidR="009646DC" w:rsidRPr="009646DC" w:rsidRDefault="00634850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9646DC" w:rsidRPr="009646DC" w:rsidRDefault="00634850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9646DC" w:rsidRPr="009646DC" w:rsidRDefault="00634850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9646DC" w:rsidRPr="009646DC" w:rsidRDefault="00634850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9646DC" w:rsidRPr="003A04AD" w:rsidRDefault="00634850" w:rsidP="009646DC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3A04AD" w:rsidRPr="003A04AD" w:rsidRDefault="003A04AD" w:rsidP="009646DC">
      <w:pPr>
        <w:spacing w:after="0"/>
        <w:rPr>
          <w:rFonts w:eastAsiaTheme="minorEastAsia"/>
          <w:sz w:val="28"/>
          <w:lang w:val="uk-UA"/>
        </w:rPr>
      </w:pPr>
    </w:p>
    <w:p w:rsidR="003A04AD" w:rsidRDefault="003A04AD" w:rsidP="003A04A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Таблиця результатів показана у таблиці 1. Графік зміни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по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3A04A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показаний на рисунку 1.</w:t>
      </w:r>
    </w:p>
    <w:p w:rsidR="003A04AD" w:rsidRPr="00006B5D" w:rsidRDefault="003A04AD" w:rsidP="003A04AD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3A04AD" w:rsidRDefault="003A04AD" w:rsidP="003A04AD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>Таблиця 1 – Результати розрахунків</w:t>
      </w:r>
      <w:r>
        <w:rPr>
          <w:rFonts w:ascii="Times New Roman" w:hAnsi="Times New Roman" w:cs="Times New Roman"/>
          <w:lang w:val="uk-UA"/>
        </w:rPr>
        <w:t xml:space="preserve"> для задачі </w:t>
      </w:r>
      <w:r>
        <w:rPr>
          <w:rFonts w:ascii="Times New Roman" w:hAnsi="Times New Roman" w:cs="Times New Roman"/>
        </w:rPr>
        <w:t>(2)</w:t>
      </w:r>
    </w:p>
    <w:p w:rsidR="00E16ADD" w:rsidRPr="003A04AD" w:rsidRDefault="00E16ADD" w:rsidP="003A04AD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7"/>
        <w:tblW w:w="8876" w:type="dxa"/>
        <w:jc w:val="center"/>
        <w:tblInd w:w="0" w:type="dxa"/>
        <w:tblLook w:val="04A0" w:firstRow="1" w:lastRow="0" w:firstColumn="1" w:lastColumn="0" w:noHBand="0" w:noVBand="1"/>
      </w:tblPr>
      <w:tblGrid>
        <w:gridCol w:w="940"/>
        <w:gridCol w:w="516"/>
        <w:gridCol w:w="997"/>
        <w:gridCol w:w="1052"/>
        <w:gridCol w:w="1052"/>
        <w:gridCol w:w="1052"/>
        <w:gridCol w:w="1052"/>
        <w:gridCol w:w="1163"/>
        <w:gridCol w:w="1052"/>
      </w:tblGrid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  <w:hideMark/>
          </w:tcPr>
          <w:p w:rsidR="00E16ADD" w:rsidRPr="00006B5D" w:rsidRDefault="00634850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6" w:type="dxa"/>
            <w:noWrap/>
            <w:vAlign w:val="center"/>
            <w:hideMark/>
          </w:tcPr>
          <w:p w:rsidR="00E16ADD" w:rsidRPr="00006B5D" w:rsidRDefault="00E16ADD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52" type="#_x0000_t75" style="width:15.25pt;height:19.65pt" o:ole="">
                  <v:imagedata r:id="rId62" o:title=""/>
                </v:shape>
                <o:OLEObject Type="Embed" ProgID="Equation.3" ShapeID="_x0000_i1052" DrawAspect="Content" ObjectID="_1637352272" r:id="rId63"/>
              </w:object>
            </w:r>
          </w:p>
        </w:tc>
        <w:tc>
          <w:tcPr>
            <w:tcW w:w="997" w:type="dxa"/>
            <w:noWrap/>
            <w:vAlign w:val="center"/>
            <w:hideMark/>
          </w:tcPr>
          <w:p w:rsidR="00E16ADD" w:rsidRPr="00006B5D" w:rsidRDefault="00E16ADD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53" type="#_x0000_t75" style="width:15.25pt;height:19.65pt" o:ole="">
                  <v:imagedata r:id="rId64" o:title=""/>
                </v:shape>
                <o:OLEObject Type="Embed" ProgID="Equation.3" ShapeID="_x0000_i1053" DrawAspect="Content" ObjectID="_1637352273" r:id="rId65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E16ADD" w:rsidRPr="00006B5D" w:rsidRDefault="00E16ADD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54" type="#_x0000_t75" style="width:15.25pt;height:19.65pt" o:ole="">
                  <v:imagedata r:id="rId66" o:title=""/>
                </v:shape>
                <o:OLEObject Type="Embed" ProgID="Equation.3" ShapeID="_x0000_i1054" DrawAspect="Content" ObjectID="_1637352274" r:id="rId67"/>
              </w:object>
            </w:r>
          </w:p>
        </w:tc>
        <w:tc>
          <w:tcPr>
            <w:tcW w:w="1052" w:type="dxa"/>
            <w:vAlign w:val="center"/>
          </w:tcPr>
          <w:p w:rsidR="00E16ADD" w:rsidRPr="003644C4" w:rsidRDefault="00634850" w:rsidP="00E16ADD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52" w:type="dxa"/>
            <w:vAlign w:val="center"/>
          </w:tcPr>
          <w:p w:rsidR="00E16ADD" w:rsidRPr="003644C4" w:rsidRDefault="00634850" w:rsidP="00E16ADD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vAlign w:val="center"/>
            <w:hideMark/>
          </w:tcPr>
          <w:p w:rsidR="00E16ADD" w:rsidRPr="00006B5D" w:rsidRDefault="00E16ADD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55" type="#_x0000_t75" style="width:34.9pt;height:19.65pt" o:ole="">
                  <v:imagedata r:id="rId68" o:title=""/>
                </v:shape>
                <o:OLEObject Type="Embed" ProgID="Equation.3" ShapeID="_x0000_i1055" DrawAspect="Content" ObjectID="_1637352275" r:id="rId69"/>
              </w:object>
            </w:r>
          </w:p>
        </w:tc>
        <w:tc>
          <w:tcPr>
            <w:tcW w:w="1163" w:type="dxa"/>
            <w:noWrap/>
            <w:vAlign w:val="center"/>
            <w:hideMark/>
          </w:tcPr>
          <w:p w:rsidR="00E16ADD" w:rsidRPr="00006B5D" w:rsidRDefault="00E16ADD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56" type="#_x0000_t75" style="width:37.65pt;height:19.65pt" o:ole="">
                  <v:imagedata r:id="rId70" o:title=""/>
                </v:shape>
                <o:OLEObject Type="Embed" ProgID="Equation.3" ShapeID="_x0000_i1056" DrawAspect="Content" ObjectID="_1637352276" r:id="rId71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E16ADD" w:rsidRPr="00006B5D" w:rsidRDefault="00E16ADD" w:rsidP="00E16AD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57" type="#_x0000_t75" style="width:37.65pt;height:19.65pt" o:ole="">
                  <v:imagedata r:id="rId72" o:title=""/>
                </v:shape>
                <o:OLEObject Type="Embed" ProgID="Equation.3" ShapeID="_x0000_i1057" DrawAspect="Content" ObjectID="_1637352277" r:id="rId73"/>
              </w:objec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15,5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10,625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78,375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-41,625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26,125</w: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18,3125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3,959459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11,54054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7,160473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60,0625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-22,32264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22,66047</w: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36,625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7,918919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7,581081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3,695946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41,75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-3,02027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19,19595</w: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54,9375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11,87838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3,621622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0,231419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16,282094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15,73142</w: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73,25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91,5625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</w:tr>
      <w:tr w:rsidR="00E16ADD" w:rsidRPr="003347D2" w:rsidTr="00E16ADD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109,875</w:t>
            </w:r>
          </w:p>
        </w:tc>
        <w:tc>
          <w:tcPr>
            <w:tcW w:w="516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163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052" w:type="dxa"/>
            <w:noWrap/>
            <w:vAlign w:val="center"/>
          </w:tcPr>
          <w:p w:rsidR="00E16ADD" w:rsidRDefault="00E16ADD" w:rsidP="00E16A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</w:tr>
    </w:tbl>
    <w:p w:rsidR="009646DC" w:rsidRDefault="003A04AD" w:rsidP="003A04AD">
      <w:pPr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058" type="#_x0000_t75" style="width:14.75pt;height:16.9pt" o:ole="">
            <v:imagedata r:id="rId74" o:title=""/>
          </v:shape>
          <o:OLEObject Type="Embed" ProgID="Equation.3" ShapeID="_x0000_i1058" DrawAspect="Content" ObjectID="_1637352278" r:id="rId75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E16ADD" w:rsidRDefault="00E16ADD" w:rsidP="00E16A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D3A27C" wp14:editId="3CD12AB6">
            <wp:extent cx="3916680" cy="2678430"/>
            <wp:effectExtent l="0" t="0" r="762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</wp:inline>
        </w:drawing>
      </w:r>
    </w:p>
    <w:p w:rsidR="00E16ADD" w:rsidRPr="00463A28" w:rsidRDefault="00E16ADD" w:rsidP="00E16ADD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Графік зміни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по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511D67" w:rsidRPr="00511D67" w:rsidRDefault="00511D67" w:rsidP="00E16ADD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511D67" w:rsidRDefault="00511D67" w:rsidP="00511D67">
      <w:pPr>
        <w:ind w:firstLine="709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було обрано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1,3</m:t>
            </m:r>
          </m:sub>
        </m:sSub>
        <m:r>
          <w:rPr>
            <w:rFonts w:ascii="Cambria Math" w:hAnsi="Cambria Math" w:cs="Times New Roman"/>
          </w:rPr>
          <m:t>=54.93</m:t>
        </m:r>
      </m:oMath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і тепер потрібно вирішити наступну задачу для пошук</w:t>
      </w:r>
      <w:r w:rsidR="00F77FCA">
        <w:rPr>
          <w:rFonts w:ascii="Times New Roman" w:eastAsiaTheme="minorEastAsia" w:hAnsi="Times New Roman" w:cs="Times New Roman"/>
          <w:sz w:val="28"/>
          <w:lang w:val="uk-UA"/>
        </w:rPr>
        <w:t xml:space="preserve">у оптимального значення для критерію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sub>
        </m:sSub>
      </m:oMath>
    </w:p>
    <w:p w:rsidR="00F77FCA" w:rsidRPr="00F77FCA" w:rsidRDefault="00F77FCA" w:rsidP="00F77FCA">
      <w:pPr>
        <w:spacing w:after="0"/>
        <w:rPr>
          <w:rFonts w:eastAsiaTheme="minorEastAsia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→max</m:t>
          </m:r>
        </m:oMath>
      </m:oMathPara>
    </w:p>
    <w:p w:rsidR="00F77FCA" w:rsidRPr="00F77FCA" w:rsidRDefault="00F77FCA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≥23,445</m:t>
          </m:r>
        </m:oMath>
      </m:oMathPara>
    </w:p>
    <w:p w:rsidR="00F77FCA" w:rsidRPr="009646DC" w:rsidRDefault="00F77FCA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≥21.6-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F77FCA" w:rsidRPr="009646DC" w:rsidRDefault="00F77FCA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≤54</m:t>
          </m:r>
        </m:oMath>
      </m:oMathPara>
    </w:p>
    <w:p w:rsidR="00F77FCA" w:rsidRPr="003A04AD" w:rsidRDefault="00F77FCA" w:rsidP="00F77FCA">
      <w:pPr>
        <w:spacing w:after="0"/>
        <w:jc w:val="center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≤53</m:t>
        </m:r>
      </m:oMath>
      <w:r>
        <w:rPr>
          <w:rFonts w:eastAsiaTheme="minorEastAsia"/>
          <w:sz w:val="28"/>
          <w:lang w:val="uk-UA"/>
        </w:rPr>
        <w:t xml:space="preserve">                                             (3)</w:t>
      </w:r>
    </w:p>
    <w:p w:rsidR="00F77FCA" w:rsidRPr="009646DC" w:rsidRDefault="00F77FCA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≤62</m:t>
          </m:r>
        </m:oMath>
      </m:oMathPara>
    </w:p>
    <w:p w:rsidR="00F77FCA" w:rsidRPr="009646DC" w:rsidRDefault="00F77FCA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≤63</m:t>
          </m:r>
        </m:oMath>
      </m:oMathPara>
    </w:p>
    <w:p w:rsidR="00F77FCA" w:rsidRPr="009646DC" w:rsidRDefault="00634850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F77FCA" w:rsidRPr="009646DC" w:rsidRDefault="00634850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F77FCA" w:rsidRPr="009646DC" w:rsidRDefault="00634850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F77FCA" w:rsidRPr="009646DC" w:rsidRDefault="00634850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F77FCA" w:rsidRPr="003A04AD" w:rsidRDefault="00634850" w:rsidP="00F77FCA">
      <w:pPr>
        <w:spacing w:after="0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F77FCA" w:rsidRDefault="00F77FCA" w:rsidP="00F77FCA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Таблиця результатів показана у таблиці 1. Графік зміни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по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</m:oMath>
      <w:r w:rsidRPr="003A04A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показаний на рисунку 2.</w:t>
      </w:r>
    </w:p>
    <w:p w:rsidR="00F77FCA" w:rsidRDefault="00F77FCA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F77FCA" w:rsidRDefault="00F77FCA" w:rsidP="00F77FCA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Таблиця 2</w:t>
      </w:r>
      <w:r w:rsidRPr="00006B5D">
        <w:rPr>
          <w:rFonts w:ascii="Times New Roman" w:hAnsi="Times New Roman" w:cs="Times New Roman"/>
          <w:lang w:val="uk-UA"/>
        </w:rPr>
        <w:t xml:space="preserve"> – Результати розрахунків</w:t>
      </w:r>
      <w:r>
        <w:rPr>
          <w:rFonts w:ascii="Times New Roman" w:hAnsi="Times New Roman" w:cs="Times New Roman"/>
          <w:lang w:val="uk-UA"/>
        </w:rPr>
        <w:t xml:space="preserve"> для задачі </w:t>
      </w:r>
      <w:r>
        <w:rPr>
          <w:rFonts w:ascii="Times New Roman" w:hAnsi="Times New Roman" w:cs="Times New Roman"/>
        </w:rPr>
        <w:t>(3)</w:t>
      </w:r>
    </w:p>
    <w:p w:rsidR="00F77FCA" w:rsidRPr="003A04AD" w:rsidRDefault="00F77FCA" w:rsidP="00F77FCA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7"/>
        <w:tblW w:w="8876" w:type="dxa"/>
        <w:jc w:val="center"/>
        <w:tblInd w:w="0" w:type="dxa"/>
        <w:tblLook w:val="04A0" w:firstRow="1" w:lastRow="0" w:firstColumn="1" w:lastColumn="0" w:noHBand="0" w:noVBand="1"/>
      </w:tblPr>
      <w:tblGrid>
        <w:gridCol w:w="940"/>
        <w:gridCol w:w="516"/>
        <w:gridCol w:w="1052"/>
        <w:gridCol w:w="1052"/>
        <w:gridCol w:w="1052"/>
        <w:gridCol w:w="1052"/>
        <w:gridCol w:w="1052"/>
        <w:gridCol w:w="1163"/>
        <w:gridCol w:w="1052"/>
      </w:tblGrid>
      <w:tr w:rsidR="00F77FCA" w:rsidRPr="003347D2" w:rsidTr="00FC3ADA">
        <w:trPr>
          <w:trHeight w:val="610"/>
          <w:jc w:val="center"/>
        </w:trPr>
        <w:tc>
          <w:tcPr>
            <w:tcW w:w="940" w:type="dxa"/>
            <w:noWrap/>
            <w:vAlign w:val="center"/>
            <w:hideMark/>
          </w:tcPr>
          <w:p w:rsidR="00F77FCA" w:rsidRPr="00006B5D" w:rsidRDefault="00634850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6" w:type="dxa"/>
            <w:noWrap/>
            <w:vAlign w:val="center"/>
            <w:hideMark/>
          </w:tcPr>
          <w:p w:rsidR="00F77FCA" w:rsidRPr="00006B5D" w:rsidRDefault="00F77FCA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59" type="#_x0000_t75" style="width:15.25pt;height:19.65pt" o:ole="">
                  <v:imagedata r:id="rId62" o:title=""/>
                </v:shape>
                <o:OLEObject Type="Embed" ProgID="Equation.3" ShapeID="_x0000_i1059" DrawAspect="Content" ObjectID="_1637352279" r:id="rId77"/>
              </w:object>
            </w:r>
          </w:p>
        </w:tc>
        <w:tc>
          <w:tcPr>
            <w:tcW w:w="997" w:type="dxa"/>
            <w:noWrap/>
            <w:vAlign w:val="center"/>
            <w:hideMark/>
          </w:tcPr>
          <w:p w:rsidR="00F77FCA" w:rsidRPr="00006B5D" w:rsidRDefault="00F77FCA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60" type="#_x0000_t75" style="width:15.25pt;height:19.65pt" o:ole="">
                  <v:imagedata r:id="rId64" o:title=""/>
                </v:shape>
                <o:OLEObject Type="Embed" ProgID="Equation.3" ShapeID="_x0000_i1060" DrawAspect="Content" ObjectID="_1637352280" r:id="rId78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F77FCA" w:rsidRPr="00006B5D" w:rsidRDefault="00F77FCA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61" type="#_x0000_t75" style="width:15.25pt;height:19.65pt" o:ole="">
                  <v:imagedata r:id="rId66" o:title=""/>
                </v:shape>
                <o:OLEObject Type="Embed" ProgID="Equation.3" ShapeID="_x0000_i1061" DrawAspect="Content" ObjectID="_1637352281" r:id="rId79"/>
              </w:object>
            </w:r>
          </w:p>
        </w:tc>
        <w:tc>
          <w:tcPr>
            <w:tcW w:w="1052" w:type="dxa"/>
            <w:vAlign w:val="center"/>
          </w:tcPr>
          <w:p w:rsidR="00F77FCA" w:rsidRPr="003644C4" w:rsidRDefault="00634850" w:rsidP="00FC3ADA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52" w:type="dxa"/>
            <w:vAlign w:val="center"/>
          </w:tcPr>
          <w:p w:rsidR="00F77FCA" w:rsidRPr="003644C4" w:rsidRDefault="00634850" w:rsidP="00FC3ADA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vAlign w:val="center"/>
            <w:hideMark/>
          </w:tcPr>
          <w:p w:rsidR="00F77FCA" w:rsidRPr="00006B5D" w:rsidRDefault="00F77FCA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62" type="#_x0000_t75" style="width:34.9pt;height:19.65pt" o:ole="">
                  <v:imagedata r:id="rId68" o:title=""/>
                </v:shape>
                <o:OLEObject Type="Embed" ProgID="Equation.3" ShapeID="_x0000_i1062" DrawAspect="Content" ObjectID="_1637352282" r:id="rId80"/>
              </w:object>
            </w:r>
          </w:p>
        </w:tc>
        <w:tc>
          <w:tcPr>
            <w:tcW w:w="1163" w:type="dxa"/>
            <w:noWrap/>
            <w:vAlign w:val="center"/>
            <w:hideMark/>
          </w:tcPr>
          <w:p w:rsidR="00F77FCA" w:rsidRPr="00006B5D" w:rsidRDefault="00F77FCA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63" type="#_x0000_t75" style="width:37.65pt;height:19.65pt" o:ole="">
                  <v:imagedata r:id="rId70" o:title=""/>
                </v:shape>
                <o:OLEObject Type="Embed" ProgID="Equation.3" ShapeID="_x0000_i1063" DrawAspect="Content" ObjectID="_1637352283" r:id="rId81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F77FCA" w:rsidRPr="00006B5D" w:rsidRDefault="00F77FCA" w:rsidP="00FC3AD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64" type="#_x0000_t75" style="width:37.65pt;height:19.65pt" o:ole="">
                  <v:imagedata r:id="rId72" o:title=""/>
                </v:shape>
                <o:OLEObject Type="Embed" ProgID="Equation.3" ShapeID="_x0000_i1064" DrawAspect="Content" ObjectID="_1637352284" r:id="rId82"/>
              </w:objec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11,87838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3,621622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0,231419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16,282095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15,73142</w: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Pr="00F77FCA" w:rsidRDefault="00F77FCA" w:rsidP="00F77F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10.</w:t>
            </w:r>
            <w:r>
              <w:rPr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1,325804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11,0184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4,481603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0,983902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10,763883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21,78712</w: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Pr="00F77FCA" w:rsidRDefault="00F77FCA" w:rsidP="00F77F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21.67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3,929287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9,329652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6,170348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2,461555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-0,072233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33,6787</w: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Pr="00F77FCA" w:rsidRDefault="00F77FCA" w:rsidP="00F77F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32.5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6,532769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7,640906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7,859094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3,939207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-10,90835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45,57028</w: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Pr="00F77FCA" w:rsidRDefault="00F77FCA" w:rsidP="00F77F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43.34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6,557292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7,625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7,875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3,953125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-11,01042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45,68229</w: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Pr="00F77FCA" w:rsidRDefault="00F77FCA" w:rsidP="00F77F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54.18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6,557292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7,625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7,875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3,953125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-11,01042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45,68229</w:t>
            </w:r>
          </w:p>
        </w:tc>
      </w:tr>
      <w:tr w:rsidR="00F77FCA" w:rsidRPr="003347D2" w:rsidTr="00F77FCA">
        <w:trPr>
          <w:trHeight w:val="610"/>
          <w:jc w:val="center"/>
        </w:trPr>
        <w:tc>
          <w:tcPr>
            <w:tcW w:w="940" w:type="dxa"/>
            <w:noWrap/>
            <w:vAlign w:val="center"/>
          </w:tcPr>
          <w:p w:rsidR="00F77FCA" w:rsidRPr="00F77FCA" w:rsidRDefault="00F77FCA" w:rsidP="00F77F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516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7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6,557292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7,625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7,875</w:t>
            </w:r>
          </w:p>
        </w:tc>
        <w:tc>
          <w:tcPr>
            <w:tcW w:w="1052" w:type="dxa"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3,953125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23,4375</w:t>
            </w:r>
          </w:p>
        </w:tc>
        <w:tc>
          <w:tcPr>
            <w:tcW w:w="1163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-11,01042</w:t>
            </w:r>
          </w:p>
        </w:tc>
        <w:tc>
          <w:tcPr>
            <w:tcW w:w="1052" w:type="dxa"/>
            <w:noWrap/>
            <w:vAlign w:val="center"/>
          </w:tcPr>
          <w:p w:rsidR="00F77FCA" w:rsidRDefault="00F77FCA" w:rsidP="00F77FC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45,68229</w:t>
            </w:r>
          </w:p>
        </w:tc>
      </w:tr>
    </w:tbl>
    <w:p w:rsidR="00F77FCA" w:rsidRDefault="00F77FCA" w:rsidP="00F77FCA">
      <w:pPr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065" type="#_x0000_t75" style="width:14.75pt;height:16.9pt" o:ole="">
            <v:imagedata r:id="rId74" o:title=""/>
          </v:shape>
          <o:OLEObject Type="Embed" ProgID="Equation.3" ShapeID="_x0000_i1065" DrawAspect="Content" ObjectID="_1637352285" r:id="rId83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F77FCA" w:rsidRDefault="00F77FCA" w:rsidP="00F77FCA">
      <w:pPr>
        <w:rPr>
          <w:rFonts w:ascii="Times New Roman" w:hAnsi="Times New Roman" w:cs="Times New Roman"/>
          <w:lang w:val="uk-UA"/>
        </w:rPr>
      </w:pPr>
    </w:p>
    <w:p w:rsidR="00F77FCA" w:rsidRDefault="00F77FCA" w:rsidP="00F77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0772A5" wp14:editId="3B7C668E">
            <wp:extent cx="3916680" cy="2678430"/>
            <wp:effectExtent l="0" t="0" r="762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</w:p>
    <w:p w:rsidR="00F77FCA" w:rsidRPr="00F77FCA" w:rsidRDefault="00F77FCA" w:rsidP="00F77FCA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Графік зміни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по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</m:oMath>
    </w:p>
    <w:p w:rsidR="007A16DE" w:rsidRDefault="007A16DE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lang w:val="uk-UA"/>
        </w:rPr>
        <w:br w:type="page"/>
      </w:r>
    </w:p>
    <w:p w:rsidR="007A16DE" w:rsidRPr="00006B5D" w:rsidRDefault="007A16DE" w:rsidP="007A16D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7A16DE" w:rsidRPr="00006B5D" w:rsidRDefault="007A16DE" w:rsidP="007A16D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7A16DE" w:rsidRPr="009620D7" w:rsidRDefault="007A16DE" w:rsidP="007A16D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Виконуючи дану лабораторну роботу</w:t>
      </w:r>
      <w:r w:rsidRPr="00006B5D">
        <w:rPr>
          <w:rFonts w:ascii="Times New Roman" w:hAnsi="Times New Roman" w:cs="Times New Roman"/>
          <w:lang w:val="uk-UA"/>
        </w:rPr>
        <w:t xml:space="preserve"> було вивчено загальні положення задач </w:t>
      </w:r>
      <w:r w:rsidRPr="009620D7">
        <w:rPr>
          <w:rFonts w:ascii="Times New Roman" w:hAnsi="Times New Roman" w:cs="Times New Roman"/>
          <w:lang w:val="uk-UA"/>
        </w:rPr>
        <w:t xml:space="preserve">багатокритеріальної оптимізації та </w:t>
      </w:r>
      <w:r>
        <w:rPr>
          <w:rFonts w:ascii="Times New Roman" w:hAnsi="Times New Roman" w:cs="Times New Roman"/>
          <w:lang w:val="uk-UA"/>
        </w:rPr>
        <w:t>метод послідовних поступок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</w:t>
      </w:r>
      <w:r>
        <w:rPr>
          <w:rFonts w:ascii="Times New Roman" w:hAnsi="Times New Roman" w:cs="Times New Roman"/>
          <w:lang w:val="uk-UA"/>
        </w:rPr>
        <w:t>методу послідовних поступок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альтернатив.</w:t>
      </w:r>
    </w:p>
    <w:p w:rsidR="00F77FCA" w:rsidRPr="00F77FCA" w:rsidRDefault="00F77FCA" w:rsidP="00511D6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77FCA" w:rsidRPr="00F77FCA" w:rsidSect="00511D67">
      <w:headerReference w:type="default" r:id="rId85"/>
      <w:headerReference w:type="first" r:id="rId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50" w:rsidRDefault="00634850">
      <w:pPr>
        <w:spacing w:after="0" w:line="240" w:lineRule="auto"/>
      </w:pPr>
      <w:r>
        <w:separator/>
      </w:r>
    </w:p>
  </w:endnote>
  <w:endnote w:type="continuationSeparator" w:id="0">
    <w:p w:rsidR="00634850" w:rsidRDefault="0063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50" w:rsidRDefault="00634850">
      <w:pPr>
        <w:spacing w:after="0" w:line="240" w:lineRule="auto"/>
      </w:pPr>
      <w:r>
        <w:separator/>
      </w:r>
    </w:p>
  </w:footnote>
  <w:footnote w:type="continuationSeparator" w:id="0">
    <w:p w:rsidR="00634850" w:rsidRDefault="00634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D67" w:rsidRPr="004078DB" w:rsidRDefault="00511D67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4078DB">
      <w:rPr>
        <w:rFonts w:ascii="Times New Roman" w:hAnsi="Times New Roman" w:cs="Times New Roman"/>
        <w:sz w:val="28"/>
        <w:szCs w:val="28"/>
      </w:rPr>
      <w:fldChar w:fldCharType="begin"/>
    </w:r>
    <w:r w:rsidRPr="004078DB">
      <w:rPr>
        <w:rFonts w:ascii="Times New Roman" w:hAnsi="Times New Roman" w:cs="Times New Roman"/>
        <w:sz w:val="28"/>
        <w:szCs w:val="28"/>
      </w:rPr>
      <w:instrText>PAGE   \* MERGEFORMAT</w:instrText>
    </w:r>
    <w:r w:rsidRPr="004078DB">
      <w:rPr>
        <w:rFonts w:ascii="Times New Roman" w:hAnsi="Times New Roman" w:cs="Times New Roman"/>
        <w:sz w:val="28"/>
        <w:szCs w:val="28"/>
      </w:rPr>
      <w:fldChar w:fldCharType="separate"/>
    </w:r>
    <w:r w:rsidR="00463A28">
      <w:rPr>
        <w:rFonts w:ascii="Times New Roman" w:hAnsi="Times New Roman" w:cs="Times New Roman"/>
        <w:noProof/>
        <w:sz w:val="28"/>
        <w:szCs w:val="28"/>
      </w:rPr>
      <w:t>9</w:t>
    </w:r>
    <w:r w:rsidRPr="004078DB">
      <w:rPr>
        <w:rFonts w:ascii="Times New Roman" w:hAnsi="Times New Roman" w:cs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D67" w:rsidRPr="00707D47" w:rsidRDefault="00511D67" w:rsidP="00511D67">
    <w:pPr>
      <w:pStyle w:val="a8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55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F3A24"/>
    <w:multiLevelType w:val="hybridMultilevel"/>
    <w:tmpl w:val="0172B83A"/>
    <w:lvl w:ilvl="0" w:tplc="CBDA28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55"/>
    <w:rsid w:val="00123D5D"/>
    <w:rsid w:val="00133E55"/>
    <w:rsid w:val="00310222"/>
    <w:rsid w:val="003A04AD"/>
    <w:rsid w:val="00463A28"/>
    <w:rsid w:val="00511D67"/>
    <w:rsid w:val="005B2672"/>
    <w:rsid w:val="00634850"/>
    <w:rsid w:val="007A16DE"/>
    <w:rsid w:val="009646DC"/>
    <w:rsid w:val="00E16ADD"/>
    <w:rsid w:val="00F7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BD1D5-0C63-4FBA-9B83-02B7D147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5B2672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4">
    <w:name w:val="Body Text"/>
    <w:basedOn w:val="a"/>
    <w:link w:val="a5"/>
    <w:rsid w:val="005B26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5B2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laceholder Text"/>
    <w:basedOn w:val="a0"/>
    <w:uiPriority w:val="99"/>
    <w:semiHidden/>
    <w:rsid w:val="005B2672"/>
    <w:rPr>
      <w:color w:val="808080"/>
    </w:rPr>
  </w:style>
  <w:style w:type="table" w:styleId="a7">
    <w:name w:val="Table Grid"/>
    <w:basedOn w:val="a1"/>
    <w:uiPriority w:val="39"/>
    <w:rsid w:val="003A04AD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3A04AD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customStyle="1" w:styleId="a9">
    <w:name w:val="Верхний колонтитул Знак"/>
    <w:basedOn w:val="a0"/>
    <w:link w:val="a8"/>
    <w:rsid w:val="003A04AD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chart" Target="charts/chart2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41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9.bin"/><Relationship Id="rId86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chart" Target="charts/chart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&#1059;&#1095;&#1077;&#1073;&#1072;\&#1058;&#1055;&#1056;\&#1083;&#1072;&#1073;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&#1059;&#1095;&#1077;&#1073;&#1072;\&#1058;&#1055;&#1056;\&#1083;&#1072;&#1073;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f1;f2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Лист1!$P$2:$P$8</c:f>
              <c:numCache>
                <c:formatCode>General</c:formatCode>
                <c:ptCount val="7"/>
                <c:pt idx="0">
                  <c:v>-41.625</c:v>
                </c:pt>
                <c:pt idx="1">
                  <c:v>-22.322635036322804</c:v>
                </c:pt>
                <c:pt idx="2">
                  <c:v>-3.0202699999999987</c:v>
                </c:pt>
                <c:pt idx="3">
                  <c:v>16.282094267735214</c:v>
                </c:pt>
                <c:pt idx="4">
                  <c:v>21.6</c:v>
                </c:pt>
                <c:pt idx="5">
                  <c:v>21.6</c:v>
                </c:pt>
                <c:pt idx="6">
                  <c:v>21.6</c:v>
                </c:pt>
              </c:numCache>
            </c:numRef>
          </c:cat>
          <c:val>
            <c:numRef>
              <c:f>Лист1!$O$2:$O$8</c:f>
              <c:numCache>
                <c:formatCode>General</c:formatCode>
                <c:ptCount val="7"/>
                <c:pt idx="0">
                  <c:v>78.375</c:v>
                </c:pt>
                <c:pt idx="1">
                  <c:v>60.06249990625497</c:v>
                </c:pt>
                <c:pt idx="2">
                  <c:v>41.75</c:v>
                </c:pt>
                <c:pt idx="3">
                  <c:v>23.437500310097359</c:v>
                </c:pt>
                <c:pt idx="4">
                  <c:v>10.8</c:v>
                </c:pt>
                <c:pt idx="5">
                  <c:v>10.8</c:v>
                </c:pt>
                <c:pt idx="6">
                  <c:v>10.8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DA-48F1-8E19-1275A396C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773104"/>
        <c:axId val="349777680"/>
      </c:lineChart>
      <c:catAx>
        <c:axId val="3497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777680"/>
        <c:crosses val="autoZero"/>
        <c:auto val="1"/>
        <c:lblAlgn val="ctr"/>
        <c:lblOffset val="100"/>
        <c:noMultiLvlLbl val="0"/>
      </c:catAx>
      <c:valAx>
        <c:axId val="34977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7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f2;f3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Лист1!$Q$2:$Q$8</c:f>
              <c:numCache>
                <c:formatCode>General</c:formatCode>
                <c:ptCount val="7"/>
                <c:pt idx="0">
                  <c:v>26.125</c:v>
                </c:pt>
                <c:pt idx="1">
                  <c:v>22.660472955237427</c:v>
                </c:pt>
                <c:pt idx="2">
                  <c:v>19.195945999999999</c:v>
                </c:pt>
                <c:pt idx="3">
                  <c:v>15.731418977585987</c:v>
                </c:pt>
                <c:pt idx="4">
                  <c:v>10.8</c:v>
                </c:pt>
                <c:pt idx="5">
                  <c:v>10.8</c:v>
                </c:pt>
                <c:pt idx="6">
                  <c:v>10.8</c:v>
                </c:pt>
              </c:numCache>
            </c:numRef>
          </c:cat>
          <c:val>
            <c:numRef>
              <c:f>Лист2!$P$2:$P$8</c:f>
              <c:numCache>
                <c:formatCode>General</c:formatCode>
                <c:ptCount val="7"/>
                <c:pt idx="0">
                  <c:v>16.282094594596078</c:v>
                </c:pt>
                <c:pt idx="1">
                  <c:v>10.763883333333613</c:v>
                </c:pt>
                <c:pt idx="2">
                  <c:v>-7.223328144721286E-2</c:v>
                </c:pt>
                <c:pt idx="3">
                  <c:v>-10.908349999999661</c:v>
                </c:pt>
                <c:pt idx="4">
                  <c:v>-11.010416766422921</c:v>
                </c:pt>
                <c:pt idx="5">
                  <c:v>-11.01041686712772</c:v>
                </c:pt>
                <c:pt idx="6">
                  <c:v>-11.01041686712772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8C-4EA1-A845-0092B8826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773104"/>
        <c:axId val="349777680"/>
      </c:lineChart>
      <c:catAx>
        <c:axId val="3497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777680"/>
        <c:crosses val="autoZero"/>
        <c:auto val="1"/>
        <c:lblAlgn val="ctr"/>
        <c:lblOffset val="100"/>
        <c:noMultiLvlLbl val="0"/>
      </c:catAx>
      <c:valAx>
        <c:axId val="34977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7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D49B2-CF8C-4F64-A405-0F2E371C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2019-12-08T10:06:00Z</dcterms:created>
  <dcterms:modified xsi:type="dcterms:W3CDTF">2019-12-08T21:17:00Z</dcterms:modified>
</cp:coreProperties>
</file>