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4AC0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7888EA1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1CD47907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14:paraId="1E33C069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2693ED5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Й УПРАВЛІННЯ</w:t>
      </w:r>
    </w:p>
    <w:p w14:paraId="5A9C3E2E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70A4B85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0FFFADF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747F06A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DEDD36" w14:textId="78F0DF6E" w:rsidR="00AF6E7E" w:rsidRPr="008D1829" w:rsidRDefault="00177040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Практич</w:t>
      </w:r>
      <w:r w:rsidR="00AF6E7E"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на робота №</w:t>
      </w:r>
      <w:r w:rsidR="008D1829" w:rsidRPr="008D1829">
        <w:rPr>
          <w:rFonts w:ascii="Times New Roman" w:eastAsia="Calibri" w:hAnsi="Times New Roman" w:cs="Times New Roman"/>
          <w:sz w:val="28"/>
          <w:szCs w:val="28"/>
          <w:lang w:val="ru-RU" w:eastAsia="ko-KR"/>
        </w:rPr>
        <w:t>3</w:t>
      </w:r>
    </w:p>
    <w:p w14:paraId="29D93E21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 w:eastAsia="ko-KR"/>
        </w:rPr>
        <w:t>з курсу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Економіка організації виробництва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0E3145D8" w14:textId="77777777" w:rsidR="00AF6E7E" w:rsidRPr="00AF6E7E" w:rsidRDefault="00AF6E7E" w:rsidP="00AF6E7E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3511862" w14:textId="77777777" w:rsidR="00AF6E7E" w:rsidRPr="00AF6E7E" w:rsidRDefault="00AF6E7E" w:rsidP="00AF6E7E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92121D3" w14:textId="77777777" w:rsidR="00AF6E7E" w:rsidRDefault="00AF6E7E" w:rsidP="00AF6E7E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71B544C" w14:textId="77777777" w:rsidR="00AF6E7E" w:rsidRPr="00AF6E7E" w:rsidRDefault="00AF6E7E" w:rsidP="00AF6E7E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7DCDBC" w14:textId="77777777" w:rsidR="00AF6E7E" w:rsidRPr="00AF6E7E" w:rsidRDefault="00AF6E7E" w:rsidP="00AF6E7E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</w:p>
    <w:p w14:paraId="6B4A9550" w14:textId="77777777" w:rsidR="00AF6E7E" w:rsidRPr="00AF6E7E" w:rsidRDefault="00AF6E7E" w:rsidP="00AF6E7E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4F0D2F" w14:textId="77777777" w:rsidR="00AF6E7E" w:rsidRPr="00AF6E7E" w:rsidRDefault="00AF6E7E" w:rsidP="00AF6E7E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Виконала: </w:t>
      </w:r>
    </w:p>
    <w:p w14:paraId="1EB985F0" w14:textId="77777777" w:rsidR="00AF6E7E" w:rsidRPr="00AF6E7E" w:rsidRDefault="00AF6E7E" w:rsidP="00AF6E7E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студентка групи КН-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41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6а</w:t>
      </w:r>
    </w:p>
    <w:p w14:paraId="4E541510" w14:textId="77777777" w:rsidR="00AF6E7E" w:rsidRPr="00AF6E7E" w:rsidRDefault="00AF6E7E" w:rsidP="00AF6E7E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Науменко І.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14:paraId="0AB8EE97" w14:textId="77777777" w:rsidR="00AF6E7E" w:rsidRPr="00AF6E7E" w:rsidRDefault="00AF6E7E" w:rsidP="00AF6E7E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3A5E048" w14:textId="77777777" w:rsidR="00AF6E7E" w:rsidRPr="00AF6E7E" w:rsidRDefault="00AF6E7E" w:rsidP="00AF6E7E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ла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3D9A2AA9" w14:textId="77777777" w:rsidR="00AF6E7E" w:rsidRPr="00AF6E7E" w:rsidRDefault="00AF6E7E" w:rsidP="00AF6E7E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Єршова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E635CA6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E6428B" w14:textId="77777777" w:rsidR="00AF6E7E" w:rsidRPr="00AF6E7E" w:rsidRDefault="00AF6E7E" w:rsidP="00AF6E7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</w:p>
    <w:p w14:paraId="30939A1A" w14:textId="77777777" w:rsidR="00AF6E7E" w:rsidRPr="00AF6E7E" w:rsidRDefault="00AF6E7E" w:rsidP="00AF6E7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</w:p>
    <w:p w14:paraId="298B957D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AF29F2B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8D12EC0" w14:textId="77777777" w:rsidR="00AF6E7E" w:rsidRPr="00AF6E7E" w:rsidRDefault="00AF6E7E" w:rsidP="00AF6E7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Харків – 20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14:paraId="0BFB7EF4" w14:textId="77777777" w:rsidR="00AF6E7E" w:rsidRPr="00AF6E7E" w:rsidRDefault="00AF6E7E" w:rsidP="00AF6E7E">
      <w:pPr>
        <w:spacing w:after="200" w:line="276" w:lineRule="auto"/>
        <w:ind w:firstLine="709"/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lastRenderedPageBreak/>
        <w:t xml:space="preserve">Тема: </w:t>
      </w:r>
      <w:r w:rsidRPr="00AF6E7E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Оценка проекта (PERT)</w:t>
      </w: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>.</w:t>
      </w:r>
    </w:p>
    <w:p w14:paraId="4A420C37" w14:textId="77777777" w:rsidR="00AF6E7E" w:rsidRPr="00AF6E7E" w:rsidRDefault="00AF6E7E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Реализация метода основана на использовании собственного опыта или опыта коллег, полученного в похожих проектах. Это наиболее прагматичный подход, который позволяет получить достаточно реалистичные оценки трудоемкости и срока реализации программного проекта, быстро и без больших затрат. </w:t>
      </w:r>
    </w:p>
    <w:p w14:paraId="62DB6EF3" w14:textId="77777777" w:rsidR="00AF6E7E" w:rsidRPr="00AF6E7E" w:rsidRDefault="00AF6E7E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Задача</w:t>
      </w:r>
    </w:p>
    <w:p w14:paraId="173C395F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 Ассоциации CBOSS задачей проекта была разработка на основе стандартов J2EE общесистемного ПО для перевода рабочих мест CBOSS на новую трехзвенную архитектуру. Был разработан набор стандартных компонентов и сервисов, из которых как из конструктора можно эффективно и качественно собирать прикладные подсистемы. Высокоуровневая архитектура реализовывала стандартный паттерн MVC (рисунок 1), каждый из компонентов которого имел «точки расширения» для прикладной разработки, которые на рисунке выделены красным светом. </w:t>
      </w:r>
    </w:p>
    <w:p w14:paraId="7C71A3DC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Такими точками расширения являлись: </w:t>
      </w:r>
    </w:p>
    <w:p w14:paraId="2EA83186" w14:textId="77777777" w:rsidR="00AF6E7E" w:rsidRPr="00AF6E7E" w:rsidRDefault="00AF6E7E" w:rsidP="00AF6E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пользовательский экран (UIForm), который собирался из готовых визуальных компонентов; </w:t>
      </w:r>
    </w:p>
    <w:p w14:paraId="0580AC3D" w14:textId="77777777" w:rsidR="00AF6E7E" w:rsidRPr="00AF6E7E" w:rsidRDefault="00AF6E7E" w:rsidP="00AF6E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обработчики (Action), которые обрабатывали на сервере приложений </w:t>
      </w:r>
    </w:p>
    <w:p w14:paraId="345C495F" w14:textId="77777777" w:rsidR="00AF6E7E" w:rsidRPr="00AF6E7E" w:rsidRDefault="00AF6E7E" w:rsidP="00AF6E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события от активных визуальных компонентов, входящих в состав экрана; </w:t>
      </w:r>
    </w:p>
    <w:p w14:paraId="5377979A" w14:textId="77777777" w:rsidR="00AF6E7E" w:rsidRPr="00AF6E7E" w:rsidRDefault="00AF6E7E" w:rsidP="00AF6E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объекты (BusinessObj), которые моделировали прикладную область и к которым обращались обработчики событий. </w:t>
      </w:r>
    </w:p>
    <w:p w14:paraId="2DFFE3D6" w14:textId="77777777" w:rsidR="00AF6E7E" w:rsidRPr="00AF6E7E" w:rsidRDefault="00AF6E7E" w:rsidP="00AF6E7E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74CA119" wp14:editId="51CD2222">
            <wp:extent cx="4867275" cy="3667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44A01" w14:textId="77777777" w:rsidR="00AF6E7E" w:rsidRPr="00AF6E7E" w:rsidRDefault="00AF6E7E" w:rsidP="00AF6E7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Рисунок 1 – Высокоуровневая архитектура J2EE Фреймворка для разработки приложений</w:t>
      </w:r>
    </w:p>
    <w:p w14:paraId="0727EA39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15148BA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Хотя все разрабатываемые рабочие места различались по функциональности и сложности,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достоверностью. </w:t>
      </w:r>
    </w:p>
    <w:p w14:paraId="465FCE01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14:paraId="646ECC4F" w14:textId="77777777" w:rsidR="00AF6E7E" w:rsidRPr="00AF6E7E" w:rsidRDefault="00AF6E7E" w:rsidP="00AF6E7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для одного экрана – от 2 до 20 часов (наиболее вероятно – 4 часа); </w:t>
      </w:r>
    </w:p>
    <w:p w14:paraId="09A0EBA3" w14:textId="77777777" w:rsidR="00AF6E7E" w:rsidRPr="00AF6E7E" w:rsidRDefault="00AF6E7E" w:rsidP="00AF6E7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для одного обработчика событий – от 4 до 32 часов (наиболее вероятно – 8 часов); </w:t>
      </w:r>
    </w:p>
    <w:p w14:paraId="7D7C8622" w14:textId="77777777" w:rsidR="00AF6E7E" w:rsidRPr="00AF6E7E" w:rsidRDefault="00AF6E7E" w:rsidP="00AF6E7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для нового бизнес-объекта – от 2 до 8 часов (наиболее вероятно – 3 часа); </w:t>
      </w:r>
    </w:p>
    <w:p w14:paraId="2D32AFDA" w14:textId="77777777" w:rsidR="00AF6E7E" w:rsidRPr="00AF6E7E" w:rsidRDefault="00AF6E7E" w:rsidP="00AF6E7E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14:paraId="0C910E72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14:paraId="33E3F37F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КUI – количество пользовательских экранов; </w:t>
      </w:r>
    </w:p>
    <w:p w14:paraId="4B011EEF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lastRenderedPageBreak/>
        <w:t xml:space="preserve">KAct – количество обработчиков событий; </w:t>
      </w:r>
    </w:p>
    <w:p w14:paraId="050CA1D3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КBO – количество новых бизнес-объектов; </w:t>
      </w:r>
    </w:p>
    <w:p w14:paraId="50A8DDD0" w14:textId="77777777" w:rsidR="00AF6E7E" w:rsidRP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KBM – количество новых или модифицируемых бизнес-методов. </w:t>
      </w:r>
    </w:p>
    <w:p w14:paraId="79525D4F" w14:textId="77777777" w:rsidR="00AF6E7E" w:rsidRDefault="00AF6E7E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Новое разрабатываемое приложение содержит 20 пользовательских экранов, 60 обработчиков событий, 16 новых бизнес-объектов и 40 новых бизнес-методов, которые необходимо добавить, как в новые, так и в уже существующие бизнес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-</w:t>
      </w: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объекты. </w:t>
      </w:r>
    </w:p>
    <w:p w14:paraId="67D29D5A" w14:textId="77777777" w:rsidR="00A15CD0" w:rsidRPr="00A15CD0" w:rsidRDefault="00A15CD0" w:rsidP="00AF6E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A15CD0">
        <w:rPr>
          <w:rFonts w:ascii="Times New Roman" w:eastAsia="Calibri" w:hAnsi="Times New Roman" w:cs="Times New Roman"/>
          <w:b/>
          <w:iCs/>
          <w:sz w:val="28"/>
          <w:szCs w:val="28"/>
        </w:rPr>
        <w:t>Решение:</w:t>
      </w:r>
    </w:p>
    <w:p w14:paraId="15EB7711" w14:textId="77777777" w:rsidR="00AF6E7E" w:rsidRPr="00AF6E7E" w:rsidRDefault="00AF6E7E" w:rsidP="00AA4E63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Вычислить суммарную трудоемкость проекта, которую мы не превысим с вероятностью 95%, используя метод </w:t>
      </w: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PERT</w:t>
      </w: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054373D6" w14:textId="77777777" w:rsidR="00177040" w:rsidRDefault="008D1829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2+2*4+20</m:t>
            </m:r>
          </m:e>
        </m:d>
        <m:r>
          <m:rPr>
            <m:nor/>
          </m:rPr>
          <w:rPr>
            <w:rFonts w:ascii="Times New Roman" w:hAnsi="Times New Roman" w:cs="Times New Roman"/>
            <w:bCs/>
            <w:iCs/>
            <w:sz w:val="28"/>
            <w:szCs w:val="28"/>
          </w:rPr>
          <m:t>/4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=7,5</m:t>
        </m:r>
      </m:oMath>
      <w:r w:rsidR="0017704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чел.*час,</w:t>
      </w:r>
    </w:p>
    <w:p w14:paraId="07BF961D" w14:textId="77777777" w:rsidR="00AF6E7E" w:rsidRPr="00AF6E7E" w:rsidRDefault="00177040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СК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UI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20-2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/4=4,5</m:t>
        </m:r>
      </m:oMath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чел.*час, </w:t>
      </w:r>
    </w:p>
    <w:p w14:paraId="5BEE80F1" w14:textId="77777777" w:rsidR="00177040" w:rsidRDefault="008D1829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Act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=(4+2*8+32)/4=13</m:t>
        </m:r>
      </m:oMath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чел.*час, </w:t>
      </w:r>
    </w:p>
    <w:p w14:paraId="67D59668" w14:textId="77777777" w:rsidR="00AF6E7E" w:rsidRPr="00AF6E7E" w:rsidRDefault="00177040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СК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Act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=(32-4)/4=7</m:t>
        </m:r>
      </m:oMath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чел.*час, </w:t>
      </w:r>
    </w:p>
    <w:p w14:paraId="07F81376" w14:textId="77777777" w:rsidR="00177040" w:rsidRDefault="008D1829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=(2+2*3+8)/4=4</m:t>
        </m:r>
      </m:oMath>
      <w:r w:rsidR="0017704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чел.*час, </w:t>
      </w:r>
    </w:p>
    <w:p w14:paraId="530F5D20" w14:textId="77777777" w:rsidR="00AF6E7E" w:rsidRPr="00AF6E7E" w:rsidRDefault="00177040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CK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=(8-2)/4=1,5</m:t>
        </m:r>
      </m:oMath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чел.*час, </w:t>
      </w:r>
    </w:p>
    <w:p w14:paraId="0F746480" w14:textId="77777777" w:rsidR="00177040" w:rsidRDefault="008D1829" w:rsidP="00AA4E63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=(2+2*6+26)/4=10</m:t>
        </m:r>
      </m:oMath>
      <w:r w:rsidR="0017704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чел.*час, </w:t>
      </w:r>
    </w:p>
    <w:p w14:paraId="7F404E19" w14:textId="77777777" w:rsidR="00AF6E7E" w:rsidRPr="00AF6E7E" w:rsidRDefault="00177040" w:rsidP="00AA4E63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СК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=(26-2)/4=6</m:t>
        </m:r>
      </m:oMath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чел.*час. </w:t>
      </w:r>
    </w:p>
    <w:p w14:paraId="61011FD9" w14:textId="77777777" w:rsidR="00AF6E7E" w:rsidRPr="00AF6E7E" w:rsidRDefault="00AF6E7E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Для средней трудоемкости работ по кодированию в проекте может быть получена следующая оценка: </w:t>
      </w:r>
    </w:p>
    <w:p w14:paraId="032FB0F6" w14:textId="77777777" w:rsidR="00C46782" w:rsidRDefault="00C46782" w:rsidP="00C46782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Т=20*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7,5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+60*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13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+16*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+40*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10=1394</m:t>
        </m:r>
      </m:oMath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чел.*час, </w:t>
      </w:r>
    </w:p>
    <w:p w14:paraId="57A47AC6" w14:textId="77777777" w:rsidR="00C46782" w:rsidRPr="00C46782" w:rsidRDefault="00C46782" w:rsidP="00C46782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CKO=</m:t>
        </m:r>
        <m:rad>
          <m:radPr>
            <m:degHide m:val="1"/>
            <m:ctrlPr>
              <w:rPr>
                <w:rFonts w:ascii="Cambria Math" w:hAnsi="Times New Roman" w:cs="Times New Roman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20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+60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+16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1,5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+40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e>
        </m:rad>
        <m:r>
          <w:rPr>
            <w:rFonts w:ascii="Cambria Math" w:hAnsi="Times New Roman" w:cs="Times New Roman"/>
            <w:sz w:val="28"/>
            <w:szCs w:val="28"/>
          </w:rPr>
          <m:t>=69,43</m:t>
        </m:r>
      </m:oMath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чел.*час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5C06DA9E" w14:textId="77777777" w:rsidR="00AF6E7E" w:rsidRPr="00AF6E7E" w:rsidRDefault="00AF6E7E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Тогда для оценки суммарной трудоемкости проекта, которую мы не превысим с вероятностью 95%, получим </w:t>
      </w:r>
    </w:p>
    <w:p w14:paraId="0DFDC455" w14:textId="77777777" w:rsidR="00AF6E7E" w:rsidRPr="00AF6E7E" w:rsidRDefault="008D1829" w:rsidP="00AF6E7E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95%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1394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+2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69,43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1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532,86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</m:oMath>
      <w:r w:rsidR="00C4678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F6E7E" w:rsidRPr="00AF6E7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чел.*час. </w:t>
      </w:r>
    </w:p>
    <w:p w14:paraId="5B6197B1" w14:textId="77777777" w:rsidR="00BF77BE" w:rsidRPr="00BF77BE" w:rsidRDefault="00BF77BE" w:rsidP="00BF77BE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 w:rsidRPr="00BF77B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 w:rsidR="000A37F7">
        <w:rPr>
          <w:rFonts w:ascii="Times New Roman" w:eastAsia="Calibri" w:hAnsi="Times New Roman" w:cs="Times New Roman"/>
          <w:bCs/>
          <w:iCs/>
          <w:sz w:val="28"/>
          <w:szCs w:val="28"/>
        </w:rPr>
        <w:t>6131,44</w:t>
      </w:r>
      <w:r w:rsidRPr="00BF77B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чел.*час.</w:t>
      </w:r>
    </w:p>
    <w:p w14:paraId="4A053E96" w14:textId="77777777" w:rsidR="00BF77BE" w:rsidRPr="00BF77BE" w:rsidRDefault="00BF77BE" w:rsidP="00BF77BE">
      <w:pPr>
        <w:spacing w:after="0" w:line="360" w:lineRule="auto"/>
        <w:ind w:firstLine="720"/>
        <w:jc w:val="both"/>
        <w:rPr>
          <w:rFonts w:ascii="Calibri" w:eastAsia="Calibri" w:hAnsi="Calibri" w:cs="Times New Roman"/>
          <w:lang w:val="uk-UA"/>
        </w:rPr>
      </w:pPr>
      <w:r w:rsidRPr="00BF77B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Если сотрудник занят только данным проектом, это, как правило, не означает, что он все 40 часов в неделю будет тратить на проектные работы. Тратить он будет 60–80% своего рабочего времени. Поэтому, в месяц сотрудник будет работать по проекту примерно 165 * 0.8 = 132 чел.*час/мес. Следовательно, трудоемкость проекта в человеко-месяцах составит, приблизительно </w:t>
      </w:r>
      <w:r w:rsidR="000A37F7">
        <w:rPr>
          <w:rFonts w:ascii="Times New Roman" w:eastAsia="Calibri" w:hAnsi="Times New Roman" w:cs="Times New Roman"/>
          <w:bCs/>
          <w:iCs/>
          <w:sz w:val="28"/>
          <w:szCs w:val="28"/>
        </w:rPr>
        <w:t>6131,44</w:t>
      </w:r>
      <w:r w:rsidRPr="00BF77B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/ 132 = 4</w:t>
      </w:r>
      <w:r w:rsidR="000A37F7">
        <w:rPr>
          <w:rFonts w:ascii="Times New Roman" w:eastAsia="Calibri" w:hAnsi="Times New Roman" w:cs="Times New Roman"/>
          <w:bCs/>
          <w:iCs/>
          <w:sz w:val="28"/>
          <w:szCs w:val="28"/>
        </w:rPr>
        <w:t>6,45</w:t>
      </w:r>
      <w:r w:rsidRPr="00BF77B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463EDFCD" w14:textId="77777777" w:rsidR="00BF77BE" w:rsidRPr="00BF77BE" w:rsidRDefault="00BF77BE" w:rsidP="00BF77BE">
      <w:pPr>
        <w:spacing w:after="0" w:line="276" w:lineRule="auto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77BE">
        <w:rPr>
          <w:rFonts w:ascii="Times New Roman" w:eastAsia="Calibri" w:hAnsi="Times New Roman" w:cs="Times New Roman"/>
          <w:sz w:val="28"/>
          <w:szCs w:val="28"/>
          <w:lang w:val="ru-RU"/>
        </w:rPr>
        <w:t>Для сравнения результатов составим таблицу:</w:t>
      </w:r>
    </w:p>
    <w:p w14:paraId="751C971B" w14:textId="77777777" w:rsidR="00BF77BE" w:rsidRPr="00BF77BE" w:rsidRDefault="00BF77BE" w:rsidP="00BF77BE">
      <w:pPr>
        <w:spacing w:after="0" w:line="276" w:lineRule="auto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4DDECA1" w14:textId="77777777" w:rsidR="00BF77BE" w:rsidRPr="00BF77BE" w:rsidRDefault="00BF77BE" w:rsidP="00BF77BE">
      <w:pPr>
        <w:spacing w:after="0" w:line="276" w:lineRule="auto"/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F77BE">
        <w:rPr>
          <w:rFonts w:ascii="Times New Roman" w:eastAsia="Calibri" w:hAnsi="Times New Roman" w:cs="Times New Roman"/>
          <w:sz w:val="28"/>
          <w:szCs w:val="28"/>
          <w:lang w:val="ru-RU"/>
        </w:rPr>
        <w:t>Таблица 1 – Сравнение результатов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1007"/>
        <w:gridCol w:w="1023"/>
        <w:gridCol w:w="1018"/>
        <w:gridCol w:w="1029"/>
        <w:gridCol w:w="1006"/>
        <w:gridCol w:w="1020"/>
        <w:gridCol w:w="1018"/>
        <w:gridCol w:w="1029"/>
      </w:tblGrid>
      <w:tr w:rsidR="00BF77BE" w:rsidRPr="00BF77BE" w14:paraId="6307D63A" w14:textId="77777777" w:rsidTr="00011471">
        <w:tc>
          <w:tcPr>
            <w:tcW w:w="1477" w:type="dxa"/>
          </w:tcPr>
          <w:p w14:paraId="30CBC637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00" w:type="dxa"/>
            <w:gridSpan w:val="4"/>
          </w:tcPr>
          <w:p w14:paraId="147FEAC6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Бетта-распределение</w:t>
            </w:r>
          </w:p>
        </w:tc>
        <w:tc>
          <w:tcPr>
            <w:tcW w:w="4102" w:type="dxa"/>
            <w:gridSpan w:val="4"/>
          </w:tcPr>
          <w:p w14:paraId="0A5E69A7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Треугольное распределение</w:t>
            </w:r>
          </w:p>
        </w:tc>
      </w:tr>
      <w:tr w:rsidR="00BF77BE" w:rsidRPr="00BF77BE" w14:paraId="0EF5526E" w14:textId="77777777" w:rsidTr="00011471">
        <w:tc>
          <w:tcPr>
            <w:tcW w:w="1477" w:type="dxa"/>
          </w:tcPr>
          <w:p w14:paraId="3EB24F81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3" w:type="dxa"/>
          </w:tcPr>
          <w:p w14:paraId="59A0D8EF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/>
              </w:rPr>
              <w:object w:dxaOrig="380" w:dyaOrig="300" w14:anchorId="45A35B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5pt" o:ole="">
                  <v:imagedata r:id="rId6" o:title=""/>
                </v:shape>
                <o:OLEObject Type="Embed" ProgID="Equation.DSMT4" ShapeID="_x0000_i1025" DrawAspect="Content" ObjectID="_1648125650" r:id="rId7"/>
              </w:object>
            </w:r>
          </w:p>
        </w:tc>
        <w:tc>
          <w:tcPr>
            <w:tcW w:w="1027" w:type="dxa"/>
          </w:tcPr>
          <w:p w14:paraId="0AAF3732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/>
              </w:rPr>
              <w:object w:dxaOrig="480" w:dyaOrig="300" w14:anchorId="26F92B18">
                <v:shape id="_x0000_i1026" type="#_x0000_t75" style="width:24pt;height:15pt" o:ole="">
                  <v:imagedata r:id="rId8" o:title=""/>
                </v:shape>
                <o:OLEObject Type="Embed" ProgID="Equation.DSMT4" ShapeID="_x0000_i1026" DrawAspect="Content" ObjectID="_1648125651" r:id="rId9"/>
              </w:object>
            </w:r>
          </w:p>
        </w:tc>
        <w:tc>
          <w:tcPr>
            <w:tcW w:w="1025" w:type="dxa"/>
          </w:tcPr>
          <w:p w14:paraId="7EE541FE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/>
              </w:rPr>
              <w:object w:dxaOrig="460" w:dyaOrig="300" w14:anchorId="3FF6EE0B">
                <v:shape id="_x0000_i1027" type="#_x0000_t75" style="width:23.25pt;height:15pt" o:ole="">
                  <v:imagedata r:id="rId10" o:title=""/>
                </v:shape>
                <o:OLEObject Type="Embed" ProgID="Equation.DSMT4" ShapeID="_x0000_i1027" DrawAspect="Content" ObjectID="_1648125652" r:id="rId11"/>
              </w:object>
            </w:r>
          </w:p>
        </w:tc>
        <w:tc>
          <w:tcPr>
            <w:tcW w:w="1035" w:type="dxa"/>
          </w:tcPr>
          <w:p w14:paraId="3C219C65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4"/>
                <w:sz w:val="28"/>
                <w:szCs w:val="28"/>
                <w:lang/>
              </w:rPr>
              <w:object w:dxaOrig="540" w:dyaOrig="279" w14:anchorId="7F16E9EB">
                <v:shape id="_x0000_i1028" type="#_x0000_t75" style="width:27pt;height:14.25pt" o:ole="">
                  <v:imagedata r:id="rId12" o:title=""/>
                </v:shape>
                <o:OLEObject Type="Embed" ProgID="Equation.DSMT4" ShapeID="_x0000_i1028" DrawAspect="Content" ObjectID="_1648125653" r:id="rId13"/>
              </w:object>
            </w:r>
          </w:p>
        </w:tc>
        <w:tc>
          <w:tcPr>
            <w:tcW w:w="1015" w:type="dxa"/>
          </w:tcPr>
          <w:p w14:paraId="7079908D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/>
              </w:rPr>
              <w:object w:dxaOrig="380" w:dyaOrig="300" w14:anchorId="2D18D8FA">
                <v:shape id="_x0000_i1029" type="#_x0000_t75" style="width:18.75pt;height:15pt" o:ole="">
                  <v:imagedata r:id="rId6" o:title=""/>
                </v:shape>
                <o:OLEObject Type="Embed" ProgID="Equation.DSMT4" ShapeID="_x0000_i1029" DrawAspect="Content" ObjectID="_1648125654" r:id="rId14"/>
              </w:object>
            </w:r>
          </w:p>
        </w:tc>
        <w:tc>
          <w:tcPr>
            <w:tcW w:w="1027" w:type="dxa"/>
          </w:tcPr>
          <w:p w14:paraId="02AB6477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/>
              </w:rPr>
              <w:object w:dxaOrig="480" w:dyaOrig="300" w14:anchorId="2D48CB5C">
                <v:shape id="_x0000_i1030" type="#_x0000_t75" style="width:24pt;height:15pt" o:ole="">
                  <v:imagedata r:id="rId8" o:title=""/>
                </v:shape>
                <o:OLEObject Type="Embed" ProgID="Equation.DSMT4" ShapeID="_x0000_i1030" DrawAspect="Content" ObjectID="_1648125655" r:id="rId15"/>
              </w:object>
            </w:r>
          </w:p>
        </w:tc>
        <w:tc>
          <w:tcPr>
            <w:tcW w:w="1025" w:type="dxa"/>
          </w:tcPr>
          <w:p w14:paraId="0439EACC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6"/>
                <w:sz w:val="28"/>
                <w:szCs w:val="28"/>
                <w:lang/>
              </w:rPr>
              <w:object w:dxaOrig="460" w:dyaOrig="300" w14:anchorId="5CAE4869">
                <v:shape id="_x0000_i1031" type="#_x0000_t75" style="width:23.25pt;height:15pt" o:ole="">
                  <v:imagedata r:id="rId10" o:title=""/>
                </v:shape>
                <o:OLEObject Type="Embed" ProgID="Equation.DSMT4" ShapeID="_x0000_i1031" DrawAspect="Content" ObjectID="_1648125656" r:id="rId16"/>
              </w:object>
            </w:r>
          </w:p>
        </w:tc>
        <w:tc>
          <w:tcPr>
            <w:tcW w:w="1035" w:type="dxa"/>
          </w:tcPr>
          <w:p w14:paraId="3CF1451E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position w:val="-4"/>
                <w:sz w:val="28"/>
                <w:szCs w:val="28"/>
                <w:lang/>
              </w:rPr>
              <w:object w:dxaOrig="540" w:dyaOrig="279" w14:anchorId="251CC2A2">
                <v:shape id="_x0000_i1032" type="#_x0000_t75" style="width:27pt;height:14.25pt" o:ole="">
                  <v:imagedata r:id="rId12" o:title=""/>
                </v:shape>
                <o:OLEObject Type="Embed" ProgID="Equation.DSMT4" ShapeID="_x0000_i1032" DrawAspect="Content" ObjectID="_1648125657" r:id="rId17"/>
              </w:object>
            </w:r>
          </w:p>
        </w:tc>
      </w:tr>
      <w:tr w:rsidR="00BF77BE" w:rsidRPr="00BF77BE" w14:paraId="3ECB9FBD" w14:textId="77777777" w:rsidTr="00011471">
        <w:tc>
          <w:tcPr>
            <w:tcW w:w="1477" w:type="dxa"/>
          </w:tcPr>
          <w:p w14:paraId="7467F58A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013" w:type="dxa"/>
          </w:tcPr>
          <w:p w14:paraId="53439615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7" w:type="dxa"/>
          </w:tcPr>
          <w:p w14:paraId="62E193A5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25" w:type="dxa"/>
          </w:tcPr>
          <w:p w14:paraId="02EA0FFD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5" w:type="dxa"/>
          </w:tcPr>
          <w:p w14:paraId="687417BA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8BF2AF7" w14:textId="77777777" w:rsidR="00BF77BE" w:rsidRPr="000A37F7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,5</w:t>
            </w:r>
          </w:p>
        </w:tc>
        <w:tc>
          <w:tcPr>
            <w:tcW w:w="1027" w:type="dxa"/>
          </w:tcPr>
          <w:p w14:paraId="68E021E4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5" w:type="dxa"/>
          </w:tcPr>
          <w:p w14:paraId="798111B3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5" w:type="dxa"/>
          </w:tcPr>
          <w:p w14:paraId="6790F31D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F77BE" w:rsidRPr="00BF77BE" w14:paraId="5A03163A" w14:textId="77777777" w:rsidTr="00011471">
        <w:tc>
          <w:tcPr>
            <w:tcW w:w="1477" w:type="dxa"/>
          </w:tcPr>
          <w:p w14:paraId="24BBE756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CKO</w:t>
            </w:r>
          </w:p>
        </w:tc>
        <w:tc>
          <w:tcPr>
            <w:tcW w:w="1013" w:type="dxa"/>
          </w:tcPr>
          <w:p w14:paraId="57A68144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27" w:type="dxa"/>
          </w:tcPr>
          <w:p w14:paraId="29BA024B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025" w:type="dxa"/>
          </w:tcPr>
          <w:p w14:paraId="5FF6C2FF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35" w:type="dxa"/>
          </w:tcPr>
          <w:p w14:paraId="18A3A2FB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015" w:type="dxa"/>
          </w:tcPr>
          <w:p w14:paraId="58B031B4" w14:textId="77777777" w:rsidR="00BF77BE" w:rsidRPr="000A37F7" w:rsidRDefault="000A37F7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4,5</w:t>
            </w:r>
          </w:p>
        </w:tc>
        <w:tc>
          <w:tcPr>
            <w:tcW w:w="1027" w:type="dxa"/>
          </w:tcPr>
          <w:p w14:paraId="7A6F9AE8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5" w:type="dxa"/>
          </w:tcPr>
          <w:p w14:paraId="2696B24A" w14:textId="77777777" w:rsidR="00BF77BE" w:rsidRPr="000A37F7" w:rsidRDefault="000A37F7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1,5</w:t>
            </w:r>
          </w:p>
        </w:tc>
        <w:tc>
          <w:tcPr>
            <w:tcW w:w="1035" w:type="dxa"/>
          </w:tcPr>
          <w:p w14:paraId="7E428C08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F77BE" w:rsidRPr="00BF77BE" w14:paraId="65B07505" w14:textId="77777777" w:rsidTr="00011471">
        <w:tc>
          <w:tcPr>
            <w:tcW w:w="1477" w:type="dxa"/>
          </w:tcPr>
          <w:p w14:paraId="43788AB5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T(общ)</w:t>
            </w:r>
          </w:p>
        </w:tc>
        <w:tc>
          <w:tcPr>
            <w:tcW w:w="4100" w:type="dxa"/>
            <w:gridSpan w:val="4"/>
          </w:tcPr>
          <w:p w14:paraId="026E2137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1220</w:t>
            </w:r>
          </w:p>
        </w:tc>
        <w:tc>
          <w:tcPr>
            <w:tcW w:w="4102" w:type="dxa"/>
            <w:gridSpan w:val="4"/>
          </w:tcPr>
          <w:p w14:paraId="55FCFE31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9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F77BE" w:rsidRPr="00BF77BE" w14:paraId="588FB3EC" w14:textId="77777777" w:rsidTr="00011471">
        <w:tc>
          <w:tcPr>
            <w:tcW w:w="1477" w:type="dxa"/>
          </w:tcPr>
          <w:p w14:paraId="3D861BC8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СКО(общ)</w:t>
            </w:r>
          </w:p>
        </w:tc>
        <w:tc>
          <w:tcPr>
            <w:tcW w:w="4100" w:type="dxa"/>
            <w:gridSpan w:val="4"/>
          </w:tcPr>
          <w:p w14:paraId="5CE48EC3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4102" w:type="dxa"/>
            <w:gridSpan w:val="4"/>
          </w:tcPr>
          <w:p w14:paraId="4745B724" w14:textId="77777777" w:rsidR="00BF77BE" w:rsidRPr="000A37F7" w:rsidRDefault="000A37F7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69,43</w:t>
            </w:r>
          </w:p>
        </w:tc>
      </w:tr>
      <w:tr w:rsidR="00BF77BE" w:rsidRPr="00BF77BE" w14:paraId="6A155708" w14:textId="77777777" w:rsidTr="00011471">
        <w:tc>
          <w:tcPr>
            <w:tcW w:w="1477" w:type="dxa"/>
          </w:tcPr>
          <w:p w14:paraId="1BF64864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Т 95%</w:t>
            </w:r>
          </w:p>
        </w:tc>
        <w:tc>
          <w:tcPr>
            <w:tcW w:w="4100" w:type="dxa"/>
            <w:gridSpan w:val="4"/>
          </w:tcPr>
          <w:p w14:paraId="5243EE22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1237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102" w:type="dxa"/>
            <w:gridSpan w:val="4"/>
          </w:tcPr>
          <w:p w14:paraId="131364F9" w14:textId="77777777" w:rsidR="00BF77BE" w:rsidRPr="000A37F7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532,86</w:t>
            </w:r>
          </w:p>
        </w:tc>
      </w:tr>
      <w:tr w:rsidR="00BF77BE" w:rsidRPr="00BF77BE" w14:paraId="5FF82964" w14:textId="77777777" w:rsidTr="00011471">
        <w:tc>
          <w:tcPr>
            <w:tcW w:w="1477" w:type="dxa"/>
          </w:tcPr>
          <w:p w14:paraId="4FB8BF0C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∑Т проект</w:t>
            </w:r>
          </w:p>
        </w:tc>
        <w:tc>
          <w:tcPr>
            <w:tcW w:w="4100" w:type="dxa"/>
            <w:gridSpan w:val="4"/>
          </w:tcPr>
          <w:p w14:paraId="7D8613D6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4949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102" w:type="dxa"/>
            <w:gridSpan w:val="4"/>
          </w:tcPr>
          <w:p w14:paraId="1BB3E8D6" w14:textId="77777777" w:rsidR="00BF77BE" w:rsidRPr="000A37F7" w:rsidRDefault="000A37F7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6131,44</w:t>
            </w:r>
          </w:p>
        </w:tc>
      </w:tr>
      <w:tr w:rsidR="00BF77BE" w:rsidRPr="00BF77BE" w14:paraId="0664F42A" w14:textId="77777777" w:rsidTr="00011471">
        <w:tc>
          <w:tcPr>
            <w:tcW w:w="1477" w:type="dxa"/>
          </w:tcPr>
          <w:p w14:paraId="4E58BE63" w14:textId="77777777" w:rsidR="00BF77BE" w:rsidRPr="00BF77BE" w:rsidRDefault="00BF77BE" w:rsidP="00BF77B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∑Т чел./ч.</w:t>
            </w:r>
          </w:p>
        </w:tc>
        <w:tc>
          <w:tcPr>
            <w:tcW w:w="4100" w:type="dxa"/>
            <w:gridSpan w:val="4"/>
          </w:tcPr>
          <w:p w14:paraId="3D8CCCBB" w14:textId="77777777" w:rsidR="00BF77BE" w:rsidRPr="00BF77BE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02" w:type="dxa"/>
            <w:gridSpan w:val="4"/>
          </w:tcPr>
          <w:p w14:paraId="5D9709EF" w14:textId="77777777" w:rsidR="00BF77BE" w:rsidRPr="000A37F7" w:rsidRDefault="00BF77BE" w:rsidP="00BF77B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6,</w:t>
            </w:r>
            <w:r w:rsidRPr="00BF77B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0A37F7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5</w:t>
            </w:r>
          </w:p>
        </w:tc>
      </w:tr>
    </w:tbl>
    <w:p w14:paraId="69F796AB" w14:textId="77777777" w:rsidR="00BF77BE" w:rsidRDefault="00BF77BE" w:rsidP="00BF77B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A5C0CCA" w14:textId="77777777" w:rsidR="00BF77BE" w:rsidRPr="00BF77BE" w:rsidRDefault="00BF77BE" w:rsidP="00BF77B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77BE">
        <w:rPr>
          <w:rFonts w:ascii="Times New Roman" w:eastAsia="Calibri" w:hAnsi="Times New Roman" w:cs="Times New Roman"/>
          <w:sz w:val="28"/>
          <w:szCs w:val="28"/>
          <w:lang w:val="ru-RU"/>
        </w:rPr>
        <w:t>Согласно таблице 1, можно сделать следующий вывод:</w:t>
      </w:r>
    </w:p>
    <w:p w14:paraId="18638617" w14:textId="77777777" w:rsidR="00BF77BE" w:rsidRPr="00BF77BE" w:rsidRDefault="00BF77BE" w:rsidP="00BF77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77BE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использовании формулы для бетта-распределения показатели значительно лучше по чел.*часам, чем при использовании треугольного распределения.</w:t>
      </w:r>
    </w:p>
    <w:p w14:paraId="3D1BD8A1" w14:textId="77777777" w:rsidR="00BF77BE" w:rsidRPr="00BF77BE" w:rsidRDefault="00BF77BE" w:rsidP="00BF7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BF77BE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При использовании формулы для бета-распределения коэффициент четверки при наиболее вероятной оценке сильно смещает итоговый результат расчетов в область этой оценки. Какой бы широкий интервал ни был между оптимистической и пессимистической оценкой – в итоге расчетов оценка близка </w:t>
      </w:r>
      <w:r w:rsidRPr="00BF77BE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lastRenderedPageBreak/>
        <w:t>к наиболее вероятной. В формуле, используемой для треугольного распределения, все оценки имеют одинаковый вес, и результат в большей степени зависит от интервалов, на расстоянии которых находятся от ожидаемой оценки крайние значения (оптимистическая и пессимистическая оценки).</w:t>
      </w:r>
    </w:p>
    <w:p w14:paraId="70525BC5" w14:textId="77777777" w:rsidR="00855533" w:rsidRDefault="00855533" w:rsidP="00855533">
      <w:pPr>
        <w:spacing w:after="20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297991E" w14:textId="77777777" w:rsidR="00855533" w:rsidRDefault="00855533" w:rsidP="00CD27A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AA4E63">
        <w:rPr>
          <w:rFonts w:ascii="Times New Roman" w:eastAsia="Calibri" w:hAnsi="Times New Roman" w:cs="Times New Roman"/>
          <w:b/>
          <w:iCs/>
          <w:sz w:val="28"/>
          <w:szCs w:val="28"/>
          <w:lang w:val="ru-RU"/>
        </w:rPr>
        <w:t>В</w:t>
      </w:r>
      <w:r w:rsidRPr="00AA4E63">
        <w:rPr>
          <w:rFonts w:ascii="Times New Roman" w:eastAsia="Calibri" w:hAnsi="Times New Roman" w:cs="Times New Roman"/>
          <w:b/>
          <w:iCs/>
          <w:sz w:val="28"/>
          <w:szCs w:val="28"/>
        </w:rPr>
        <w:t>ывод:</w:t>
      </w:r>
    </w:p>
    <w:p w14:paraId="2CD9D3D0" w14:textId="77777777" w:rsidR="00CD27A8" w:rsidRDefault="00CD27A8" w:rsidP="00CD27A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/>
        </w:rPr>
      </w:pPr>
      <w:r>
        <w:rPr>
          <w:sz w:val="28"/>
          <w:szCs w:val="28"/>
          <w:lang/>
        </w:rPr>
        <w:t xml:space="preserve">В ходе </w:t>
      </w:r>
      <w:r w:rsidR="00177040">
        <w:rPr>
          <w:sz w:val="28"/>
          <w:szCs w:val="28"/>
          <w:lang w:val="uk-UA"/>
        </w:rPr>
        <w:t>практическ</w:t>
      </w:r>
      <w:r>
        <w:rPr>
          <w:sz w:val="28"/>
          <w:szCs w:val="28"/>
          <w:lang/>
        </w:rPr>
        <w:t>ой работы, была проведена оценка показателей проекта для треугольного распределения.</w:t>
      </w:r>
    </w:p>
    <w:p w14:paraId="3B9FAA14" w14:textId="77777777" w:rsidR="00E32126" w:rsidRPr="00AF6E7E" w:rsidRDefault="008D1829">
      <w:pPr>
        <w:rPr>
          <w:lang w:val="uk-UA"/>
        </w:rPr>
      </w:pPr>
    </w:p>
    <w:sectPr w:rsidR="00E32126" w:rsidRPr="00AF6E7E" w:rsidSect="00AF6E7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23B"/>
    <w:multiLevelType w:val="hybridMultilevel"/>
    <w:tmpl w:val="DAEA069C"/>
    <w:lvl w:ilvl="0" w:tplc="F70E9058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E1955"/>
    <w:multiLevelType w:val="hybridMultilevel"/>
    <w:tmpl w:val="25CE9ABE"/>
    <w:lvl w:ilvl="0" w:tplc="EF3684E8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7E"/>
    <w:rsid w:val="0007611B"/>
    <w:rsid w:val="000A37F7"/>
    <w:rsid w:val="00177040"/>
    <w:rsid w:val="0028145A"/>
    <w:rsid w:val="003E2FC6"/>
    <w:rsid w:val="00516170"/>
    <w:rsid w:val="005B4562"/>
    <w:rsid w:val="005F7C4A"/>
    <w:rsid w:val="00855533"/>
    <w:rsid w:val="008D1829"/>
    <w:rsid w:val="00A15CD0"/>
    <w:rsid w:val="00A35B56"/>
    <w:rsid w:val="00AA4E63"/>
    <w:rsid w:val="00AF6E7E"/>
    <w:rsid w:val="00BF77BE"/>
    <w:rsid w:val="00C46782"/>
    <w:rsid w:val="00C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68F5"/>
  <w15:chartTrackingRefBased/>
  <w15:docId w15:val="{ED6D836C-9D9B-4305-A156-43FD4F90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C4A"/>
    <w:rPr>
      <w:color w:val="808080"/>
    </w:rPr>
  </w:style>
  <w:style w:type="paragraph" w:customStyle="1" w:styleId="Default">
    <w:name w:val="Default"/>
    <w:rsid w:val="00CD27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4">
    <w:name w:val="Table Grid"/>
    <w:basedOn w:val="a1"/>
    <w:uiPriority w:val="39"/>
    <w:rsid w:val="00BF77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Науменко</dc:creator>
  <cp:keywords/>
  <dc:description/>
  <cp:lastModifiedBy>Владимир Кулик</cp:lastModifiedBy>
  <cp:revision>10</cp:revision>
  <dcterms:created xsi:type="dcterms:W3CDTF">2020-04-07T07:17:00Z</dcterms:created>
  <dcterms:modified xsi:type="dcterms:W3CDTF">2020-04-11T12:54:00Z</dcterms:modified>
</cp:coreProperties>
</file>