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</w:pPr>
      <w:r>
        <w:rPr>
          <w:b/>
          <w:color w:val="B97720"/>
          <w:sz w:val="28"/>
        </w:rPr>
        <w:t>SANDSEA  /  沙海奇境</w:t>
      </w:r>
    </w:p>
    <w:p>
      <w:pPr>
        <w:pStyle w:val="Title"/>
        <w:spacing w:after="240"/>
      </w:pPr>
      <w:r>
        <w:t>本次对话工程总报告</w:t>
      </w:r>
    </w:p>
    <w:p>
      <w:pPr>
        <w:pStyle w:val="Subtitle"/>
      </w:pPr>
      <w:r>
        <w:t>从游戏打磨与核心战斗扩展，到可验证的 P1–P5 实施路线</w:t>
      </w:r>
    </w:p>
    <w:p>
      <w:pPr>
        <w:spacing w:before="360"/>
      </w:pPr>
      <w:r>
        <w:rPr>
          <w:b/>
        </w:rPr>
        <w:t>状态快照  ·  2026-09-30（美西时间）</w:t>
      </w:r>
    </w:p>
    <w:p>
      <w:pPr>
        <w:pStyle w:val="Caption"/>
      </w:pPr>
      <w:r>
        <w:t>项目：bosswenwu/alex-games  ·  游戏：games/minecraft/index.html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2835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交付结论</w:t>
            </w:r>
          </w:p>
        </w:tc>
        <w:tc>
          <w:tcPr>
            <w:tcW w:type="dxa" w:w="6463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当前事实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PR #38、#39、#40、#50、#51</w:t>
            </w:r>
          </w:p>
        </w:tc>
        <w:tc>
          <w:tcPr>
            <w:tcW w:type="dxa" w:w="6463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均已合并；#51 合并 SHA 为 5f0af39a52b964b4f68d4645ba97c6686f95ba27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PR #52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仅点测文档和 P1 测量工具，已推送，开放待审；未合并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自动回归</w:t>
            </w:r>
          </w:p>
        </w:tc>
        <w:tc>
          <w:tcPr>
            <w:tcW w:type="dxa" w:w="6463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合并后 main：默认与 seed=424242 均 362/362 PASS；对比器 6/6 合成夹具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人工/真机验收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PR #51 的真人躲闪、真触屏、低端 GPU 表现尚未验证；不得倒填通过</w:t>
            </w:r>
          </w:p>
        </w:tc>
      </w:tr>
    </w:tbl>
    <w:p>
      <w:pPr>
        <w:spacing w:after="20"/>
      </w:pPr>
    </w:p>
    <w:p>
      <w:pPr>
        <w:spacing w:before="200"/>
      </w:pPr>
      <w:r>
        <w:t>本报告按已完成、已自动验证、仅方案/工具，以及尚需真人或真实设备四种证据状态分别叙述。完整操作步骤保存在 PR #52 的 Markdown 文档与脚本中。</w:t>
      </w:r>
    </w:p>
    <w:p>
      <w:pPr>
        <w:pStyle w:val="Caption"/>
      </w:pPr>
      <w:r>
        <w:t>说明：本报告汇总截至 2026-09-30 的该轮对话与仓库记录；后续 GitHub 状态应以实时 PR/Issue 和 main 为准。</w:t>
      </w:r>
    </w:p>
    <w:p>
      <w:pPr>
        <w:spacing w:before="200"/>
      </w:pPr>
      <w:r>
        <w:drawing>
          <wp:inline xmlns:a="http://schemas.openxmlformats.org/drawingml/2006/main" xmlns:pic="http://schemas.openxmlformats.org/drawingml/2006/picture">
            <wp:extent cx="2951999" cy="1364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dsea-round17-counter-tou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36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图：844×390 合成场景反击 HUD 示例。非真机截图，敌人主体可能被遮挡；不代表真人验收。</w:t>
      </w:r>
    </w:p>
    <w:p>
      <w:r>
        <w:br w:type="page"/>
      </w:r>
    </w:p>
    <w:p>
      <w:pPr>
        <w:pStyle w:val="Heading1"/>
      </w:pPr>
      <w:r>
        <w:t>目录与执行摘要</w:t>
      </w:r>
    </w:p>
    <w:p>
      <w:r>
        <w:t>1 任务背景与工程约束</w:t>
      </w:r>
    </w:p>
    <w:p>
      <w:r>
        <w:t>2 已交付版本与关键验证</w:t>
      </w:r>
    </w:p>
    <w:p>
      <w:r>
        <w:t>3 PR #51 合并后的人工点测与审核</w:t>
      </w:r>
    </w:p>
    <w:p>
      <w:r>
        <w:t>4 P1 性能基线与设备监控方案</w:t>
      </w:r>
    </w:p>
    <w:p>
      <w:r>
        <w:t>5 P1–P5 长期路线和下一周期拆解</w:t>
      </w:r>
    </w:p>
    <w:p>
      <w:r>
        <w:t>6 风险、待办与交付物索引</w:t>
      </w:r>
    </w:p>
    <w:p>
      <w:r>
        <w:t>结论：战斗可读性切片已经代码化并合并，自动回归通过；真正的“手感好”和“低端设备流畅”仍是未测命题。建议先完成 PR #51 的 A1–A7 真机/真人点测，再用 PR #52 的工具在同机同场景取得 10 秒预热、30 秒采样、重复三次的证据；只对能复现的问题开后续战斗调参 PR。</w:t>
      </w:r>
    </w:p>
    <w:p>
      <w:pPr>
        <w:pStyle w:val="Heading1"/>
      </w:pPr>
      <w:r>
        <w:t>1 任务背景与工程约束</w:t>
      </w:r>
    </w:p>
    <w:p>
      <w:r>
        <w:t>用户先后要求检查并优化 GitHub 上的“沙海奇境”，扩大优化范围、提升精美程度、推动代码入库，严格采用“实现 → headless 验证 → 截图目视 → 文档交接 → PR”的工程循环；同时必须给另一位 AI 清楚的接手说明，并通过 Issue #11 协调 Claude Code 等并行工作。</w:t>
      </w:r>
    </w:p>
    <w:p>
      <w:r>
        <w:t>固定约束：可玩游戏保留为单一 games/minecraft/index.html，零运行时依赖、旧档可读；从最新 main 建独立分支；一次一个可验收切片；合并新 PR 必须等待用户授权。自动浏览器采用 Chromium/SwiftShader，它能检查逻辑、页面错误和布局，不能证明实体 GPU 的帧率或真实触摸反馈。</w:t>
      </w:r>
    </w:p>
    <w:p>
      <w:pPr>
        <w:pStyle w:val="Heading1"/>
      </w:pPr>
      <w:r>
        <w:t>2 已交付版本与关键验证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701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PR / 状态</w:t>
            </w:r>
          </w:p>
        </w:tc>
        <w:tc>
          <w:tcPr>
            <w:tcW w:type="dxa" w:w="3969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3628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本次会话可复核证据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#38  已合并</w:t>
            </w:r>
          </w:p>
        </w:tc>
        <w:tc>
          <w:tcPr>
            <w:tcW w:type="dxa" w:w="3969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武器耐久、祭坛维修与旧档兼容。</w:t>
            </w:r>
          </w:p>
        </w:tc>
        <w:tc>
          <w:tcPr>
            <w:tcW w:type="dxa" w:w="3628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GitHub PR 状态为 MERGED。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#39  已合并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黄昏/沙丘标题屏、世界生成加载进度。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GitHub PR 状态为 MERGED。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#40  已合并</w:t>
            </w:r>
          </w:p>
        </w:tc>
        <w:tc>
          <w:tcPr>
            <w:tcW w:type="dxa" w:w="3969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暂停与设置中心、画质及音乐控制。</w:t>
            </w:r>
          </w:p>
        </w:tc>
        <w:tc>
          <w:tcPr>
            <w:tcW w:type="dxa" w:w="3628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GitHub PR 状态为 MERGED。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#50  已合并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沙步的 HUD/触屏状态反馈，避免冗余 toast。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Issue #11 交接；主分支复核。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#51  已合并</w:t>
            </w:r>
          </w:p>
        </w:tc>
        <w:tc>
          <w:tcPr>
            <w:tcW w:type="dxa" w:w="3969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圣甲虫预警→锁向冲锋→收招；闪避成功后绑定同目标、2 秒的一次性近战反击。</w:t>
            </w:r>
          </w:p>
        </w:tc>
        <w:tc>
          <w:tcPr>
            <w:tcW w:type="dxa" w:w="3628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main SHA 5f0af39；默认/固定种子 362/362×2；人工点测待做。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#52  未合并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PR #51 合并后点测标准；P1 基线、设备 monitor、对比器和模拟单元测试。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仅文档/工具；6/6 合成夹具 + 短采样接口 smoke。</w:t>
            </w:r>
          </w:p>
        </w:tc>
      </w:tr>
    </w:tbl>
    <w:p>
      <w:pPr>
        <w:spacing w:after="20"/>
      </w:pPr>
    </w:p>
    <w:p>
      <w:pPr>
        <w:pStyle w:val="Heading2"/>
      </w:pPr>
      <w:r>
        <w:t>PR #51 的数值与边界</w:t>
      </w:r>
    </w:p>
    <w:p>
      <w:r>
        <w:t>预警 0.52 秒，冲锋 0.38 秒，收招 0.58 秒；起手距离 &lt;8.5，冲锋水平命中半径 1.55；沙步闪避 0.35 秒。只有躲过带标记的圣甲虫冲锋才激活 2 秒反击窗口；同目标一次有效近战主命中额外伤害为 round(基础伤害 × 0.35)，最多 +3。普通攻击、错误目标、远程与重锤范围副伤害不继承加成；暂停/死亡/重生/新世界与目标离场清理纯运行态。</w:t>
      </w:r>
    </w:p>
    <w:p>
      <w:r>
        <w:t>验证分层：确定性 selftest 检查状态机、取消/命中边界、反击目标与清理，默认与固定种子各 362/362；前轮截图演示 HUD/按钮，但在部分构图里圣甲虫被仙人掌遮挡，不能用它替代清晰攻击读招或真人闪避时机验收。</w:t>
      </w:r>
    </w:p>
    <w:p>
      <w:pPr>
        <w:pStyle w:val="Heading1"/>
      </w:pPr>
      <w:r>
        <w:t>3 PR #51 合并后的人工点测与审核</w:t>
      </w:r>
    </w:p>
    <w:p>
      <w:r>
        <w:t>PR #51 已经依用户明确指令合并；以下标准用于补充验收和决定“保留现实现／另开修复 PR”，不是事后声称合并前全部通过。桌面建议 1280×720、真实横屏触屏至少一台（参考 844×390 CSS 像素），固定 seed=424242 不保证附近必有自然生成的圣甲虫。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624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422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实际操作</w:t>
            </w:r>
          </w:p>
        </w:tc>
        <w:tc>
          <w:tcPr>
            <w:tcW w:type="dxa" w:w="4252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通过要点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A1</w:t>
            </w:r>
          </w:p>
        </w:tc>
        <w:tc>
          <w:tcPr>
            <w:tcW w:type="dxa" w:w="442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自然遭遇 5–10 次；亮沙地与阴影看完整攻击循环。</w:t>
            </w:r>
          </w:p>
        </w:tc>
        <w:tc>
          <w:tcPr>
            <w:tcW w:type="dxa" w:w="425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暖金预警先于伤害；时长、方向、收招可辨。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A2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站轴线、侧移离线；测试失视、离距、被击退。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冲锋最多命中一次；取消后无幽灵伤害。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A3</w:t>
            </w:r>
          </w:p>
        </w:tc>
        <w:tc>
          <w:tcPr>
            <w:tcW w:type="dxa" w:w="442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在前摇中按 C 沙步，故意过早/过晚各试。</w:t>
            </w:r>
          </w:p>
        </w:tc>
        <w:tc>
          <w:tcPr>
            <w:tcW w:type="dxa" w:w="425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仅成功规避标记冲锋触发 2 秒反击；HUD 状态清晰。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A4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先打错目标再打原目标；连续两次与过期后对照。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错目标不消费；原目标仅一次 +35%（round，最多 +3）。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A5</w:t>
            </w:r>
          </w:p>
        </w:tc>
        <w:tc>
          <w:tcPr>
            <w:tcW w:type="dxa" w:w="442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普通敌击、环境伤害、AOE、暂停/死亡/载入。</w:t>
            </w:r>
          </w:p>
        </w:tc>
        <w:tc>
          <w:tcPr>
            <w:tcW w:type="dxa" w:w="425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无误授予、无跨局残留、旧档正常。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A6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真触屏横屏操作/竖屏旋转提示。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按钮可点、文字不裁剪，与摇杆/任务 UI 不遮挡。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A7</w:t>
            </w:r>
          </w:p>
        </w:tc>
        <w:tc>
          <w:tcPr>
            <w:tcW w:type="dxa" w:w="442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低中高画质真实设备约 3 只遭遇，采样 30 秒。</w:t>
            </w:r>
          </w:p>
        </w:tc>
        <w:tc>
          <w:tcPr>
            <w:tcW w:type="dxa" w:w="4252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粒子受动态 cap 限制；记录 p95、持续慢帧与降档。</w:t>
            </w:r>
          </w:p>
        </w:tc>
      </w:tr>
    </w:tbl>
    <w:p>
      <w:pPr>
        <w:spacing w:after="20"/>
      </w:pPr>
    </w:p>
    <w:p>
      <w:r>
        <w:t>P0 阻断：启动/白屏或反复异常、无预警命中/重复伤害、跨目标无限反击、旧档损坏、真触控不可用。P1 跟进：可复现误判或参考机同条件 p95 恶化 &gt;10%、约 5 秒连续低于 30 FPS、预警不可辨/粒子持续堆积。P2 改善：不影响主流程的局部遮挡/文案。P0/P1 均应附设备、种子、复现视频与日志，另外建修复 PR。</w:t>
      </w:r>
    </w:p>
    <w:p>
      <w:pPr>
        <w:pStyle w:val="Caption"/>
      </w:pPr>
      <w:r>
        <w:t>A1–A7 当前状态：未由真实设备/真人完整执行。详细逐步清单与结果记录模板见 PR #52 中的 SANDSEA-PR51-POSTMERGE-ACCEPTANCE-2026-09-30.md。</w:t>
      </w:r>
    </w:p>
    <w:p>
      <w:pPr>
        <w:pStyle w:val="Heading1"/>
      </w:pPr>
      <w:r>
        <w:t>4 P1 性能基线与设备监控方案</w:t>
      </w:r>
    </w:p>
    <w:p>
      <w:pPr>
        <w:pStyle w:val="Heading2"/>
      </w:pPr>
      <w:r>
        <w:t>4.1 数据流与诊断口径</w:t>
      </w:r>
    </w:p>
    <w:p>
      <w:r>
        <w:t>固定 seed/画质/视口 → 受控沙漠场景（空闲、1/3/6 只圣甲虫）→ rAF 帧间隔 p50/p95 与慢帧连续时长 → 每 250ms 状态/粒子/游戏 FPS 采样 → JSON/CSV → 相同环境对比。headless 版复用仓库自带 tools/headless.mjs；只在隔离测试页提升 HP、移走非目标实体、强制视线并暂停自动降档以固定负载，因此它不是自然遭遇，也不适合判断真实自动降档质量。</w:t>
      </w:r>
    </w:p>
    <w:p>
      <w:r>
        <w:t>真实设备版不改游戏逻辑，通过 DevTools Snippet 被动读取 window.__game.fps、mobs 状态、画质、渲染距离、WebGL renderer 及动态粒子 cap；requestAnimationFrame 差分记录帧时，PerformanceObserver 的 longtask 仅在 API 支持时可用，JS heap 指标也可能缺失。记录页面是否切后台；hidden 样本作废。浏览器脚本不能测 GPU 占用、机身温度或电池耗电，应另用设备工具。</w:t>
      </w:r>
    </w:p>
    <w:p>
      <w:pPr>
        <w:pStyle w:val="Heading2"/>
      </w:pPr>
      <w:r>
        <w:t>4.2 执行方式与阈值</w:t>
      </w:r>
    </w:p>
    <w:p>
      <w:r>
        <w:t>正式协议：同机、同浏览器、同 renderer、同 seed、同画质、同视口/像素比和视角；预热 ≥10 秒，记录 ≥30 秒，新页面重复 ≥3 次。比较相同负载下候选与基线 p95 帧时的“三次中位数”，目标增加 ≤10%；在选定低端参考机 charge3 场景，最长连续慢帧区间不应达到 5 秒。发生自动降档、隐藏、样本/字段不足或环境变化时回报 NOT_COMPARABLE，不能给 PASS。</w:t>
      </w:r>
    </w:p>
    <w:p>
      <w:r>
        <w:t>在仓库根目录执行：</w:t>
      </w:r>
    </w:p>
    <w:p>
      <w:pPr>
        <w:ind w:left="255"/>
      </w:pPr>
      <w:r>
        <w:rPr>
          <w:rFonts w:ascii="DejaVu Sans Mono" w:hAnsi="DejaVu Sans Mono"/>
          <w:sz w:val="16"/>
        </w:rPr>
        <w:t>node tools/sandsea-perf/baseline.mjs --scenario charge3 --gfx 0 --seed 424242 --warmup 10 --duration 30 --repeat 3 --out /tmp/main-charge3.json</w:t>
      </w:r>
    </w:p>
    <w:p>
      <w:pPr>
        <w:ind w:left="255"/>
      </w:pPr>
      <w:r>
        <w:rPr>
          <w:rFonts w:ascii="DejaVu Sans Mono" w:hAnsi="DejaVu Sans Mono"/>
          <w:sz w:val="16"/>
        </w:rPr>
        <w:t>node tools/sandsea-perf/compare-device.mjs --baseline /path/to/main-device-series.json --candidate /path/to/candidate-device-series.json --out /tmp/device-review.json --require-30fps</w:t>
      </w:r>
    </w:p>
    <w:p>
      <w:pPr>
        <w:ind w:left="255"/>
      </w:pPr>
      <w:r>
        <w:rPr>
          <w:rFonts w:ascii="DejaVu Sans Mono" w:hAnsi="DejaVu Sans Mono"/>
          <w:sz w:val="16"/>
        </w:rPr>
        <w:t>node tools/sandsea-perf/test-compare.mjs</w:t>
      </w:r>
    </w:p>
    <w:p>
      <w:r>
        <w:t>设备样本在浏览器控制台先运行 device-monitor.js（可以用远程调试 Snippet），然后调用 __sandseaPerf.start({seconds:30,label:"device-id",scenario:"charge3-natural",revision:"commit-sha"}) 三次并 downloadAll()。对比器仅在严格同环境/样本协议下可能返回 PASS_PROVISIONAL_REAL_DEVICE；该 PASS 仍不等于真人读招和触控手感通过。</w:t>
      </w:r>
    </w:p>
    <w:p>
      <w:r>
        <w:t>本轮仅运行 2–4 秒短采样以验证脚本入口、固定敌人数和报告字段；短样本比较门槛实际输出 NOT_COMPARABLE。未运行正式 10s/30s×3 的 GPU 基线，不能引用短采样中的软件渲染 FPS 判定游戏性能。</w:t>
      </w:r>
    </w:p>
    <w:p>
      <w:pPr>
        <w:pStyle w:val="Heading1"/>
      </w:pPr>
      <w:r>
        <w:t>5 P1–P5 长期路线与下一周期拆解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701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61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核心优化</w:t>
            </w:r>
          </w:p>
        </w:tc>
        <w:tc>
          <w:tcPr>
            <w:tcW w:type="dxa" w:w="4535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实施与退出门槛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P1  优化/平衡</w:t>
            </w:r>
          </w:p>
        </w:tc>
        <w:tc>
          <w:tcPr>
            <w:tcW w:type="dxa" w:w="306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对 PR #51 建立真机性能与命中体验基线。</w:t>
            </w:r>
          </w:p>
        </w:tc>
        <w:tc>
          <w:tcPr>
            <w:tcW w:type="dxa" w:w="4535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先收集 A1–A7 与同机 10/30×3 测量；定位瓶颈，仅按证据单参数修改；功能/截图/真机/回归均记录。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P2  战斗丰富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仅选一种与圣甲虫不同的读招反制敌人。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先选远程蓄力或重型近战之一；状态机/取消/视线/触屏提示/沙步兼容独立测；单主题 PR。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P3  成长闭环</w:t>
            </w:r>
          </w:p>
        </w:tc>
        <w:tc>
          <w:tcPr>
            <w:tcW w:type="dxa" w:w="306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让战斗奖励有可控的资源出口。</w:t>
            </w:r>
          </w:p>
        </w:tc>
        <w:tc>
          <w:tcPr>
            <w:tcW w:type="dxa" w:w="4535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盘点能量核心、祭坛与耐久等；选择一种有限升级/修复闭环；模拟来源/花费/上限并覆盖旧档。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P4  可重玩关卡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复用金字塔或遗迹设计微型试炼。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入口＋2–3 目标节点＋精英机制＋有限奖励；多种子连通性、死亡/退出重入、奖励幂等测试。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P5  发布稳定化</w:t>
            </w:r>
          </w:p>
        </w:tc>
        <w:tc>
          <w:tcPr>
            <w:tcW w:type="dxa" w:w="306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冻结范围并做跨系统全量验收。</w:t>
            </w:r>
          </w:p>
        </w:tc>
        <w:tc>
          <w:tcPr>
            <w:tcW w:type="dxa" w:w="4535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默认/固定/额外种子，旧档、战斗/关卡、桌面/横屏/竖屏、性能与已知风险逐项收口；由用户决定合并与发布。</w:t>
            </w:r>
          </w:p>
        </w:tc>
      </w:tr>
    </w:tbl>
    <w:p>
      <w:pPr>
        <w:spacing w:after="20"/>
      </w:pPr>
    </w:p>
    <w:p>
      <w:pPr>
        <w:pStyle w:val="Heading2"/>
      </w:pPr>
      <w:r>
        <w:t>下一开发周期：P1 工作包（尚未启动战斗改码）</w:t>
      </w:r>
    </w:p>
    <w:p>
      <w:pPr>
        <w:pStyle w:val="ListBullet"/>
      </w:pPr>
      <w:r>
        <w:rPr>
          <w:b/>
        </w:rPr>
        <w:t>P1-A 协作与样本：</w:t>
      </w:r>
      <w:r>
        <w:t>核对 main 和 Issue #11；选定低端参考机与场景，记录浏览器/GPU/画质；不与他人敌人 AI 分工冲突。</w:t>
      </w:r>
    </w:p>
    <w:p>
      <w:pPr>
        <w:pStyle w:val="ListBullet"/>
      </w:pPr>
      <w:r>
        <w:rPr>
          <w:b/>
        </w:rPr>
        <w:t>P1-B 真机基线：</w:t>
      </w:r>
      <w:r>
        <w:t>桌面/中端/低端设备的 idle 与 charge3 自然遭遇：10s 预热、30s×3，保存 JSON、录像与温度/电源状态。</w:t>
      </w:r>
    </w:p>
    <w:p>
      <w:pPr>
        <w:pStyle w:val="ListBullet"/>
      </w:pPr>
      <w:r>
        <w:rPr>
          <w:b/>
        </w:rPr>
        <w:t>P1-C 边界/性能诊断：</w:t>
      </w:r>
      <w:r>
        <w:t>selftest 锁定预警→冲锋→取消/收招、反击正确目标、粒子 cap 与战后回落；性能面板定位主线程与渲染热点。</w:t>
      </w:r>
    </w:p>
    <w:p>
      <w:pPr>
        <w:pStyle w:val="ListBullet"/>
      </w:pPr>
      <w:r>
        <w:rPr>
          <w:b/>
        </w:rPr>
        <w:t>P1-D 条件修订：</w:t>
      </w:r>
      <w:r>
        <w:t>如果存在复现误判或退化，只改一个参数/局部计算，保留 before/after 测量与补充断言。</w:t>
      </w:r>
    </w:p>
    <w:p>
      <w:pPr>
        <w:pStyle w:val="ListBullet"/>
      </w:pPr>
      <w:r>
        <w:rPr>
          <w:b/>
        </w:rPr>
        <w:t>P1-E 视觉和交付：</w:t>
      </w:r>
      <w:r>
        <w:t>1280×720 桌面、844×390 横屏、必要时竖屏；更新 changelog/BACKLOG/Issue #11，推送单主题 PR，不自动合并。</w:t>
      </w:r>
    </w:p>
    <w:p>
      <w:pPr>
        <w:pStyle w:val="Heading1"/>
      </w:pPr>
      <w:r>
        <w:t>6 风险、待办与交付物索引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701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597"/>
            <w:shd w:fill="19384C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事实与下一步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已完成</w:t>
            </w:r>
          </w:p>
        </w:tc>
        <w:tc>
          <w:tcPr>
            <w:tcW w:type="dxa" w:w="7597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PR #51 已合并；main 回归 362/362×2；PR #52 已推送且未合并；测量比较器 6/6 合成夹具通过。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未完成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PR #51 A1–A7 真人/真触屏/自然遭遇、匹配真实 GPU 基线；P1 战斗参数尚未调整，P2–P5 尚未实施。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下一决策</w:t>
            </w:r>
          </w:p>
        </w:tc>
        <w:tc>
          <w:tcPr>
            <w:tcW w:type="dxa" w:w="7597"/>
            <w:vAlign w:val="center"/>
            <w:shd w:fill="F1F5F5"/>
          </w:tcPr>
          <w:p>
            <w:pPr>
              <w:spacing w:after="0"/>
            </w:pPr>
            <w:r>
              <w:rPr>
                <w:rFonts w:ascii="Noto Sans CJK SC" w:hAnsi="Noto Sans CJK SC"/>
                <w:color w:val="2D363D"/>
                <w:sz w:val="17"/>
              </w:rPr>
              <w:t>优先由测试者在真实设备执行点测，整理 P0/P1/P2 问题；审阅 PR #52 文档与工具。若想合并 #52，须另行明确授权。</w:t>
            </w:r>
          </w:p>
        </w:tc>
      </w:tr>
    </w:tbl>
    <w:p>
      <w:pPr>
        <w:spacing w:after="20"/>
      </w:pPr>
    </w:p>
    <w:p>
      <w:r>
        <w:t>配套交付：PR #52 内含可逐项打勾的点测清单、P1 技术测量方案与工具源码；Issue #11 完工交接保留给其他 AI。沙海奇境工程循环技能保存在本会话 Sandbox 的 sandsea-iteration/SKILL.md，可供后续按同一流程认领、测试、截图、文档与 PR。</w:t>
      </w:r>
    </w:p>
    <w:p>
      <w:pPr>
        <w:pStyle w:val="Heading2"/>
      </w:pPr>
      <w:r>
        <w:t>仓库与技术参考</w:t>
      </w:r>
    </w:p>
    <w:p>
      <w:pPr>
        <w:pStyle w:val="ListBullet"/>
      </w:pPr>
      <w:hyperlink r:id="rId12">
        <w:r>
          <w:rPr>
            <w:color w:val="99601C"/>
            <w:u w:val="single"/>
          </w:rPr>
          <w:t>GitHub 仓库 / main</w:t>
        </w:r>
      </w:hyperlink>
    </w:p>
    <w:p>
      <w:pPr>
        <w:pStyle w:val="ListBullet"/>
      </w:pPr>
      <w:hyperlink r:id="rId13">
        <w:r>
          <w:rPr>
            <w:color w:val="99601C"/>
            <w:u w:val="single"/>
          </w:rPr>
          <w:t>PR #51：圣甲虫预警与精准反击（已合并）</w:t>
        </w:r>
      </w:hyperlink>
    </w:p>
    <w:p>
      <w:pPr>
        <w:pStyle w:val="ListBullet"/>
      </w:pPr>
      <w:hyperlink r:id="rId14">
        <w:r>
          <w:rPr>
            <w:color w:val="99601C"/>
            <w:u w:val="single"/>
          </w:rPr>
          <w:t>PR #52：点测文档与 P1 工具（未合并）</w:t>
        </w:r>
      </w:hyperlink>
    </w:p>
    <w:p>
      <w:pPr>
        <w:pStyle w:val="ListBullet"/>
      </w:pPr>
      <w:hyperlink r:id="rId15">
        <w:r>
          <w:rPr>
            <w:color w:val="99601C"/>
            <w:u w:val="single"/>
          </w:rPr>
          <w:t>Issue #11：多 AI 协作看板</w:t>
        </w:r>
      </w:hyperlink>
    </w:p>
    <w:p>
      <w:pPr>
        <w:pStyle w:val="ListBullet"/>
      </w:pPr>
      <w:hyperlink r:id="rId16">
        <w:r>
          <w:rPr>
            <w:color w:val="99601C"/>
            <w:u w:val="single"/>
          </w:rPr>
          <w:t>MDN：requestAnimationFrame / 后台暂停</w:t>
        </w:r>
      </w:hyperlink>
    </w:p>
    <w:p>
      <w:pPr>
        <w:pStyle w:val="ListBullet"/>
      </w:pPr>
      <w:hyperlink r:id="rId17">
        <w:r>
          <w:rPr>
            <w:color w:val="99601C"/>
            <w:u w:val="single"/>
          </w:rPr>
          <w:t>MDN：Page Visibility API</w:t>
        </w:r>
      </w:hyperlink>
    </w:p>
    <w:p>
      <w:pPr>
        <w:pStyle w:val="ListBullet"/>
      </w:pPr>
      <w:hyperlink r:id="rId18">
        <w:r>
          <w:rPr>
            <w:color w:val="99601C"/>
            <w:u w:val="single"/>
          </w:rPr>
          <w:t>MDN：Long Task Timing</w:t>
        </w:r>
      </w:hyperlink>
    </w:p>
    <w:p>
      <w:pPr>
        <w:pStyle w:val="ListBullet"/>
      </w:pPr>
      <w:hyperlink r:id="rId19">
        <w:r>
          <w:rPr>
            <w:color w:val="99601C"/>
            <w:u w:val="single"/>
          </w:rPr>
          <w:t>Chrome DevTools：运行性能分析</w:t>
        </w:r>
      </w:hyperlink>
    </w:p>
    <w:p>
      <w:pPr>
        <w:pStyle w:val="Caption"/>
      </w:pPr>
      <w:r>
        <w:t>备注：PR 状态为生成本报告时的快照。代码合并、测试数量、设备实测与工具 smoke 属于不同证据类型，后续报告不得互相替代。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92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636F78"/>
        <w:sz w:val="17"/>
      </w:rPr>
      <w:t xml:space="preserve">2026-09-30  •  工程总报告  •  第 </w:t>
    </w:r>
    <w:r>
      <w:rPr>
        <w:rFonts w:ascii="Noto Sans CJK SC" w:hAnsi="Noto Sans CJK SC"/>
        <w:color w:val="636F78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/>
        <w:color w:val="636F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沙海奇境  /  工程交付与后续路线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Noto Sans CJK SC" w:hAnsi="Noto Sans CJK SC" w:eastAsia="Noto Sans CJK SC"/>
      <w:b w:val="0"/>
      <w:color w:val="2D36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1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977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1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36F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b w:val="0"/>
      <w:color w:val="2D36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 w:val="0"/>
      <w:bCs/>
      <w:color w:val="636F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bosswenwu/alex-games" TargetMode="External"/><Relationship Id="rId13" Type="http://schemas.openxmlformats.org/officeDocument/2006/relationships/hyperlink" Target="https://github.com/bosswenwu/alex-games/pull/51" TargetMode="External"/><Relationship Id="rId14" Type="http://schemas.openxmlformats.org/officeDocument/2006/relationships/hyperlink" Target="https://github.com/bosswenwu/alex-games/pull/52" TargetMode="External"/><Relationship Id="rId15" Type="http://schemas.openxmlformats.org/officeDocument/2006/relationships/hyperlink" Target="https://github.com/bosswenwu/alex-games/issues/11" TargetMode="External"/><Relationship Id="rId16" Type="http://schemas.openxmlformats.org/officeDocument/2006/relationships/hyperlink" Target="https://developer.mozilla.org/en-US/docs/Web/API/Window/requestAnimationFrame" TargetMode="External"/><Relationship Id="rId17" Type="http://schemas.openxmlformats.org/officeDocument/2006/relationships/hyperlink" Target="https://developer.mozilla.org/en-US/docs/Web/API/Page_Visibility_API" TargetMode="External"/><Relationship Id="rId18" Type="http://schemas.openxmlformats.org/officeDocument/2006/relationships/hyperlink" Target="https://developer.mozilla.org/en-US/docs/Web/API/PerformanceLongTaskTiming" TargetMode="External"/><Relationship Id="rId19" Type="http://schemas.openxmlformats.org/officeDocument/2006/relationships/hyperlink" Target="https://developer.chrome.com/docs/devtools/perform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沙海奇境：本次对话工程总报告</dc:title>
  <dc:subject>PR #51 合并后验收与 P1–P5 实施路线</dc:subject>
  <dc:creator>Manus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