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ChatGPT</w:t>
        <w:br/>
        <w:br/>
        <w:t xml:space="preserve">Below is an evidence-bound review based </w:t>
      </w:r>
      <w:r>
        <w:rPr>
          <w:rStyle w:val="Strong"/>
        </w:rPr>
        <w:t>strictly</w:t>
      </w:r>
      <w:r>
        <w:rPr/>
        <w:t xml:space="preserve"> on the provided LaTeX source and compiled PDF.</w:t>
        <w:br/>
        <w:t>All observations reference text actually present in the manuscript; no inference beyond the text is made.</w:t>
        <w:br/>
        <w:t>Citation refers to the uploaded manuscript.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MODE 1 — JOURNAL EDITORIAL REVIEW</w:t>
      </w:r>
    </w:p>
    <w:p>
      <w:pPr>
        <w:pStyle w:val="Heading3"/>
        <w:spacing w:lineRule="auto" w:line="276" w:before="0" w:after="140"/>
        <w:rPr>
          <w:sz w:val="24"/>
          <w:szCs w:val="24"/>
        </w:rPr>
      </w:pPr>
      <w:r>
        <w:rPr>
          <w:sz w:val="24"/>
          <w:szCs w:val="24"/>
        </w:rPr>
        <w:t>Editorial Acceptability Summary (≤200 words)</w:t>
      </w:r>
    </w:p>
    <w:p>
      <w:pPr>
        <w:pStyle w:val="BodyText"/>
        <w:rPr/>
      </w:pPr>
      <w:r>
        <w:rPr/>
        <w:t xml:space="preserve">The manuscript is clearly within scope for a scientific computing / reproducibility venue. It presents a </w:t>
      </w:r>
      <w:r>
        <w:rPr>
          <w:rStyle w:val="Strong"/>
        </w:rPr>
        <w:t>methods-level governance and execution pattern</w:t>
      </w:r>
      <w:r>
        <w:rPr/>
        <w:t xml:space="preserve"> for automated comparison pipelines, explicitly disavowing analytical novelty or domain claims. The abstract, Introduction, and Conclusion consistently frame the contribution as an execution posture evaluated by enforceable behavior (“authorized comparison vs blocked outcome”), which aligns well with CiSE-style expectations.</w:t>
      </w:r>
    </w:p>
    <w:p>
      <w:pPr>
        <w:pStyle w:val="BodyText"/>
        <w:rPr/>
      </w:pPr>
      <w:r>
        <w:rPr/>
        <w:t>Compared to typical journal submissions, the paper is notably disciplined about scope. However, multiple sections reiterate scope limitations and non-claims (Abstract; Introduction; Sections 2, 9, and 10). While each statement is textually justified, their cumulative effect increases cognitive load and slightly displaces forward narrative momentum.</w:t>
      </w:r>
    </w:p>
    <w:p>
      <w:pPr>
        <w:pStyle w:val="BodyText"/>
        <w:rPr/>
      </w:pPr>
      <w:r>
        <w:rPr/>
        <w:t xml:space="preserve">The manuscript largely maintains focus on process, governance, and execution. No sections drift into domain science. Professional tone is mostly journal-appropriate, though some passages (e.g., repeated emphasis on what the paper does </w:t>
      </w:r>
      <w:r>
        <w:rPr>
          <w:rStyle w:val="Emphasis"/>
        </w:rPr>
        <w:t>not</w:t>
      </w:r>
      <w:r>
        <w:rPr/>
        <w:t xml:space="preserve"> do) resemble defensive positioning rather than reader-oriented exposition.</w:t>
      </w:r>
    </w:p>
    <w:p>
      <w:pPr>
        <w:pStyle w:val="BodyText"/>
        <w:rPr/>
      </w:pPr>
      <w:r>
        <w:rPr/>
        <w:t>Overall, the paper is editorially admissible, with minor tightening recommended.</w:t>
      </w:r>
    </w:p>
    <w:p>
      <w:pPr>
        <w:pStyle w:val="Heading3"/>
        <w:spacing w:lineRule="auto" w:line="276" w:before="0" w:after="140"/>
        <w:rPr>
          <w:sz w:val="24"/>
          <w:szCs w:val="24"/>
        </w:rPr>
      </w:pPr>
      <w:r>
        <w:rPr>
          <w:sz w:val="24"/>
          <w:szCs w:val="24"/>
        </w:rPr>
        <w:t>Blocking Editorial Issues</w:t>
      </w:r>
    </w:p>
    <w:p>
      <w:pPr>
        <w:pStyle w:val="BodyText"/>
        <w:numPr>
          <w:ilvl w:val="0"/>
          <w:numId w:val="1"/>
        </w:numPr>
        <w:tabs>
          <w:tab w:val="clear" w:pos="709"/>
          <w:tab w:val="left" w:pos="0" w:leader="none"/>
        </w:tabs>
        <w:ind w:hanging="283" w:start="709"/>
        <w:rPr/>
      </w:pPr>
      <w:r>
        <w:rPr>
          <w:rStyle w:val="Strong"/>
        </w:rPr>
        <w:t>None identified.</w:t>
      </w:r>
      <w:r>
        <w:rPr/>
        <w:t xml:space="preserve"> No scope violations, missing sections, or structural defects are present.</w:t>
      </w:r>
    </w:p>
    <w:p>
      <w:pPr>
        <w:pStyle w:val="Heading3"/>
        <w:spacing w:lineRule="auto" w:line="276" w:before="0" w:after="140"/>
        <w:rPr>
          <w:sz w:val="24"/>
          <w:szCs w:val="24"/>
        </w:rPr>
      </w:pPr>
      <w:r>
        <w:rPr>
          <w:sz w:val="24"/>
          <w:szCs w:val="24"/>
        </w:rPr>
        <w:t>Non-blocking Editorial Improvements</w:t>
      </w:r>
    </w:p>
    <w:p>
      <w:pPr>
        <w:pStyle w:val="BodyText"/>
        <w:numPr>
          <w:ilvl w:val="0"/>
          <w:numId w:val="2"/>
        </w:numPr>
        <w:tabs>
          <w:tab w:val="clear" w:pos="709"/>
          <w:tab w:val="left" w:pos="0" w:leader="none"/>
        </w:tabs>
        <w:ind w:hanging="283" w:start="709"/>
        <w:rPr/>
      </w:pPr>
      <w:r>
        <w:rPr/>
        <w:t>Consolidate repeated scope and non-claim statements (Abstract; Introduction; Section 9).</w:t>
      </w:r>
    </w:p>
    <w:p>
      <w:pPr>
        <w:pStyle w:val="BodyText"/>
        <w:numPr>
          <w:ilvl w:val="0"/>
          <w:numId w:val="2"/>
        </w:numPr>
        <w:tabs>
          <w:tab w:val="clear" w:pos="709"/>
          <w:tab w:val="left" w:pos="0" w:leader="none"/>
        </w:tabs>
        <w:ind w:hanging="283" w:start="709"/>
        <w:rPr/>
      </w:pPr>
      <w:r>
        <w:rPr/>
        <w:t>Reduce reiteration of “not an analytical method” where already established.</w:t>
      </w:r>
    </w:p>
    <w:p>
      <w:pPr>
        <w:pStyle w:val="BodyText"/>
        <w:numPr>
          <w:ilvl w:val="0"/>
          <w:numId w:val="2"/>
        </w:numPr>
        <w:tabs>
          <w:tab w:val="clear" w:pos="709"/>
          <w:tab w:val="left" w:pos="0" w:leader="none"/>
        </w:tabs>
        <w:ind w:hanging="283" w:start="709"/>
        <w:rPr/>
      </w:pPr>
      <w:r>
        <w:rPr/>
        <w:t>Consider whether Section 9 (“Scope and limits”) partially duplicates earlier framing.</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MODE 2 — JOURNAL READER (NO PRIOR CONTEXT)</w:t>
      </w:r>
    </w:p>
    <w:p>
      <w:pPr>
        <w:pStyle w:val="Heading3"/>
        <w:spacing w:lineRule="auto" w:line="276" w:before="0" w:after="140"/>
        <w:rPr>
          <w:sz w:val="24"/>
          <w:szCs w:val="24"/>
        </w:rPr>
      </w:pPr>
      <w:r>
        <w:rPr>
          <w:sz w:val="24"/>
          <w:szCs w:val="24"/>
        </w:rPr>
        <w:t>Reader Comprehension Assessment</w:t>
      </w:r>
    </w:p>
    <w:p>
      <w:pPr>
        <w:pStyle w:val="BodyText"/>
        <w:rPr/>
      </w:pPr>
      <w:r>
        <w:rPr/>
        <w:t>Within the first two pages, the reader can understand the core problem: automated pipelines perform comparisons without epistemic authorization, and the proposed solution enforces a deterministic refusal (“blocked”) when authorization is absent. The abstract and Introduction make this explicit.</w:t>
      </w:r>
    </w:p>
    <w:p>
      <w:pPr>
        <w:pStyle w:val="BodyText"/>
        <w:rPr/>
      </w:pPr>
      <w:r>
        <w:rPr/>
        <w:t>The approach overview (Section 3) effectively clarifies the posture in plain language. Terminology is defined before use, reducing ambiguity. Artifacts (manifests, locks) are introduced after the conceptual frame, which supports comprehension.</w:t>
      </w:r>
    </w:p>
    <w:p>
      <w:pPr>
        <w:pStyle w:val="Heading3"/>
        <w:spacing w:lineRule="auto" w:line="276" w:before="0" w:after="140"/>
        <w:rPr>
          <w:sz w:val="24"/>
          <w:szCs w:val="24"/>
        </w:rPr>
      </w:pPr>
      <w:r>
        <w:rPr>
          <w:sz w:val="24"/>
          <w:szCs w:val="24"/>
        </w:rPr>
        <w:t>Points of Confusion or Disengagement</w:t>
      </w:r>
    </w:p>
    <w:p>
      <w:pPr>
        <w:pStyle w:val="BodyText"/>
        <w:numPr>
          <w:ilvl w:val="0"/>
          <w:numId w:val="3"/>
        </w:numPr>
        <w:tabs>
          <w:tab w:val="clear" w:pos="709"/>
          <w:tab w:val="left" w:pos="0" w:leader="none"/>
        </w:tabs>
        <w:ind w:hanging="283" w:start="709"/>
        <w:rPr/>
      </w:pPr>
      <w:r>
        <w:rPr/>
        <w:t>The repeated emphasis on scope limitations may prompt a reader to wonder why such reinforcement is necessary.</w:t>
      </w:r>
    </w:p>
    <w:p>
      <w:pPr>
        <w:pStyle w:val="BodyText"/>
        <w:numPr>
          <w:ilvl w:val="0"/>
          <w:numId w:val="3"/>
        </w:numPr>
        <w:tabs>
          <w:tab w:val="clear" w:pos="709"/>
          <w:tab w:val="left" w:pos="0" w:leader="none"/>
        </w:tabs>
        <w:ind w:hanging="283" w:start="709"/>
        <w:rPr/>
      </w:pPr>
      <w:r>
        <w:rPr/>
        <w:t>The use of Lean is justified (Section 4.1), but readers unfamiliar with theorem provers may briefly question relevance, even though no proof claims are made.</w:t>
      </w:r>
    </w:p>
    <w:p>
      <w:pPr>
        <w:pStyle w:val="BodyText"/>
        <w:numPr>
          <w:ilvl w:val="0"/>
          <w:numId w:val="3"/>
        </w:numPr>
        <w:tabs>
          <w:tab w:val="clear" w:pos="709"/>
          <w:tab w:val="left" w:pos="0" w:leader="none"/>
        </w:tabs>
        <w:ind w:hanging="283" w:start="709"/>
        <w:rPr/>
      </w:pPr>
      <w:r>
        <w:rPr/>
        <w:t xml:space="preserve">Section 6’s focus on reproducing a </w:t>
      </w:r>
      <w:r>
        <w:rPr>
          <w:rStyle w:val="Emphasis"/>
        </w:rPr>
        <w:t>refusal</w:t>
      </w:r>
      <w:r>
        <w:rPr/>
        <w:t xml:space="preserve"> may feel counterintuitive until fully contextualized.</w:t>
      </w:r>
    </w:p>
    <w:p>
      <w:pPr>
        <w:pStyle w:val="Heading3"/>
        <w:spacing w:lineRule="auto" w:line="276" w:before="0" w:after="140"/>
        <w:rPr>
          <w:sz w:val="24"/>
          <w:szCs w:val="24"/>
        </w:rPr>
      </w:pPr>
      <w:r>
        <w:rPr>
          <w:sz w:val="24"/>
          <w:szCs w:val="24"/>
        </w:rPr>
        <w:t>Clarity Risks (ranked high → low)</w:t>
      </w:r>
    </w:p>
    <w:p>
      <w:pPr>
        <w:pStyle w:val="BodyText"/>
        <w:numPr>
          <w:ilvl w:val="0"/>
          <w:numId w:val="4"/>
        </w:numPr>
        <w:tabs>
          <w:tab w:val="clear" w:pos="709"/>
          <w:tab w:val="left" w:pos="0" w:leader="none"/>
        </w:tabs>
        <w:ind w:hanging="283" w:start="709"/>
        <w:rPr/>
      </w:pPr>
      <w:r>
        <w:rPr/>
        <w:t>Redundant scope disclaimers interrupt narrative flow.</w:t>
      </w:r>
    </w:p>
    <w:p>
      <w:pPr>
        <w:pStyle w:val="BodyText"/>
        <w:numPr>
          <w:ilvl w:val="0"/>
          <w:numId w:val="4"/>
        </w:numPr>
        <w:tabs>
          <w:tab w:val="clear" w:pos="709"/>
          <w:tab w:val="left" w:pos="0" w:leader="none"/>
        </w:tabs>
        <w:ind w:hanging="283" w:start="709"/>
        <w:rPr/>
      </w:pPr>
      <w:r>
        <w:rPr/>
        <w:t>Tool-specific references (Lean, manifests) may momentarily distract non-specialists.</w:t>
      </w:r>
    </w:p>
    <w:p>
      <w:pPr>
        <w:pStyle w:val="BodyText"/>
        <w:numPr>
          <w:ilvl w:val="0"/>
          <w:numId w:val="4"/>
        </w:numPr>
        <w:tabs>
          <w:tab w:val="clear" w:pos="709"/>
          <w:tab w:val="left" w:pos="0" w:leader="none"/>
        </w:tabs>
        <w:ind w:hanging="283" w:start="709"/>
        <w:rPr/>
      </w:pPr>
      <w:r>
        <w:rPr/>
        <w:t>“</w:t>
      </w:r>
      <w:r>
        <w:rPr/>
        <w:t>Blocked” outcomes as an object of reproduction may initially seem unusual without careful reading.</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MODE 3 — FIELD EXPERT (SCIENTIFIC COMPUTING / REPRODUCIBILITY)</w:t>
      </w:r>
    </w:p>
    <w:p>
      <w:pPr>
        <w:pStyle w:val="Heading3"/>
        <w:spacing w:lineRule="auto" w:line="276" w:before="0" w:after="140"/>
        <w:rPr>
          <w:sz w:val="24"/>
          <w:szCs w:val="24"/>
        </w:rPr>
      </w:pPr>
      <w:r>
        <w:rPr>
          <w:sz w:val="24"/>
          <w:szCs w:val="24"/>
        </w:rPr>
        <w:t>Expert Technical Assessment</w:t>
      </w:r>
    </w:p>
    <w:p>
      <w:pPr>
        <w:pStyle w:val="BodyText"/>
        <w:rPr/>
      </w:pPr>
      <w:r>
        <w:rPr/>
        <w:t xml:space="preserve">The manuscript clearly distinguishes </w:t>
      </w:r>
      <w:r>
        <w:rPr>
          <w:rStyle w:val="Strong"/>
        </w:rPr>
        <w:t>intent</w:t>
      </w:r>
      <w:r>
        <w:rPr/>
        <w:t xml:space="preserve">, </w:t>
      </w:r>
      <w:r>
        <w:rPr>
          <w:rStyle w:val="Strong"/>
        </w:rPr>
        <w:t>enforcement</w:t>
      </w:r>
      <w:r>
        <w:rPr/>
        <w:t xml:space="preserve">, </w:t>
      </w:r>
      <w:r>
        <w:rPr>
          <w:rStyle w:val="Strong"/>
        </w:rPr>
        <w:t>execution</w:t>
      </w:r>
      <w:r>
        <w:rPr/>
        <w:t xml:space="preserve">, and </w:t>
      </w:r>
      <w:r>
        <w:rPr>
          <w:rStyle w:val="Strong"/>
        </w:rPr>
        <w:t>audit artifacts</w:t>
      </w:r>
      <w:r>
        <w:rPr/>
        <w:t xml:space="preserve"> (Figure 1; Sections 3–4). This separation is consistently maintained. The invariant that unauthorized comparisons remain blocked and emit zero rows is stated explicitly (Sections 6 and 9).</w:t>
      </w:r>
    </w:p>
    <w:p>
      <w:pPr>
        <w:pStyle w:val="BodyText"/>
        <w:rPr/>
      </w:pPr>
      <w:r>
        <w:rPr/>
        <w:t>The refusal outcome is meaningfully operationalized as a canonical lock, not an absence of output. This is technically coherent and aligns with reproducibility and auditability concerns.</w:t>
      </w:r>
    </w:p>
    <w:p>
      <w:pPr>
        <w:pStyle w:val="Heading3"/>
        <w:spacing w:lineRule="auto" w:line="276" w:before="0" w:after="140"/>
        <w:rPr>
          <w:sz w:val="24"/>
          <w:szCs w:val="24"/>
        </w:rPr>
      </w:pPr>
      <w:r>
        <w:rPr>
          <w:sz w:val="24"/>
          <w:szCs w:val="24"/>
        </w:rPr>
        <w:t>Strengths of the Governance Model</w:t>
      </w:r>
    </w:p>
    <w:p>
      <w:pPr>
        <w:pStyle w:val="BodyText"/>
        <w:numPr>
          <w:ilvl w:val="0"/>
          <w:numId w:val="5"/>
        </w:numPr>
        <w:tabs>
          <w:tab w:val="clear" w:pos="709"/>
          <w:tab w:val="left" w:pos="0" w:leader="none"/>
        </w:tabs>
        <w:ind w:hanging="283" w:start="709"/>
        <w:rPr/>
      </w:pPr>
      <w:r>
        <w:rPr/>
        <w:t>Deterministic, inspectable refusal as a first-class outcome.</w:t>
      </w:r>
    </w:p>
    <w:p>
      <w:pPr>
        <w:pStyle w:val="BodyText"/>
        <w:numPr>
          <w:ilvl w:val="0"/>
          <w:numId w:val="5"/>
        </w:numPr>
        <w:tabs>
          <w:tab w:val="clear" w:pos="709"/>
          <w:tab w:val="left" w:pos="0" w:leader="none"/>
        </w:tabs>
        <w:ind w:hanging="283" w:start="709"/>
        <w:rPr/>
      </w:pPr>
      <w:r>
        <w:rPr/>
        <w:t>Explicit enforcement boundary via generated manifests.</w:t>
      </w:r>
    </w:p>
    <w:p>
      <w:pPr>
        <w:pStyle w:val="BodyText"/>
        <w:numPr>
          <w:ilvl w:val="0"/>
          <w:numId w:val="5"/>
        </w:numPr>
        <w:tabs>
          <w:tab w:val="clear" w:pos="709"/>
          <w:tab w:val="left" w:pos="0" w:leader="none"/>
        </w:tabs>
        <w:ind w:hanging="283" w:start="709"/>
        <w:rPr/>
      </w:pPr>
      <w:r>
        <w:rPr/>
        <w:t>Clear distinction between declarative intent and runtime enforcement.</w:t>
      </w:r>
    </w:p>
    <w:p>
      <w:pPr>
        <w:pStyle w:val="BodyText"/>
        <w:numPr>
          <w:ilvl w:val="0"/>
          <w:numId w:val="5"/>
        </w:numPr>
        <w:tabs>
          <w:tab w:val="clear" w:pos="709"/>
          <w:tab w:val="left" w:pos="0" w:leader="none"/>
        </w:tabs>
        <w:ind w:hanging="283" w:start="709"/>
        <w:rPr/>
      </w:pPr>
      <w:r>
        <w:rPr/>
        <w:t>Intentional abstraction of admissibility semantics.</w:t>
      </w:r>
    </w:p>
    <w:p>
      <w:pPr>
        <w:pStyle w:val="Heading3"/>
        <w:spacing w:lineRule="auto" w:line="276" w:before="0" w:after="140"/>
        <w:rPr>
          <w:sz w:val="24"/>
          <w:szCs w:val="24"/>
        </w:rPr>
      </w:pPr>
      <w:r>
        <w:rPr>
          <w:sz w:val="24"/>
          <w:szCs w:val="24"/>
        </w:rPr>
        <w:t>Identified Weaknesses or Ambiguities</w:t>
      </w:r>
    </w:p>
    <w:p>
      <w:pPr>
        <w:pStyle w:val="BodyText"/>
        <w:numPr>
          <w:ilvl w:val="0"/>
          <w:numId w:val="6"/>
        </w:numPr>
        <w:tabs>
          <w:tab w:val="clear" w:pos="709"/>
          <w:tab w:val="left" w:pos="0" w:leader="none"/>
        </w:tabs>
        <w:ind w:hanging="283" w:start="709"/>
        <w:rPr/>
      </w:pPr>
      <w:r>
        <w:rPr/>
        <w:t>Enforcement guarantees rely on tooling discipline (manifest validation, updater workflow), but the text does not formally specify how policy circumvention is prevented beyond stated behavior.</w:t>
      </w:r>
    </w:p>
    <w:p>
      <w:pPr>
        <w:pStyle w:val="BodyText"/>
        <w:numPr>
          <w:ilvl w:val="0"/>
          <w:numId w:val="6"/>
        </w:numPr>
        <w:tabs>
          <w:tab w:val="clear" w:pos="709"/>
          <w:tab w:val="left" w:pos="0" w:leader="none"/>
        </w:tabs>
        <w:ind w:hanging="283" w:start="709"/>
        <w:rPr/>
      </w:pPr>
      <w:r>
        <w:rPr/>
        <w:t>Lean’s role is described functionally but remains partially opaque to readers without prior exposure.</w:t>
      </w:r>
    </w:p>
    <w:p>
      <w:pPr>
        <w:pStyle w:val="BodyText"/>
        <w:numPr>
          <w:ilvl w:val="0"/>
          <w:numId w:val="6"/>
        </w:numPr>
        <w:tabs>
          <w:tab w:val="clear" w:pos="709"/>
          <w:tab w:val="left" w:pos="0" w:leader="none"/>
        </w:tabs>
        <w:ind w:hanging="283" w:start="709"/>
        <w:rPr/>
      </w:pPr>
      <w:r>
        <w:rPr/>
        <w:t>Governance assurances are behavioral rather than formally proven; this is consistent with the paper’s claims but limits perceived rigor.</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FINAL SYNTHESIS</w:t>
      </w:r>
    </w:p>
    <w:p>
      <w:pPr>
        <w:pStyle w:val="Heading3"/>
        <w:spacing w:lineRule="auto" w:line="276" w:before="0" w:after="140"/>
        <w:rPr>
          <w:sz w:val="24"/>
          <w:szCs w:val="24"/>
        </w:rPr>
      </w:pPr>
      <w:r>
        <w:rPr>
          <w:sz w:val="24"/>
          <w:szCs w:val="24"/>
        </w:rPr>
        <w:t>Cross-mode Convergence</w:t>
      </w:r>
    </w:p>
    <w:p>
      <w:pPr>
        <w:pStyle w:val="BodyText"/>
        <w:rPr/>
      </w:pPr>
      <w:r>
        <w:rPr>
          <w:rStyle w:val="Strong"/>
        </w:rPr>
        <w:t>Flagged by multiple modes:</w:t>
      </w:r>
    </w:p>
    <w:p>
      <w:pPr>
        <w:pStyle w:val="BodyText"/>
        <w:numPr>
          <w:ilvl w:val="0"/>
          <w:numId w:val="7"/>
        </w:numPr>
        <w:tabs>
          <w:tab w:val="clear" w:pos="709"/>
          <w:tab w:val="left" w:pos="0" w:leader="none"/>
        </w:tabs>
        <w:ind w:hanging="283" w:start="709"/>
        <w:rPr/>
      </w:pPr>
      <w:r>
        <w:rPr/>
        <w:t>Repetition of scope limitations and non-claims increases cognitive load.</w:t>
      </w:r>
    </w:p>
    <w:p>
      <w:pPr>
        <w:pStyle w:val="BodyText"/>
        <w:numPr>
          <w:ilvl w:val="0"/>
          <w:numId w:val="7"/>
        </w:numPr>
        <w:tabs>
          <w:tab w:val="clear" w:pos="709"/>
          <w:tab w:val="left" w:pos="0" w:leader="none"/>
        </w:tabs>
        <w:ind w:hanging="283" w:start="709"/>
        <w:rPr/>
      </w:pPr>
      <w:r>
        <w:rPr/>
        <w:t>Some passages read defensively rather than purely explanatory.</w:t>
      </w:r>
    </w:p>
    <w:p>
      <w:pPr>
        <w:pStyle w:val="BodyText"/>
        <w:numPr>
          <w:ilvl w:val="0"/>
          <w:numId w:val="7"/>
        </w:numPr>
        <w:tabs>
          <w:tab w:val="clear" w:pos="709"/>
          <w:tab w:val="left" w:pos="0" w:leader="none"/>
        </w:tabs>
        <w:ind w:hanging="283" w:start="709"/>
        <w:rPr/>
      </w:pPr>
      <w:r>
        <w:rPr/>
        <w:t>Tooling details may slightly outpace reader motivation.</w:t>
      </w:r>
    </w:p>
    <w:p>
      <w:pPr>
        <w:pStyle w:val="BodyText"/>
        <w:rPr/>
      </w:pPr>
      <w:r>
        <w:rPr>
          <w:rStyle w:val="Strong"/>
        </w:rPr>
        <w:t>Flagged by only one mode:</w:t>
      </w:r>
    </w:p>
    <w:p>
      <w:pPr>
        <w:pStyle w:val="BodyText"/>
        <w:numPr>
          <w:ilvl w:val="0"/>
          <w:numId w:val="8"/>
        </w:numPr>
        <w:tabs>
          <w:tab w:val="clear" w:pos="709"/>
          <w:tab w:val="left" w:pos="0" w:leader="none"/>
        </w:tabs>
        <w:ind w:hanging="283" w:start="709"/>
        <w:rPr/>
      </w:pPr>
      <w:r>
        <w:rPr/>
        <w:t>Expert concern about implicit enforcement guarantees (MODE 3).</w:t>
      </w:r>
    </w:p>
    <w:p>
      <w:pPr>
        <w:pStyle w:val="BodyText"/>
        <w:numPr>
          <w:ilvl w:val="0"/>
          <w:numId w:val="8"/>
        </w:numPr>
        <w:tabs>
          <w:tab w:val="clear" w:pos="709"/>
          <w:tab w:val="left" w:pos="0" w:leader="none"/>
        </w:tabs>
        <w:ind w:hanging="283" w:start="709"/>
        <w:rPr/>
      </w:pPr>
      <w:r>
        <w:rPr/>
        <w:t>Reader concern about reproducing a refusal outcome (MODE 2).</w:t>
      </w:r>
    </w:p>
    <w:p>
      <w:pPr>
        <w:pStyle w:val="Heading3"/>
        <w:spacing w:lineRule="auto" w:line="276" w:before="0" w:after="140"/>
        <w:rPr>
          <w:sz w:val="24"/>
          <w:szCs w:val="24"/>
        </w:rPr>
      </w:pPr>
      <w:r>
        <w:rPr>
          <w:sz w:val="24"/>
          <w:szCs w:val="24"/>
        </w:rPr>
        <w:t>False-positive Check</w:t>
      </w:r>
    </w:p>
    <w:p>
      <w:pPr>
        <w:pStyle w:val="BodyText"/>
        <w:rPr/>
      </w:pPr>
      <w:r>
        <w:rPr/>
        <w:t>Concerns considered and rejected due to lack of textual evidence:</w:t>
      </w:r>
    </w:p>
    <w:p>
      <w:pPr>
        <w:pStyle w:val="BodyText"/>
        <w:numPr>
          <w:ilvl w:val="0"/>
          <w:numId w:val="9"/>
        </w:numPr>
        <w:tabs>
          <w:tab w:val="clear" w:pos="709"/>
          <w:tab w:val="left" w:pos="0" w:leader="none"/>
        </w:tabs>
        <w:ind w:hanging="283" w:start="709"/>
        <w:rPr/>
      </w:pPr>
      <w:r>
        <w:rPr/>
        <w:t>Unstated analytical or domain claims</w:t>
        <w:br/>
        <w:t xml:space="preserve">→ </w:t>
      </w:r>
      <w:r>
        <w:rPr>
          <w:rStyle w:val="Emphasis"/>
        </w:rPr>
        <w:t>No textual evidence found to support this concern.</w:t>
      </w:r>
    </w:p>
    <w:p>
      <w:pPr>
        <w:pStyle w:val="BodyText"/>
        <w:numPr>
          <w:ilvl w:val="0"/>
          <w:numId w:val="9"/>
        </w:numPr>
        <w:tabs>
          <w:tab w:val="clear" w:pos="709"/>
          <w:tab w:val="left" w:pos="0" w:leader="none"/>
        </w:tabs>
        <w:ind w:hanging="283" w:start="709"/>
        <w:rPr/>
      </w:pPr>
      <w:r>
        <w:rPr/>
        <w:t>Missing empirical evaluation</w:t>
        <w:br/>
        <w:t xml:space="preserve">→ </w:t>
      </w:r>
      <w:r>
        <w:rPr>
          <w:rStyle w:val="Emphasis"/>
        </w:rPr>
        <w:t>No textual evidence found to support this concern.</w:t>
      </w:r>
    </w:p>
    <w:p>
      <w:pPr>
        <w:pStyle w:val="BodyText"/>
        <w:numPr>
          <w:ilvl w:val="0"/>
          <w:numId w:val="9"/>
        </w:numPr>
        <w:tabs>
          <w:tab w:val="clear" w:pos="709"/>
          <w:tab w:val="left" w:pos="0" w:leader="none"/>
        </w:tabs>
        <w:ind w:hanging="283" w:start="709"/>
        <w:rPr/>
      </w:pPr>
      <w:r>
        <w:rPr/>
        <w:t>Claims of theoretical proof or validation</w:t>
        <w:br/>
        <w:t xml:space="preserve">→ </w:t>
      </w:r>
      <w:r>
        <w:rPr>
          <w:rStyle w:val="Emphasis"/>
        </w:rPr>
        <w:t>No textual evidence found to support this concern.</w:t>
      </w:r>
    </w:p>
    <w:p>
      <w:pPr>
        <w:pStyle w:val="Heading3"/>
        <w:spacing w:lineRule="auto" w:line="276" w:before="0" w:after="140"/>
        <w:rPr>
          <w:sz w:val="24"/>
          <w:szCs w:val="24"/>
        </w:rPr>
      </w:pPr>
      <w:r>
        <w:rPr>
          <w:sz w:val="24"/>
          <w:szCs w:val="24"/>
        </w:rPr>
        <w:t>Submission Readiness Judgment</w:t>
      </w:r>
    </w:p>
    <w:p>
      <w:pPr>
        <w:pStyle w:val="BodyText"/>
        <w:rPr/>
      </w:pPr>
      <w:r>
        <w:rPr>
          <w:rStyle w:val="Strong"/>
        </w:rPr>
        <w:t>Ready with minor editorial cleanup</w:t>
      </w:r>
    </w:p>
    <w:p>
      <w:pPr>
        <w:pStyle w:val="BodyText"/>
        <w:rPr/>
      </w:pPr>
      <w:r>
        <w:rPr/>
        <w:t>Justification:</w:t>
        <w:br/>
        <w:t>The manuscript is within scope, methodologically coherent, and professionally structured. Identified issues are editorial (tone, redundancy, narrative economy) rather than structural or substantive, and can be addressed without introducing new claims or results.</w:t>
      </w:r>
    </w:p>
    <w:p>
      <w:pPr>
        <w:pStyle w:val="BodyText"/>
        <w:bidi w:val="0"/>
        <w:spacing w:lineRule="auto" w:line="276" w:before="0" w:after="140"/>
        <w:jc w:val="start"/>
        <w:rPr/>
      </w:pPr>
      <w:r>
        <w:rPr/>
      </w:r>
    </w:p>
    <w:p>
      <w:pPr>
        <w:pStyle w:val="BodyText"/>
        <w:bidi w:val="0"/>
        <w:spacing w:lineRule="auto" w:line="276" w:before="0" w:after="140"/>
        <w:jc w:val="start"/>
        <w:rPr/>
      </w:pPr>
      <w:r>
        <w:rPr/>
        <w:t>Gemini</w:t>
        <w:br/>
        <w:br/>
      </w:r>
      <w:r>
        <w:rPr>
          <w:rFonts w:ascii="Google Sans;sans-serif" w:hAnsi="Google Sans;sans-serif"/>
          <w:sz w:val="24"/>
          <w:szCs w:val="24"/>
        </w:rPr>
        <w:t>Review of "A Failure-Resistant Scientific Comparison Pipeline"</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MODE 1 — JOURNAL EDITORIAL REVIEW</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Scope fit</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The manuscript is well-positioned for a systems/methodology venue such as </w:t>
      </w:r>
      <w:r>
        <w:rPr>
          <w:rFonts w:ascii="Google Sans Text;sans-serif" w:hAnsi="Google Sans Text;sans-serif"/>
          <w:i/>
        </w:rPr>
        <w:t>IEEE Computing in Science &amp; Engineering (CiSE)</w:t>
      </w:r>
      <w:r>
        <w:rPr>
          <w:rFonts w:ascii="Google Sans Text;sans-serif" w:hAnsi="Google Sans Text;sans-serif"/>
        </w:rPr>
        <w:t>. It addresses a specific gap in scientific software engineering: the governance of automated comparisons. The focus on "epistemic governance" and "failure-resistant pipelines" aligns with the scope of reproducible research and scientific workflow management.</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Cognitive load</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manuscript imposes unnecessary cognitive load through defensive meta-commentary.</w:t>
      </w:r>
    </w:p>
    <w:p>
      <w:pPr>
        <w:pStyle w:val="BodyText"/>
        <w:numPr>
          <w:ilvl w:val="0"/>
          <w:numId w:val="10"/>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Defensive Scope Definitions:</w:t>
      </w:r>
      <w:r>
        <w:rPr>
          <w:rFonts w:ascii="Google Sans Text;sans-serif" w:hAnsi="Google Sans Text;sans-serif"/>
        </w:rPr>
        <w:t xml:space="preserve"> The text repeatedly defines what it is </w:t>
      </w:r>
      <w:r>
        <w:rPr>
          <w:rFonts w:ascii="Google Sans Text;sans-serif" w:hAnsi="Google Sans Text;sans-serif"/>
          <w:i/>
        </w:rPr>
        <w:t>not</w:t>
      </w:r>
      <w:r>
        <w:rPr>
          <w:rFonts w:ascii="Google Sans Text;sans-serif" w:hAnsi="Google Sans Text;sans-serif"/>
        </w:rPr>
        <w:t xml:space="preserve"> doing. For example, "Scope (single statement): This manuscript specifies..." and "evaluated by enforceable behavior... reports no new empirical results". While precise, these disclaimers appear frequently (e.g., , , ), creating a reading experience that feels more like a rebuttal to a previous rejection than a standalone article.</w:t>
      </w:r>
    </w:p>
    <w:p>
      <w:pPr>
        <w:pStyle w:val="BodyText"/>
        <w:numPr>
          <w:ilvl w:val="0"/>
          <w:numId w:val="10"/>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Repository Artifacts:</w:t>
      </w:r>
      <w:r>
        <w:rPr>
          <w:rFonts w:ascii="Google Sans Text;sans-serif" w:hAnsi="Google Sans Text;sans-serif"/>
        </w:rPr>
        <w:t xml:space="preserve"> The section "Evidence artifacts" lists specific identifiers like "OV-...". This assumes a level of repository familiarity that is irrelevant to the conceptual argument and distracts the general reader.</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Narrative focus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The narrative is tightly focused on the "governance and execution pattern". The distinct separation of </w:t>
      </w:r>
      <w:r>
        <w:rPr>
          <w:rFonts w:ascii="Google Sans Text;sans-serif" w:hAnsi="Google Sans Text;sans-serif"/>
          <w:b/>
        </w:rPr>
        <w:t>Intent</w:t>
      </w:r>
      <w:r>
        <w:rPr>
          <w:rFonts w:ascii="Google Sans Text;sans-serif" w:hAnsi="Google Sans Text;sans-serif"/>
        </w:rPr>
        <w:t xml:space="preserve">, </w:t>
      </w:r>
      <w:r>
        <w:rPr>
          <w:rFonts w:ascii="Google Sans Text;sans-serif" w:hAnsi="Google Sans Text;sans-serif"/>
          <w:b/>
        </w:rPr>
        <w:t>Enforcement</w:t>
      </w:r>
      <w:r>
        <w:rPr>
          <w:rFonts w:ascii="Google Sans Text;sans-serif" w:hAnsi="Google Sans Text;sans-serif"/>
        </w:rPr>
        <w:t xml:space="preserve">, and </w:t>
      </w:r>
      <w:r>
        <w:rPr>
          <w:rFonts w:ascii="Google Sans Text;sans-serif" w:hAnsi="Google Sans Text;sans-serif"/>
          <w:b/>
        </w:rPr>
        <w:t>Execution</w:t>
      </w:r>
      <w:r>
        <w:rPr>
          <w:rFonts w:ascii="Google Sans Text;sans-serif" w:hAnsi="Google Sans Text;sans-serif"/>
        </w:rPr>
        <w:t xml:space="preserve"> provides a clear structural backbone. However, the section "Artifact availability (journal-neutral)" breaks the fourth wall, discussing the nature of the journal submission itself rather than the technical content.</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Professional tone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tone is professional but overly guarded.</w:t>
      </w:r>
    </w:p>
    <w:p>
      <w:pPr>
        <w:pStyle w:val="BodyText"/>
        <w:numPr>
          <w:ilvl w:val="0"/>
          <w:numId w:val="11"/>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Rebuttal-style Phrasing:</w:t>
      </w:r>
      <w:r>
        <w:rPr>
          <w:rFonts w:ascii="Google Sans Text;sans-serif" w:hAnsi="Google Sans Text;sans-serif"/>
        </w:rPr>
        <w:t xml:space="preserve"> Phrases like "This section is intentionally focused on..." and "cited to demonstrate inspectability, not to require repository familiarity" read as instructions to a reviewer rather than exposition for a reader.</w:t>
      </w:r>
    </w:p>
    <w:p>
      <w:pPr>
        <w:pStyle w:val="BodyText"/>
        <w:numPr>
          <w:ilvl w:val="0"/>
          <w:numId w:val="11"/>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Meta-Language:</w:t>
      </w:r>
      <w:r>
        <w:rPr>
          <w:rFonts w:ascii="Google Sans Text;sans-serif" w:hAnsi="Google Sans Text;sans-serif"/>
        </w:rPr>
        <w:t xml:space="preserve"> The inclusion of "(Lean-authored)" in the intent section of Figure 1 and the text introduces a specific implementation detail (Lean 4) that feels disconnected from the high-level architecture until explained later.</w:t>
      </w:r>
    </w:p>
    <w:p>
      <w:pPr>
        <w:pStyle w:val="BodyText"/>
        <w:spacing w:lineRule="auto" w:line="274" w:before="0" w:after="140"/>
        <w:ind w:hanging="0" w:start="0" w:end="0"/>
        <w:rPr>
          <w:rFonts w:ascii="Google Sans Text;sans-serif" w:hAnsi="Google Sans Text;sans-serif"/>
          <w:b/>
        </w:rPr>
      </w:pPr>
      <w:r>
        <w:rPr>
          <w:rFonts w:ascii="Google Sans Text;sans-serif" w:hAnsi="Google Sans Text;sans-serif"/>
          <w:b/>
        </w:rPr>
        <w:t>Editorial Acceptability Summary:</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paper is methodologically sound and fits the venue. However, the text suffers from "defensive writing," where the author preemptively argues against potential critiques regarding empirical novelty. This meta-commentary should be stripped to let the methodological contribution stand on its own.</w:t>
      </w:r>
    </w:p>
    <w:p>
      <w:pPr>
        <w:pStyle w:val="BodyText"/>
        <w:spacing w:lineRule="auto" w:line="274" w:before="0" w:after="140"/>
        <w:ind w:hanging="0" w:start="0" w:end="0"/>
        <w:rPr>
          <w:rFonts w:ascii="Google Sans Text;sans-serif" w:hAnsi="Google Sans Text;sans-serif"/>
          <w:b/>
        </w:rPr>
      </w:pPr>
      <w:r>
        <w:rPr>
          <w:rFonts w:ascii="Google Sans Text;sans-serif" w:hAnsi="Google Sans Text;sans-serif"/>
          <w:b/>
        </w:rPr>
        <w:t>Blocking Editorial Issues:</w:t>
      </w:r>
    </w:p>
    <w:p>
      <w:pPr>
        <w:pStyle w:val="BodyText"/>
        <w:numPr>
          <w:ilvl w:val="0"/>
          <w:numId w:val="1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rPr>
        <w:t>None.</w:t>
      </w:r>
    </w:p>
    <w:p>
      <w:pPr>
        <w:pStyle w:val="BodyText"/>
        <w:spacing w:lineRule="auto" w:line="274" w:before="0" w:after="140"/>
        <w:ind w:hanging="0" w:start="0" w:end="0"/>
        <w:rPr>
          <w:rFonts w:ascii="Google Sans Text;sans-serif" w:hAnsi="Google Sans Text;sans-serif"/>
          <w:b/>
        </w:rPr>
      </w:pPr>
      <w:r>
        <w:rPr>
          <w:rFonts w:ascii="Google Sans Text;sans-serif" w:hAnsi="Google Sans Text;sans-serif"/>
          <w:b/>
        </w:rPr>
        <w:t>Non-blocking Editorial Improvements:</w:t>
      </w:r>
    </w:p>
    <w:p>
      <w:pPr>
        <w:pStyle w:val="BodyText"/>
        <w:numPr>
          <w:ilvl w:val="0"/>
          <w:numId w:val="13"/>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rPr>
        <w:t>Remove meta-commentary regarding "Scope (single statement)" and "journal-neutral" artifact descriptions.</w:t>
      </w:r>
    </w:p>
    <w:p>
      <w:pPr>
        <w:pStyle w:val="BodyText"/>
        <w:numPr>
          <w:ilvl w:val="0"/>
          <w:numId w:val="13"/>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rPr>
        <w:t xml:space="preserve">Generalize the "Evidence artifacts" section to describe </w:t>
      </w:r>
      <w:r>
        <w:rPr>
          <w:rFonts w:ascii="Google Sans Text;sans-serif" w:hAnsi="Google Sans Text;sans-serif"/>
          <w:i/>
        </w:rPr>
        <w:t>types</w:t>
      </w:r>
      <w:r>
        <w:rPr>
          <w:rFonts w:ascii="Google Sans Text;sans-serif" w:hAnsi="Google Sans Text;sans-serif"/>
        </w:rPr>
        <w:t xml:space="preserve"> of artifacts rather than specific repository ID formats (e.g., "OV-...").</w:t>
      </w:r>
    </w:p>
    <w:p>
      <w:pPr>
        <w:pStyle w:val="HorizontalLine"/>
        <w:spacing w:lineRule="auto" w:line="276" w:before="0" w:after="140"/>
        <w:rPr>
          <w:sz w:val="24"/>
          <w:szCs w:val="24"/>
        </w:rPr>
      </w:pPr>
      <w:r>
        <w:rPr>
          <w:sz w:val="24"/>
          <w:szCs w:val="24"/>
        </w:rPr>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MODE 2 — JOURNAL READER (NO PRIOR CONTEXT)</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Comprehension</w:t>
      </w:r>
    </w:p>
    <w:p>
      <w:pPr>
        <w:pStyle w:val="BodyText"/>
        <w:numPr>
          <w:ilvl w:val="0"/>
          <w:numId w:val="1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Core Concept:</w:t>
      </w:r>
      <w:r>
        <w:rPr>
          <w:rFonts w:ascii="Google Sans Text;sans-serif" w:hAnsi="Google Sans Text;sans-serif"/>
        </w:rPr>
        <w:t xml:space="preserve"> The central thesis—that pipelines should block comparisons by default unless explicitly authorized —is immediately clear and intuitive.</w:t>
      </w:r>
    </w:p>
    <w:p>
      <w:pPr>
        <w:pStyle w:val="BodyText"/>
        <w:numPr>
          <w:ilvl w:val="0"/>
          <w:numId w:val="1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Motivation:</w:t>
      </w:r>
      <w:r>
        <w:rPr>
          <w:rFonts w:ascii="Google Sans Text;sans-serif" w:hAnsi="Google Sans Text;sans-serif"/>
        </w:rPr>
        <w:t xml:space="preserve"> The danger of "silently converting uncertainty into inferred claims" is a compelling hook for any researcher who works with automated data analysis.</w:t>
      </w:r>
    </w:p>
    <w:p>
      <w:pPr>
        <w:pStyle w:val="BodyText"/>
        <w:numPr>
          <w:ilvl w:val="0"/>
          <w:numId w:val="1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Terminology:</w:t>
      </w:r>
      <w:r>
        <w:rPr>
          <w:rFonts w:ascii="Google Sans Text;sans-serif" w:hAnsi="Google Sans Text;sans-serif"/>
        </w:rPr>
        <w:t xml:space="preserve"> The definitions of "lane," "gate," "manifest," and "lock" are helpful and placed appropriately early in the text.</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Points of Confusion or Disengagement</w:t>
      </w:r>
    </w:p>
    <w:p>
      <w:pPr>
        <w:pStyle w:val="BodyText"/>
        <w:numPr>
          <w:ilvl w:val="0"/>
          <w:numId w:val="15"/>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"Lean" Usage:</w:t>
      </w:r>
      <w:r>
        <w:rPr>
          <w:rFonts w:ascii="Google Sans Text;sans-serif" w:hAnsi="Google Sans Text;sans-serif"/>
        </w:rPr>
        <w:t xml:space="preserve"> Figure 1 labels the Intent as "(Lean-authored)". A reader without context may be unsure if this refers to "Lean manufacturing" principles or the Lean theorem prover. While clarified in Section 4.1, the initial ambiguity in the visual aid causes friction.</w:t>
      </w:r>
    </w:p>
    <w:p>
      <w:pPr>
        <w:pStyle w:val="BodyText"/>
        <w:numPr>
          <w:ilvl w:val="0"/>
          <w:numId w:val="15"/>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Abstract Artifacts:</w:t>
      </w:r>
      <w:r>
        <w:rPr>
          <w:rFonts w:ascii="Google Sans Text;sans-serif" w:hAnsi="Google Sans Text;sans-serif"/>
        </w:rPr>
        <w:t xml:space="preserve"> In Section 4.2, the text mentions "OV-..." identifiers. A cold reader does not care about the naming convention of the specific repository's hash/ID system. This detail adds noise.</w:t>
      </w:r>
    </w:p>
    <w:p>
      <w:pPr>
        <w:pStyle w:val="BodyText"/>
        <w:numPr>
          <w:ilvl w:val="0"/>
          <w:numId w:val="15"/>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Reproducing a "No":</w:t>
      </w:r>
      <w:r>
        <w:rPr>
          <w:rFonts w:ascii="Google Sans Text;sans-serif" w:hAnsi="Google Sans Text;sans-serif"/>
        </w:rPr>
        <w:t xml:space="preserve"> The "Reproducibility statement" aims to "reproduce the refusal." While logically consistent with the paper's premise, it is an unusual goal for a scientific paper. The reader may pause to understand why reproducing a "zero-row" result is a valid validation step.</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Clarity Risks</w:t>
      </w:r>
    </w:p>
    <w:p>
      <w:pPr>
        <w:pStyle w:val="BodyText"/>
        <w:numPr>
          <w:ilvl w:val="0"/>
          <w:numId w:val="16"/>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High Risk:</w:t>
      </w:r>
      <w:r>
        <w:rPr>
          <w:rFonts w:ascii="Google Sans Text;sans-serif" w:hAnsi="Google Sans Text;sans-serif"/>
        </w:rPr>
        <w:t xml:space="preserve"> The distinction between "policy-as-code" and the specific contribution of this paper is subtle. The paper claims to be distinct from policy-as-code , yet describes a system that uses a JSON manifest to enforce policy. The nuance that the manifest is an </w:t>
      </w:r>
      <w:r>
        <w:rPr>
          <w:rFonts w:ascii="Google Sans Text;sans-serif" w:hAnsi="Google Sans Text;sans-serif"/>
          <w:i/>
        </w:rPr>
        <w:t>enforcement artifact</w:t>
      </w:r>
      <w:r>
        <w:rPr>
          <w:rFonts w:ascii="Google Sans Text;sans-serif" w:hAnsi="Google Sans Text;sans-serif"/>
        </w:rPr>
        <w:t xml:space="preserve"> derived from intent (rather than the policy surface itself) is technical and might be missed by a casual reader.</w:t>
      </w:r>
    </w:p>
    <w:p>
      <w:pPr>
        <w:pStyle w:val="BodyText"/>
        <w:numPr>
          <w:ilvl w:val="0"/>
          <w:numId w:val="16"/>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Low Risk:</w:t>
      </w:r>
      <w:r>
        <w:rPr>
          <w:rFonts w:ascii="Google Sans Text;sans-serif" w:hAnsi="Google Sans Text;sans-serif"/>
        </w:rPr>
        <w:t xml:space="preserve"> The "Appendix A (Supplementary; frozen)" reference in the main text is slightly distracting, as it directs attention away from the narrative.</w:t>
      </w:r>
    </w:p>
    <w:p>
      <w:pPr>
        <w:pStyle w:val="HorizontalLine"/>
        <w:spacing w:lineRule="auto" w:line="276" w:before="0" w:after="140"/>
        <w:rPr>
          <w:sz w:val="24"/>
          <w:szCs w:val="24"/>
        </w:rPr>
      </w:pPr>
      <w:r>
        <w:rPr>
          <w:sz w:val="24"/>
          <w:szCs w:val="24"/>
        </w:rPr>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MODE 3 — FIELD EXPERT (SCIENTIFIC COMPUTING / REPRODUCIBILITY)</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Technical coherence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proposed architecture is technically coherent.</w:t>
      </w:r>
    </w:p>
    <w:p>
      <w:pPr>
        <w:pStyle w:val="BodyText"/>
        <w:numPr>
          <w:ilvl w:val="0"/>
          <w:numId w:val="17"/>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Separation of Concerns:</w:t>
      </w:r>
      <w:r>
        <w:rPr>
          <w:rFonts w:ascii="Google Sans Text;sans-serif" w:hAnsi="Google Sans Text;sans-serif"/>
        </w:rPr>
        <w:t xml:space="preserve"> The separation between </w:t>
      </w:r>
      <w:r>
        <w:rPr>
          <w:rFonts w:ascii="Google Sans Text;sans-serif" w:hAnsi="Google Sans Text;sans-serif"/>
          <w:b/>
        </w:rPr>
        <w:t>Intent</w:t>
      </w:r>
      <w:r>
        <w:rPr>
          <w:rFonts w:ascii="Google Sans Text;sans-serif" w:hAnsi="Google Sans Text;sans-serif"/>
        </w:rPr>
        <w:t xml:space="preserve"> (declarative, potentially complex logic in Lean) and </w:t>
      </w:r>
      <w:r>
        <w:rPr>
          <w:rFonts w:ascii="Google Sans Text;sans-serif" w:hAnsi="Google Sans Text;sans-serif"/>
          <w:b/>
        </w:rPr>
        <w:t>Enforcement</w:t>
      </w:r>
      <w:r>
        <w:rPr>
          <w:rFonts w:ascii="Google Sans Text;sans-serif" w:hAnsi="Google Sans Text;sans-serif"/>
        </w:rPr>
        <w:t xml:space="preserve"> (simplified JSON manifest) is a robust pattern. It prevents the execution layer (Python) from needing to understand the complex logic of admissibility, reducing the attack surface for bugs.</w:t>
      </w:r>
    </w:p>
    <w:p>
      <w:pPr>
        <w:pStyle w:val="BodyText"/>
        <w:numPr>
          <w:ilvl w:val="0"/>
          <w:numId w:val="17"/>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Determinism:</w:t>
      </w:r>
      <w:r>
        <w:rPr>
          <w:rFonts w:ascii="Google Sans Text;sans-serif" w:hAnsi="Google Sans Text;sans-serif"/>
        </w:rPr>
        <w:t xml:space="preserve"> The reliance on a pre-computed manifest ensures that runtime behavior is deterministic. If the manifest blocks a comparison, the execution layer cannot accidentally run it.</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Conceptual novelty (non-claiming)</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paper effectively operationalizes "admissibility" as a governance concern.</w:t>
      </w:r>
    </w:p>
    <w:p>
      <w:pPr>
        <w:pStyle w:val="BodyText"/>
        <w:numPr>
          <w:ilvl w:val="0"/>
          <w:numId w:val="18"/>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The "Lock" Concept:</w:t>
      </w:r>
      <w:r>
        <w:rPr>
          <w:rFonts w:ascii="Google Sans Text;sans-serif" w:hAnsi="Google Sans Text;sans-serif"/>
        </w:rPr>
        <w:t xml:space="preserve"> Treating a "blocked outcome" as a first-class, auditable artifact (a "lock") is a subtle but valuable contribution. Standard pipelines often treat blocks as exceptions or empty logs; formalizing them as "canonical locks" allows for auditing </w:t>
      </w:r>
      <w:r>
        <w:rPr>
          <w:rFonts w:ascii="Google Sans Text;sans-serif" w:hAnsi="Google Sans Text;sans-serif"/>
          <w:i/>
        </w:rPr>
        <w:t>why</w:t>
      </w:r>
      <w:r>
        <w:rPr>
          <w:rFonts w:ascii="Google Sans Text;sans-serif" w:hAnsi="Google Sans Text;sans-serif"/>
        </w:rPr>
        <w:t xml:space="preserve"> something wasn't compared.</w:t>
      </w:r>
    </w:p>
    <w:p>
      <w:pPr>
        <w:pStyle w:val="BodyText"/>
        <w:numPr>
          <w:ilvl w:val="0"/>
          <w:numId w:val="18"/>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Rejection of Proximity:</w:t>
      </w:r>
      <w:r>
        <w:rPr>
          <w:rFonts w:ascii="Google Sans Text;sans-serif" w:hAnsi="Google Sans Text;sans-serif"/>
        </w:rPr>
        <w:t xml:space="preserve"> The explicit policy that "Numerical proximity is never treated as evidence of admissible pairing" is a strong epistemic stance that distinguishes this from heuristic-based matching systems.</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Failure resistance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design appears robust against specific failure modes:</w:t>
      </w:r>
    </w:p>
    <w:p>
      <w:pPr>
        <w:pStyle w:val="BodyText"/>
        <w:numPr>
          <w:ilvl w:val="0"/>
          <w:numId w:val="19"/>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Silent Inference:</w:t>
      </w:r>
      <w:r>
        <w:rPr>
          <w:rFonts w:ascii="Google Sans Text;sans-serif" w:hAnsi="Google Sans Text;sans-serif"/>
        </w:rPr>
        <w:t xml:space="preserve"> By defaulting to "blocked" , the system prevents the "silent conversion of uncertainty" described in the introduction.</w:t>
      </w:r>
    </w:p>
    <w:p>
      <w:pPr>
        <w:pStyle w:val="BodyText"/>
        <w:numPr>
          <w:ilvl w:val="0"/>
          <w:numId w:val="19"/>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Audit Gaps:</w:t>
      </w:r>
      <w:r>
        <w:rPr>
          <w:rFonts w:ascii="Google Sans Text;sans-serif" w:hAnsi="Google Sans Text;sans-serif"/>
        </w:rPr>
        <w:t xml:space="preserve"> Because blocked outcomes are recorded, an auditor can distinguish between "we didn't run this" (missing data) and "we were not allowed to run this" (blocked).</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Identified Weaknesses or Ambiguities</w:t>
      </w:r>
    </w:p>
    <w:p>
      <w:pPr>
        <w:pStyle w:val="BodyText"/>
        <w:numPr>
          <w:ilvl w:val="0"/>
          <w:numId w:val="20"/>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The "Lean" Dependency:</w:t>
      </w:r>
      <w:r>
        <w:rPr>
          <w:rFonts w:ascii="Google Sans Text;sans-serif" w:hAnsi="Google Sans Text;sans-serif"/>
        </w:rPr>
        <w:t xml:space="preserve"> The paper states "Why Lean: it provides a declarative, type-checked surface". While valid, this is a heavy dependency for a general architectural pattern. The paper does not clarify if the architecture </w:t>
      </w:r>
      <w:r>
        <w:rPr>
          <w:rFonts w:ascii="Google Sans Text;sans-serif" w:hAnsi="Google Sans Text;sans-serif"/>
          <w:i/>
        </w:rPr>
        <w:t>requires</w:t>
      </w:r>
      <w:r>
        <w:rPr>
          <w:rFonts w:ascii="Google Sans Text;sans-serif" w:hAnsi="Google Sans Text;sans-serif"/>
        </w:rPr>
        <w:t xml:space="preserve"> Lean or if Lean is just the implementation choice for the author's reference implementation. The "Intentional abstraction" section suggests the predicates are abstract, but the heavy emphasis on Lean implies a tighter coupling.</w:t>
      </w:r>
    </w:p>
    <w:p>
      <w:pPr>
        <w:pStyle w:val="BodyText"/>
        <w:numPr>
          <w:ilvl w:val="0"/>
          <w:numId w:val="20"/>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Manifest Validation:</w:t>
      </w:r>
      <w:r>
        <w:rPr>
          <w:rFonts w:ascii="Google Sans Text;sans-serif" w:hAnsi="Google Sans Text;sans-serif"/>
        </w:rPr>
        <w:t xml:space="preserve"> The text says the manifest is "validated at runtime". It is unclear if this validation is cryptographic (checking signatures) or structural (checking JSON schema).</w:t>
      </w:r>
    </w:p>
    <w:p>
      <w:pPr>
        <w:pStyle w:val="HorizontalLine"/>
        <w:spacing w:lineRule="auto" w:line="276" w:before="0" w:after="140"/>
        <w:rPr>
          <w:sz w:val="24"/>
          <w:szCs w:val="24"/>
        </w:rPr>
      </w:pPr>
      <w:r>
        <w:rPr>
          <w:sz w:val="24"/>
          <w:szCs w:val="24"/>
        </w:rPr>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FINAL SYNTHESIS</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Cross-mode convergence</w:t>
      </w:r>
    </w:p>
    <w:p>
      <w:pPr>
        <w:pStyle w:val="BodyText"/>
        <w:numPr>
          <w:ilvl w:val="0"/>
          <w:numId w:val="21"/>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Defensive Tone:</w:t>
      </w:r>
      <w:r>
        <w:rPr>
          <w:rFonts w:ascii="Google Sans Text;sans-serif" w:hAnsi="Google Sans Text;sans-serif"/>
        </w:rPr>
        <w:t xml:space="preserve"> Both the </w:t>
      </w:r>
      <w:r>
        <w:rPr>
          <w:rFonts w:ascii="Google Sans Text;sans-serif" w:hAnsi="Google Sans Text;sans-serif"/>
          <w:b/>
        </w:rPr>
        <w:t>Editorial</w:t>
      </w:r>
      <w:r>
        <w:rPr>
          <w:rFonts w:ascii="Google Sans Text;sans-serif" w:hAnsi="Google Sans Text;sans-serif"/>
        </w:rPr>
        <w:t xml:space="preserve"> and </w:t>
      </w:r>
      <w:r>
        <w:rPr>
          <w:rFonts w:ascii="Google Sans Text;sans-serif" w:hAnsi="Google Sans Text;sans-serif"/>
          <w:b/>
        </w:rPr>
        <w:t>Reader</w:t>
      </w:r>
      <w:r>
        <w:rPr>
          <w:rFonts w:ascii="Google Sans Text;sans-serif" w:hAnsi="Google Sans Text;sans-serif"/>
        </w:rPr>
        <w:t xml:space="preserve"> modes flagged the excessive use of disclaimer language ("Scope (single statement)", "journal-neutral", "reports no new empirical results"). This adds friction without adding value.</w:t>
      </w:r>
    </w:p>
    <w:p>
      <w:pPr>
        <w:pStyle w:val="BodyText"/>
        <w:numPr>
          <w:ilvl w:val="0"/>
          <w:numId w:val="21"/>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Artifact Specificity:</w:t>
      </w:r>
      <w:r>
        <w:rPr>
          <w:rFonts w:ascii="Google Sans Text;sans-serif" w:hAnsi="Google Sans Text;sans-serif"/>
        </w:rPr>
        <w:t xml:space="preserve"> Both modes noted that referencing specific repository ID formats ("OV-...") is unnecessary for the manuscript and confusing for the reader.</w:t>
      </w:r>
    </w:p>
    <w:p>
      <w:pPr>
        <w:pStyle w:val="BodyText"/>
        <w:numPr>
          <w:ilvl w:val="0"/>
          <w:numId w:val="21"/>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Architecture Validity:</w:t>
      </w:r>
      <w:r>
        <w:rPr>
          <w:rFonts w:ascii="Google Sans Text;sans-serif" w:hAnsi="Google Sans Text;sans-serif"/>
        </w:rPr>
        <w:t xml:space="preserve"> The </w:t>
      </w:r>
      <w:r>
        <w:rPr>
          <w:rFonts w:ascii="Google Sans Text;sans-serif" w:hAnsi="Google Sans Text;sans-serif"/>
          <w:b/>
        </w:rPr>
        <w:t>Field Expert</w:t>
      </w:r>
      <w:r>
        <w:rPr>
          <w:rFonts w:ascii="Google Sans Text;sans-serif" w:hAnsi="Google Sans Text;sans-serif"/>
        </w:rPr>
        <w:t xml:space="preserve"> confirms the technical soundness of the approach, particularly the separation of intent from enforcement, validating the core contribution identified by the </w:t>
      </w:r>
      <w:r>
        <w:rPr>
          <w:rFonts w:ascii="Google Sans Text;sans-serif" w:hAnsi="Google Sans Text;sans-serif"/>
          <w:b/>
        </w:rPr>
        <w:t>Reader</w:t>
      </w:r>
      <w:r>
        <w:rPr>
          <w:rFonts w:ascii="Google Sans Text;sans-serif" w:hAnsi="Google Sans Text;sans-serif"/>
        </w:rPr>
        <w:t>.</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False-positive check</w:t>
      </w:r>
    </w:p>
    <w:p>
      <w:pPr>
        <w:pStyle w:val="BodyText"/>
        <w:numPr>
          <w:ilvl w:val="0"/>
          <w:numId w:val="2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i/>
        </w:rPr>
        <w:t>Initial thought:</w:t>
      </w:r>
      <w:r>
        <w:rPr>
          <w:rFonts w:ascii="Google Sans Text;sans-serif" w:hAnsi="Google Sans Text;sans-serif"/>
        </w:rPr>
        <w:t xml:space="preserve"> Is the paper too short/sparse?</w:t>
      </w:r>
    </w:p>
    <w:p>
      <w:pPr>
        <w:pStyle w:val="BodyText"/>
        <w:numPr>
          <w:ilvl w:val="0"/>
          <w:numId w:val="2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i/>
        </w:rPr>
        <w:t>Correction:</w:t>
      </w:r>
      <w:r>
        <w:rPr>
          <w:rFonts w:ascii="Google Sans Text;sans-serif" w:hAnsi="Google Sans Text;sans-serif"/>
        </w:rPr>
        <w:t xml:space="preserve"> No, the text provided is dense with architectural specification. The length is appropriate for a methodology paper, provided the Appendices (not reviewed here but referenced) contain the necessary implementation details.</w:t>
      </w:r>
    </w:p>
    <w:p>
      <w:pPr>
        <w:pStyle w:val="BodyText"/>
        <w:numPr>
          <w:ilvl w:val="0"/>
          <w:numId w:val="2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i/>
        </w:rPr>
        <w:t>Initial thought:</w:t>
      </w:r>
      <w:r>
        <w:rPr>
          <w:rFonts w:ascii="Google Sans Text;sans-serif" w:hAnsi="Google Sans Text;sans-serif"/>
        </w:rPr>
        <w:t xml:space="preserve"> Is "Lean" a hallucination or irrelevant?</w:t>
      </w:r>
    </w:p>
    <w:p>
      <w:pPr>
        <w:pStyle w:val="BodyText"/>
        <w:numPr>
          <w:ilvl w:val="0"/>
          <w:numId w:val="2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i/>
        </w:rPr>
        <w:t>Correction:</w:t>
      </w:r>
      <w:r>
        <w:rPr>
          <w:rFonts w:ascii="Google Sans Text;sans-serif" w:hAnsi="Google Sans Text;sans-serif"/>
        </w:rPr>
        <w:t xml:space="preserve"> No, the text explicitly justifies Lean as the intent authoring mechanism. While a heavy choice, it is textually supported.</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Submission readiness judgment</w:t>
      </w:r>
    </w:p>
    <w:p>
      <w:pPr>
        <w:pStyle w:val="BodyText"/>
        <w:spacing w:lineRule="auto" w:line="274" w:before="0" w:after="140"/>
        <w:ind w:hanging="0" w:start="0" w:end="0"/>
        <w:rPr>
          <w:rFonts w:ascii="Google Sans Text;sans-serif" w:hAnsi="Google Sans Text;sans-serif"/>
          <w:b/>
        </w:rPr>
      </w:pPr>
      <w:r>
        <w:rPr>
          <w:rFonts w:ascii="Google Sans Text;sans-serif" w:hAnsi="Google Sans Text;sans-serif"/>
          <w:b/>
        </w:rPr>
        <w:t>Ready with minor editorial cleanup</w:t>
      </w:r>
    </w:p>
    <w:p>
      <w:pPr>
        <w:pStyle w:val="BodyText"/>
        <w:spacing w:lineRule="auto" w:line="274" w:before="0" w:after="140"/>
        <w:ind w:hanging="0" w:start="0" w:end="0"/>
        <w:rPr>
          <w:rFonts w:ascii="Google Sans Text;sans-serif" w:hAnsi="Google Sans Text;sans-serif"/>
          <w:b/>
        </w:rPr>
      </w:pPr>
      <w:r>
        <w:rPr>
          <w:rFonts w:ascii="Google Sans Text;sans-serif" w:hAnsi="Google Sans Text;sans-serif"/>
          <w:b/>
        </w:rPr>
        <w:t>Justification:</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The scientific content is coherent, the contribution is distinct, and the methodology is sound. The primary issues are stylistic: the author has written the paper with a "defensive crouch," anticipating rejection based on a lack of empirical results. This has led to meta-commentary that distracts from the actual engineering contribution. Stripping these disclaimers and generalizing the artifact references would make this a strong publication.</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Next Steps for the User</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Would you like me to generate a "Refined Abstract" and "Introduction" that maintains the technical assertions but removes the defensive meta-commentary identified in the review?</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lineRule="auto" w:line="276" w:before="0" w:after="140"/>
        <w:jc w:val="start"/>
        <w:rPr/>
      </w:pPr>
      <w:r>
        <w:rPr/>
      </w:r>
    </w:p>
    <w:p>
      <w:pPr>
        <w:pStyle w:val="BodyText"/>
        <w:bidi w:val="0"/>
        <w:spacing w:lineRule="auto" w:line="276" w:before="0" w:after="140"/>
        <w:jc w:val="start"/>
        <w:rPr/>
      </w:pPr>
      <w:r>
        <w:rPr/>
        <w:t>Claude</w:t>
        <w:br/>
        <w:br/>
      </w:r>
      <w:r>
        <w:rPr>
          <w:sz w:val="24"/>
          <w:szCs w:val="24"/>
        </w:rPr>
        <w:t>SCIENTIFIC COMPUTING JOURNAL REVIEW</w:t>
      </w:r>
    </w:p>
    <w:p>
      <w:pPr>
        <w:pStyle w:val="Heading2"/>
        <w:spacing w:lineRule="auto" w:line="276" w:before="0" w:after="140"/>
        <w:rPr>
          <w:sz w:val="24"/>
          <w:szCs w:val="24"/>
        </w:rPr>
      </w:pPr>
      <w:r>
        <w:rPr>
          <w:sz w:val="24"/>
          <w:szCs w:val="24"/>
        </w:rPr>
        <w:t>Manuscript: "A Failure-Resistant Scientific Comparison Pipeline"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MODE 1 — EDITORIAL REVIEW</w:t>
      </w:r>
    </w:p>
    <w:p>
      <w:pPr>
        <w:pStyle w:val="Heading3"/>
        <w:spacing w:lineRule="auto" w:line="276" w:before="0" w:after="140"/>
        <w:rPr>
          <w:sz w:val="24"/>
          <w:szCs w:val="24"/>
        </w:rPr>
      </w:pPr>
      <w:r>
        <w:rPr>
          <w:sz w:val="24"/>
          <w:szCs w:val="24"/>
        </w:rPr>
        <w:t>Editorial Acceptability Summary</w:t>
      </w:r>
    </w:p>
    <w:p>
      <w:pPr>
        <w:pStyle w:val="BodyText"/>
        <w:rPr/>
      </w:pPr>
      <w:r>
        <w:rPr/>
        <w:t>This manuscript presents a governance and execution pattern for scientific comparison pipelines. The core contribution—a system that produces auditable "blocked" outcomes when epistemic prerequisites for comparison are absent—is clearly within scope for a scientific computing methods venue. The paper explicitly disclaims empirical results and positions itself as a methodology contribution evaluated by enforceable behavior under automation.</w:t>
      </w:r>
    </w:p>
    <w:p>
      <w:pPr>
        <w:pStyle w:val="BodyText"/>
        <w:rPr/>
      </w:pPr>
      <w:r>
        <w:rPr/>
        <w:t xml:space="preserve">However, the manuscript exhibits structural tensions between journal exposition and defensive contextualization. Multiple passages appear written to preempt criticism rather than guide a reader. Section 4.2 introduces "evidence artifacts" with explicit disclaimers about repository familiarity before establishing why such artifacts matter. The reproducibility statement (Section 6) emphasizes reproducing </w:t>
      </w:r>
      <w:r>
        <w:rPr>
          <w:rStyle w:val="Emphasis"/>
        </w:rPr>
        <w:t>refusal</w:t>
      </w:r>
      <w:r>
        <w:rPr/>
        <w:t xml:space="preserve"> rather than computational correctness, which may confuse readers unfamiliar with the governance framing. The cognitive burden of repeated scoping disclaimers ("intentionally abstract," "journal-neutral," "not required to follow the argument") suggests the manuscript is navigating unstated prior objections rather than presenting a clean methodological contribution.</w:t>
      </w:r>
    </w:p>
    <w:p>
      <w:pPr>
        <w:pStyle w:val="BodyText"/>
        <w:rPr/>
      </w:pPr>
      <w:r>
        <w:rPr>
          <w:rStyle w:val="Strong"/>
        </w:rPr>
        <w:t>Blocking Editorial Issues:</w:t>
      </w:r>
      <w:r>
        <w:rPr/>
        <w:t xml:space="preserve"> None. The paper is within scope and makes no false claims.</w:t>
      </w:r>
    </w:p>
    <w:p>
      <w:pPr>
        <w:pStyle w:val="BodyText"/>
        <w:rPr/>
      </w:pPr>
      <w:r>
        <w:rPr>
          <w:rStyle w:val="Strong"/>
        </w:rPr>
        <w:t>Non-blocking Editorial Improvements:</w:t>
      </w:r>
    </w:p>
    <w:p>
      <w:pPr>
        <w:pStyle w:val="BodyText"/>
        <w:numPr>
          <w:ilvl w:val="0"/>
          <w:numId w:val="23"/>
        </w:numPr>
        <w:tabs>
          <w:tab w:val="clear" w:pos="709"/>
          <w:tab w:val="left" w:pos="0" w:leader="none"/>
        </w:tabs>
        <w:spacing w:before="0" w:after="0"/>
        <w:ind w:hanging="283" w:start="709"/>
        <w:rPr/>
      </w:pPr>
      <w:r>
        <w:rPr>
          <w:rStyle w:val="Strong"/>
        </w:rPr>
        <w:t>Reduce defensive framing.</w:t>
      </w:r>
      <w:r>
        <w:rPr/>
        <w:t xml:space="preserve"> Phrases like "not to require repository familiarity" (Section 4.2) and "journal narrative is intended to be self-sufficient" (Section 8) appear multiple times. A journal reader expects self-sufficiency by default. </w:t>
      </w:r>
    </w:p>
    <w:p>
      <w:pPr>
        <w:pStyle w:val="BodyText"/>
        <w:numPr>
          <w:ilvl w:val="0"/>
          <w:numId w:val="23"/>
        </w:numPr>
        <w:tabs>
          <w:tab w:val="clear" w:pos="709"/>
          <w:tab w:val="left" w:pos="0" w:leader="none"/>
        </w:tabs>
        <w:spacing w:before="0" w:after="0"/>
        <w:ind w:hanging="283" w:start="709"/>
        <w:rPr/>
      </w:pPr>
      <w:r>
        <w:rPr>
          <w:rStyle w:val="Strong"/>
        </w:rPr>
        <w:t>Consolidate scoping statements.</w:t>
      </w:r>
      <w:r>
        <w:rPr/>
        <w:t xml:space="preserve"> The paper states its scope in the abstract, Section 1, Section 9, and the conclusion. A single clear statement in Section 1 suffices. </w:t>
      </w:r>
    </w:p>
    <w:p>
      <w:pPr>
        <w:pStyle w:val="BodyText"/>
        <w:numPr>
          <w:ilvl w:val="0"/>
          <w:numId w:val="23"/>
        </w:numPr>
        <w:tabs>
          <w:tab w:val="clear" w:pos="709"/>
          <w:tab w:val="left" w:pos="0" w:leader="none"/>
        </w:tabs>
        <w:spacing w:before="0" w:after="0"/>
        <w:ind w:hanging="283" w:start="709"/>
        <w:rPr/>
      </w:pPr>
      <w:r>
        <w:rPr>
          <w:rStyle w:val="Strong"/>
        </w:rPr>
        <w:t>Clarify artifact role earlier.</w:t>
      </w:r>
      <w:r>
        <w:rPr/>
        <w:t xml:space="preserve"> Section 4.2 lists artifacts before explaining </w:t>
      </w:r>
      <w:r>
        <w:rPr>
          <w:rStyle w:val="Emphasis"/>
        </w:rPr>
        <w:t>why</w:t>
      </w:r>
      <w:r>
        <w:rPr/>
        <w:t xml:space="preserve"> the reader should care about inspecting them. The governance invariant (blocked → zero rows) should precede artifact enumeration. </w:t>
      </w:r>
    </w:p>
    <w:p>
      <w:pPr>
        <w:pStyle w:val="BodyText"/>
        <w:numPr>
          <w:ilvl w:val="0"/>
          <w:numId w:val="23"/>
        </w:numPr>
        <w:tabs>
          <w:tab w:val="clear" w:pos="709"/>
          <w:tab w:val="left" w:pos="0" w:leader="none"/>
        </w:tabs>
        <w:spacing w:before="0" w:after="0"/>
        <w:ind w:hanging="283" w:start="709"/>
        <w:rPr/>
      </w:pPr>
      <w:r>
        <w:rPr>
          <w:rStyle w:val="Strong"/>
        </w:rPr>
        <w:t>Remove Section 7.</w:t>
      </w:r>
      <w:r>
        <w:rPr/>
        <w:t xml:space="preserve"> "Artifact availability (journal-neutral)" adds no information beyond what is already stated. Standard data availability statements belong in a footer or acknowledgments section. </w:t>
      </w:r>
    </w:p>
    <w:p>
      <w:pPr>
        <w:pStyle w:val="BodyText"/>
        <w:numPr>
          <w:ilvl w:val="0"/>
          <w:numId w:val="23"/>
        </w:numPr>
        <w:tabs>
          <w:tab w:val="clear" w:pos="709"/>
          <w:tab w:val="left" w:pos="0" w:leader="none"/>
        </w:tabs>
        <w:ind w:hanging="283" w:start="709"/>
        <w:rPr/>
      </w:pPr>
      <w:r>
        <w:rPr>
          <w:rStyle w:val="Strong"/>
        </w:rPr>
        <w:t>Reconsider Figure 1 caption length.</w:t>
      </w:r>
      <w:r>
        <w:rPr/>
        <w:t xml:space="preserve"> The figure caption text duplicates information already in Section 4.1. Either expand the caption to stand alone or shorten it to a descriptive label. </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MODE 2 — JOURNAL READER ASSESSMENT</w:t>
      </w:r>
    </w:p>
    <w:p>
      <w:pPr>
        <w:pStyle w:val="Heading3"/>
        <w:spacing w:lineRule="auto" w:line="276" w:before="0" w:after="140"/>
        <w:rPr>
          <w:sz w:val="24"/>
          <w:szCs w:val="24"/>
        </w:rPr>
      </w:pPr>
      <w:r>
        <w:rPr>
          <w:sz w:val="24"/>
          <w:szCs w:val="24"/>
        </w:rPr>
        <w:t>Reader Comprehension Assessment</w:t>
      </w:r>
    </w:p>
    <w:p>
      <w:pPr>
        <w:pStyle w:val="BodyText"/>
        <w:rPr/>
      </w:pPr>
      <w:r>
        <w:rPr>
          <w:rStyle w:val="Strong"/>
        </w:rPr>
        <w:t>Understanding within first 2 pages:</w:t>
      </w:r>
      <w:r>
        <w:rPr/>
        <w:t xml:space="preserve"> Partial. The abstract clearly states the problem (pipelines compute comparisons by default even when epistemic prerequisites are absent) and the solution (emit structured "blocked" outcomes). However, the </w:t>
      </w:r>
      <w:r>
        <w:rPr>
          <w:rStyle w:val="Emphasis"/>
        </w:rPr>
        <w:t>motivation</w:t>
      </w:r>
      <w:r>
        <w:rPr/>
        <w:t xml:space="preserve"> for why this matters is deferred. A reader without prior exposure to governance failures in scientific pipelines may not immediately grasp why "numerical proximity is never treated as evidence of admissible pairing" is a critical design choice rather than an obvious one.</w:t>
      </w:r>
    </w:p>
    <w:p>
      <w:pPr>
        <w:pStyle w:val="BodyText"/>
        <w:rPr/>
      </w:pPr>
      <w:r>
        <w:rPr>
          <w:rStyle w:val="Strong"/>
        </w:rPr>
        <w:t>Artifact introduction timing:</w:t>
      </w:r>
      <w:r>
        <w:rPr/>
        <w:t xml:space="preserve"> Section 4.2 introduces "machine-generated audit records" and "artifact identifiers (e.g., 'OV-...')" before the reader understands what these artifacts prove or why inspecting them is necessary. The governance invariant (blocked comparisons emit zero rows) is not explicitly stated until Section 6, yet artifacts are presented in Section 4.2.</w:t>
      </w:r>
    </w:p>
    <w:p>
      <w:pPr>
        <w:pStyle w:val="Heading3"/>
        <w:spacing w:lineRule="auto" w:line="276" w:before="0" w:after="140"/>
        <w:rPr>
          <w:sz w:val="24"/>
          <w:szCs w:val="24"/>
        </w:rPr>
      </w:pPr>
      <w:r>
        <w:rPr>
          <w:sz w:val="24"/>
          <w:szCs w:val="24"/>
        </w:rPr>
        <w:t>Points of Confusion or Disengagement</w:t>
      </w:r>
    </w:p>
    <w:p>
      <w:pPr>
        <w:pStyle w:val="BodyText"/>
        <w:numPr>
          <w:ilvl w:val="0"/>
          <w:numId w:val="24"/>
        </w:numPr>
        <w:tabs>
          <w:tab w:val="clear" w:pos="709"/>
          <w:tab w:val="left" w:pos="0" w:leader="none"/>
        </w:tabs>
        <w:spacing w:before="0" w:after="0"/>
        <w:ind w:hanging="283" w:start="709"/>
        <w:rPr/>
      </w:pPr>
      <w:r>
        <w:rPr>
          <w:rStyle w:val="Strong"/>
        </w:rPr>
        <w:t>"Admissibility" remains abstract throughout.</w:t>
      </w:r>
      <w:r>
        <w:rPr/>
        <w:t xml:space="preserve"> The paper intentionally avoids defining admissibility predicates, stating they are "venue- and domain-independent." While this supports generality, it makes concrete reasoning difficult. A reader may ask: "What makes a comparison admissible? When would I use this system?" </w:t>
      </w:r>
    </w:p>
    <w:p>
      <w:pPr>
        <w:pStyle w:val="BodyText"/>
        <w:numPr>
          <w:ilvl w:val="0"/>
          <w:numId w:val="24"/>
        </w:numPr>
        <w:tabs>
          <w:tab w:val="clear" w:pos="709"/>
          <w:tab w:val="left" w:pos="0" w:leader="none"/>
        </w:tabs>
        <w:spacing w:before="0" w:after="0"/>
        <w:ind w:hanging="283" w:start="709"/>
        <w:rPr/>
      </w:pPr>
      <w:r>
        <w:rPr>
          <w:rStyle w:val="Strong"/>
        </w:rPr>
        <w:t>Lean's role is underexplained.</w:t>
      </w:r>
      <w:r>
        <w:rPr/>
        <w:t xml:space="preserve"> Section 4.1 states Lean provides "a declarative, type-checked surface for intent" but does not clarify what advantages this provides over JSON or YAML configuration. A reader unfamiliar with proof assistants may wonder why a specialized tool is necessary. </w:t>
      </w:r>
    </w:p>
    <w:p>
      <w:pPr>
        <w:pStyle w:val="BodyText"/>
        <w:numPr>
          <w:ilvl w:val="0"/>
          <w:numId w:val="24"/>
        </w:numPr>
        <w:tabs>
          <w:tab w:val="clear" w:pos="709"/>
          <w:tab w:val="left" w:pos="0" w:leader="none"/>
        </w:tabs>
        <w:spacing w:before="0" w:after="0"/>
        <w:ind w:hanging="283" w:start="709"/>
        <w:rPr/>
      </w:pPr>
      <w:r>
        <w:rPr>
          <w:rStyle w:val="Strong"/>
        </w:rPr>
        <w:t>"Failure-resistant" vs "reproducible."</w:t>
      </w:r>
      <w:r>
        <w:rPr/>
        <w:t xml:space="preserve"> The term "failure-resistant" appears in the title and abstract but is never formally defined. The distinction between "failure-resistant" (enforces governance) and "reproducible" (deterministic execution) is implied but not stated. </w:t>
      </w:r>
    </w:p>
    <w:p>
      <w:pPr>
        <w:pStyle w:val="BodyText"/>
        <w:numPr>
          <w:ilvl w:val="0"/>
          <w:numId w:val="24"/>
        </w:numPr>
        <w:tabs>
          <w:tab w:val="clear" w:pos="709"/>
          <w:tab w:val="left" w:pos="0" w:leader="none"/>
        </w:tabs>
        <w:spacing w:before="0" w:after="0"/>
        <w:ind w:hanging="283" w:start="709"/>
        <w:rPr/>
      </w:pPr>
      <w:r>
        <w:rPr>
          <w:rStyle w:val="Strong"/>
        </w:rPr>
        <w:t>Section 6 goal statement.</w:t>
      </w:r>
      <w:r>
        <w:rPr/>
        <w:t xml:space="preserve"> "Goal: deterministically reproduce the blocked outcome (not compute a cross-lane score)." This phrasing may confuse readers expecting "reproducibility" to mean "re-execute and verify correctness." The emphasis on reproducing </w:t>
      </w:r>
      <w:r>
        <w:rPr>
          <w:rStyle w:val="Emphasis"/>
        </w:rPr>
        <w:t>refusal</w:t>
      </w:r>
      <w:r>
        <w:rPr/>
        <w:t xml:space="preserve"> rather than </w:t>
      </w:r>
      <w:r>
        <w:rPr>
          <w:rStyle w:val="Emphasis"/>
        </w:rPr>
        <w:t>computation</w:t>
      </w:r>
      <w:r>
        <w:rPr/>
        <w:t xml:space="preserve"> inverts typical reproducibility narratives. </w:t>
      </w:r>
    </w:p>
    <w:p>
      <w:pPr>
        <w:pStyle w:val="BodyText"/>
        <w:numPr>
          <w:ilvl w:val="0"/>
          <w:numId w:val="24"/>
        </w:numPr>
        <w:tabs>
          <w:tab w:val="clear" w:pos="709"/>
          <w:tab w:val="left" w:pos="0" w:leader="none"/>
        </w:tabs>
        <w:ind w:hanging="283" w:start="709"/>
        <w:rPr/>
      </w:pPr>
      <w:r>
        <w:rPr>
          <w:rStyle w:val="Strong"/>
        </w:rPr>
        <w:t>Zero empirical grounding.</w:t>
      </w:r>
      <w:r>
        <w:rPr/>
        <w:t xml:space="preserve"> The paper provides no worked example, even a toy one. A reader has no concrete reference point for when this system would block vs. authorize a comparison. </w:t>
      </w:r>
    </w:p>
    <w:p>
      <w:pPr>
        <w:pStyle w:val="Heading3"/>
        <w:spacing w:lineRule="auto" w:line="276" w:before="0" w:after="140"/>
        <w:rPr>
          <w:sz w:val="24"/>
          <w:szCs w:val="24"/>
        </w:rPr>
      </w:pPr>
      <w:r>
        <w:rPr>
          <w:sz w:val="24"/>
          <w:szCs w:val="24"/>
        </w:rPr>
        <w:t>Clarity Risks (High → Low)</w:t>
      </w:r>
    </w:p>
    <w:p>
      <w:pPr>
        <w:pStyle w:val="BodyText"/>
        <w:rPr/>
      </w:pPr>
      <w:r>
        <w:rPr>
          <w:rStyle w:val="Strong"/>
        </w:rPr>
        <w:t>HIGH:</w:t>
      </w:r>
    </w:p>
    <w:p>
      <w:pPr>
        <w:pStyle w:val="BodyText"/>
        <w:numPr>
          <w:ilvl w:val="0"/>
          <w:numId w:val="25"/>
        </w:numPr>
        <w:tabs>
          <w:tab w:val="clear" w:pos="709"/>
          <w:tab w:val="left" w:pos="0" w:leader="none"/>
        </w:tabs>
        <w:ind w:hanging="283" w:start="709"/>
        <w:rPr/>
      </w:pPr>
      <w:r>
        <w:rPr>
          <w:rStyle w:val="Strong"/>
        </w:rPr>
        <w:t>Motivation gap.</w:t>
      </w:r>
      <w:r>
        <w:rPr/>
        <w:t xml:space="preserve"> Why is the default posture (compute when numbers exist) problematic? The paper asserts this but does not illustrate a failure case or epistemic violation that would occur without governance. </w:t>
      </w:r>
    </w:p>
    <w:p>
      <w:pPr>
        <w:pStyle w:val="BodyText"/>
        <w:rPr/>
      </w:pPr>
      <w:r>
        <w:rPr>
          <w:rStyle w:val="Strong"/>
        </w:rPr>
        <w:t>MEDIUM:</w:t>
      </w:r>
    </w:p>
    <w:p>
      <w:pPr>
        <w:pStyle w:val="BodyText"/>
        <w:numPr>
          <w:ilvl w:val="0"/>
          <w:numId w:val="26"/>
        </w:numPr>
        <w:tabs>
          <w:tab w:val="clear" w:pos="709"/>
          <w:tab w:val="left" w:pos="0" w:leader="none"/>
        </w:tabs>
        <w:spacing w:before="0" w:after="0"/>
        <w:ind w:hanging="283" w:start="709"/>
        <w:rPr/>
      </w:pPr>
      <w:r>
        <w:rPr>
          <w:rStyle w:val="Strong"/>
        </w:rPr>
        <w:t>Terminology density.</w:t>
      </w:r>
      <w:r>
        <w:rPr/>
        <w:t xml:space="preserve"> "Lane," "gate," "manifest," and "lock" are introduced in Section 3 but not used consistently enough for intuitive understanding. Example: "gate" appears 3 times total; "lock" appears 8 times but is never shown. </w:t>
      </w:r>
    </w:p>
    <w:p>
      <w:pPr>
        <w:pStyle w:val="BodyText"/>
        <w:numPr>
          <w:ilvl w:val="0"/>
          <w:numId w:val="26"/>
        </w:numPr>
        <w:tabs>
          <w:tab w:val="clear" w:pos="709"/>
          <w:tab w:val="left" w:pos="0" w:leader="none"/>
        </w:tabs>
        <w:ind w:hanging="283" w:start="709"/>
        <w:rPr/>
      </w:pPr>
      <w:r>
        <w:rPr>
          <w:rStyle w:val="Strong"/>
        </w:rPr>
        <w:t>Appendix reference without integration.</w:t>
      </w:r>
      <w:r>
        <w:rPr/>
        <w:t xml:space="preserve"> Section 8 mentions "Appendix A (Supplementary; frozen)" with a claim registry and case study, but the relationship to the main narrative is unclear. </w:t>
      </w:r>
    </w:p>
    <w:p>
      <w:pPr>
        <w:pStyle w:val="BodyText"/>
        <w:rPr/>
      </w:pPr>
      <w:r>
        <w:rPr>
          <w:rStyle w:val="Strong"/>
        </w:rPr>
        <w:t>LOW:</w:t>
      </w:r>
    </w:p>
    <w:p>
      <w:pPr>
        <w:pStyle w:val="BodyText"/>
        <w:numPr>
          <w:ilvl w:val="0"/>
          <w:numId w:val="27"/>
        </w:numPr>
        <w:tabs>
          <w:tab w:val="clear" w:pos="709"/>
          <w:tab w:val="left" w:pos="0" w:leader="none"/>
        </w:tabs>
        <w:ind w:hanging="283" w:start="709"/>
        <w:rPr/>
      </w:pPr>
      <w:r>
        <w:rPr>
          <w:rStyle w:val="Strong"/>
        </w:rPr>
        <w:t>Passive voice in Section 5.</w:t>
      </w:r>
      <w:r>
        <w:rPr/>
        <w:t xml:space="preserve"> "This section is intentionally focused on governance behavior under automation" could be rewritten actively: "This section focuses on governance behavior under automation." </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MODE 3 — EXPERT TECHNICAL ASSESSMENT</w:t>
      </w:r>
    </w:p>
    <w:p>
      <w:pPr>
        <w:pStyle w:val="Heading3"/>
        <w:spacing w:lineRule="auto" w:line="276" w:before="0" w:after="140"/>
        <w:rPr>
          <w:sz w:val="24"/>
          <w:szCs w:val="24"/>
        </w:rPr>
      </w:pPr>
      <w:r>
        <w:rPr>
          <w:sz w:val="24"/>
          <w:szCs w:val="24"/>
        </w:rPr>
        <w:t>Expert Technical Assessment</w:t>
      </w:r>
    </w:p>
    <w:p>
      <w:pPr>
        <w:pStyle w:val="BodyText"/>
        <w:rPr/>
      </w:pPr>
      <w:r>
        <w:rPr>
          <w:rStyle w:val="Strong"/>
        </w:rPr>
        <w:t>Technical coherence:</w:t>
      </w:r>
      <w:r>
        <w:rPr/>
        <w:t xml:space="preserve"> The three-layer architecture (intent → manifest → execution) is clearly described. The enforcement invariant is unambiguous: if admissibility conditions are not satisfied, the pipeline "deterministically aborts the comparison path" (Section 4.1) and emits a blocked outcome with zero rows (Section 6). The separation of intent declaration (Lean) from enforcement (manifest) from execution (Python) is architecturally sound.</w:t>
      </w:r>
    </w:p>
    <w:p>
      <w:pPr>
        <w:pStyle w:val="BodyText"/>
        <w:rPr/>
      </w:pPr>
      <w:r>
        <w:rPr>
          <w:rStyle w:val="Strong"/>
        </w:rPr>
        <w:t>Conceptual positioning:</w:t>
      </w:r>
      <w:r>
        <w:rPr/>
        <w:t xml:space="preserve"> The refusal-as-output posture is meaningfully distinct from typical pipeline error handling. The paper correctly positions this as governance rather than fault tolerance: the system is not recovering from failure; it is </w:t>
      </w:r>
      <w:r>
        <w:rPr>
          <w:rStyle w:val="Emphasis"/>
        </w:rPr>
        <w:t>correctly executing</w:t>
      </w:r>
      <w:r>
        <w:rPr/>
        <w:t xml:space="preserve"> by refusing to compare. This is a legitimate methodological stance.</w:t>
      </w:r>
    </w:p>
    <w:p>
      <w:pPr>
        <w:pStyle w:val="BodyText"/>
        <w:rPr/>
      </w:pPr>
      <w:r>
        <w:rPr>
          <w:rStyle w:val="Strong"/>
        </w:rPr>
        <w:t>Operationalization of "blocked" outcome:</w:t>
      </w:r>
      <w:r>
        <w:rPr/>
        <w:t xml:space="preserve"> The system produces "a structured blocked outcome with explicit blockers" (Section 3). The structure is not defined in the main text, but the invariant (blocked → zero rows) is testable and auditable.</w:t>
      </w:r>
    </w:p>
    <w:p>
      <w:pPr>
        <w:pStyle w:val="Heading3"/>
        <w:spacing w:lineRule="auto" w:line="276" w:before="0" w:after="140"/>
        <w:rPr>
          <w:sz w:val="24"/>
          <w:szCs w:val="24"/>
        </w:rPr>
      </w:pPr>
      <w:r>
        <w:rPr>
          <w:sz w:val="24"/>
          <w:szCs w:val="24"/>
        </w:rPr>
        <w:t>Strengths of the Governance Model</w:t>
      </w:r>
    </w:p>
    <w:p>
      <w:pPr>
        <w:pStyle w:val="BodyText"/>
        <w:numPr>
          <w:ilvl w:val="0"/>
          <w:numId w:val="28"/>
        </w:numPr>
        <w:tabs>
          <w:tab w:val="clear" w:pos="709"/>
          <w:tab w:val="left" w:pos="0" w:leader="none"/>
        </w:tabs>
        <w:spacing w:before="0" w:after="0"/>
        <w:ind w:hanging="283" w:start="709"/>
        <w:rPr/>
      </w:pPr>
      <w:r>
        <w:rPr>
          <w:rStyle w:val="Strong"/>
        </w:rPr>
        <w:t>Separation of concerns.</w:t>
      </w:r>
      <w:r>
        <w:rPr/>
        <w:t xml:space="preserve"> Decoupling intent (what should be admissible) from enforcement (runtime validation) from execution (comparison computation) is a clean architectural choice. </w:t>
      </w:r>
    </w:p>
    <w:p>
      <w:pPr>
        <w:pStyle w:val="BodyText"/>
        <w:numPr>
          <w:ilvl w:val="0"/>
          <w:numId w:val="28"/>
        </w:numPr>
        <w:tabs>
          <w:tab w:val="clear" w:pos="709"/>
          <w:tab w:val="left" w:pos="0" w:leader="none"/>
        </w:tabs>
        <w:spacing w:before="0" w:after="0"/>
        <w:ind w:hanging="283" w:start="709"/>
        <w:rPr/>
      </w:pPr>
      <w:r>
        <w:rPr>
          <w:rStyle w:val="Strong"/>
        </w:rPr>
        <w:t>Symmetric treatment of outcomes.</w:t>
      </w:r>
      <w:r>
        <w:rPr/>
        <w:t xml:space="preserve"> Both computed and blocked outcomes are "canonical, auditable artifacts" (abstract). This avoids treating refusal as a second-class result. </w:t>
      </w:r>
    </w:p>
    <w:p>
      <w:pPr>
        <w:pStyle w:val="BodyText"/>
        <w:numPr>
          <w:ilvl w:val="0"/>
          <w:numId w:val="28"/>
        </w:numPr>
        <w:tabs>
          <w:tab w:val="clear" w:pos="709"/>
          <w:tab w:val="left" w:pos="0" w:leader="none"/>
        </w:tabs>
        <w:spacing w:before="0" w:after="0"/>
        <w:ind w:hanging="283" w:start="709"/>
        <w:rPr/>
      </w:pPr>
      <w:r>
        <w:rPr>
          <w:rStyle w:val="Strong"/>
        </w:rPr>
        <w:t>Conservative default.</w:t>
      </w:r>
      <w:r>
        <w:rPr/>
        <w:t xml:space="preserve"> The "do not compare unless authorized" posture is appropriate for scientific contexts where incorrect comparisons can propagate through downstream analyses. </w:t>
      </w:r>
    </w:p>
    <w:p>
      <w:pPr>
        <w:pStyle w:val="BodyText"/>
        <w:numPr>
          <w:ilvl w:val="0"/>
          <w:numId w:val="28"/>
        </w:numPr>
        <w:tabs>
          <w:tab w:val="clear" w:pos="709"/>
          <w:tab w:val="left" w:pos="0" w:leader="none"/>
        </w:tabs>
        <w:ind w:hanging="283" w:start="709"/>
        <w:rPr/>
      </w:pPr>
      <w:r>
        <w:rPr>
          <w:rStyle w:val="Strong"/>
        </w:rPr>
        <w:t>Type-checked intent.</w:t>
      </w:r>
      <w:r>
        <w:rPr/>
        <w:t xml:space="preserve"> Using Lean for intent authoring provides formal guarantees that the admissibility configuration is well-formed, even if the semantics of admissibility predicates remain domain-specific. </w:t>
      </w:r>
    </w:p>
    <w:p>
      <w:pPr>
        <w:pStyle w:val="Heading3"/>
        <w:spacing w:lineRule="auto" w:line="276" w:before="0" w:after="140"/>
        <w:rPr>
          <w:sz w:val="24"/>
          <w:szCs w:val="24"/>
        </w:rPr>
      </w:pPr>
      <w:r>
        <w:rPr>
          <w:sz w:val="24"/>
          <w:szCs w:val="24"/>
        </w:rPr>
        <w:t>Identified Weaknesses or Ambiguities</w:t>
      </w:r>
    </w:p>
    <w:p>
      <w:pPr>
        <w:pStyle w:val="BodyText"/>
        <w:numPr>
          <w:ilvl w:val="0"/>
          <w:numId w:val="29"/>
        </w:numPr>
        <w:tabs>
          <w:tab w:val="clear" w:pos="709"/>
          <w:tab w:val="left" w:pos="0" w:leader="none"/>
        </w:tabs>
        <w:spacing w:before="0" w:after="0"/>
        <w:ind w:hanging="283" w:start="709"/>
        <w:rPr/>
      </w:pPr>
      <w:r>
        <w:rPr>
          <w:rStyle w:val="Strong"/>
        </w:rPr>
        <w:t>No specification of "explicit blockers."</w:t>
      </w:r>
      <w:r>
        <w:rPr/>
        <w:t xml:space="preserve"> Section 3 states that blocked outcomes include "explicit blockers," but their structure or semantics are never defined. Are blockers enumerated gate failures? Free-text explanations? This ambiguity undermines auditability claims. </w:t>
      </w:r>
    </w:p>
    <w:p>
      <w:pPr>
        <w:pStyle w:val="BodyText"/>
        <w:numPr>
          <w:ilvl w:val="0"/>
          <w:numId w:val="29"/>
        </w:numPr>
        <w:tabs>
          <w:tab w:val="clear" w:pos="709"/>
          <w:tab w:val="left" w:pos="0" w:leader="none"/>
        </w:tabs>
        <w:spacing w:before="0" w:after="0"/>
        <w:ind w:hanging="283" w:start="709"/>
        <w:rPr/>
      </w:pPr>
      <w:r>
        <w:rPr>
          <w:rStyle w:val="Strong"/>
        </w:rPr>
        <w:t>Manifest validation is underspecified.</w:t>
      </w:r>
      <w:r>
        <w:rPr/>
        <w:t xml:space="preserve"> Section 4.1 states "the pipeline validates the manifest prior to any comparison computation" but does not define what validation entails. Is this schema validation? Consistency checking? A reader cannot assess whether the validation step actually enforces governance. </w:t>
      </w:r>
    </w:p>
    <w:p>
      <w:pPr>
        <w:pStyle w:val="BodyText"/>
        <w:numPr>
          <w:ilvl w:val="0"/>
          <w:numId w:val="29"/>
        </w:numPr>
        <w:tabs>
          <w:tab w:val="clear" w:pos="709"/>
          <w:tab w:val="left" w:pos="0" w:leader="none"/>
        </w:tabs>
        <w:spacing w:before="0" w:after="0"/>
        <w:ind w:hanging="283" w:start="709"/>
        <w:rPr/>
      </w:pPr>
      <w:r>
        <w:rPr>
          <w:rStyle w:val="Strong"/>
        </w:rPr>
        <w:t>No failure mode analysis.</w:t>
      </w:r>
      <w:r>
        <w:rPr/>
        <w:t xml:space="preserve"> The paper claims "failure-resistance" but does not enumerate attack surfaces or misuse scenarios. For example: </w:t>
      </w:r>
    </w:p>
    <w:p>
      <w:pPr>
        <w:pStyle w:val="BodyText"/>
        <w:numPr>
          <w:ilvl w:val="1"/>
          <w:numId w:val="29"/>
        </w:numPr>
        <w:tabs>
          <w:tab w:val="clear" w:pos="709"/>
          <w:tab w:val="left" w:pos="0" w:leader="none"/>
        </w:tabs>
        <w:spacing w:before="0" w:after="0"/>
        <w:ind w:hanging="283" w:start="1418"/>
        <w:rPr/>
      </w:pPr>
      <w:r>
        <w:rPr/>
        <w:t xml:space="preserve">What happens if the manifest is manually edited to bypass intent? </w:t>
      </w:r>
    </w:p>
    <w:p>
      <w:pPr>
        <w:pStyle w:val="BodyText"/>
        <w:numPr>
          <w:ilvl w:val="1"/>
          <w:numId w:val="29"/>
        </w:numPr>
        <w:tabs>
          <w:tab w:val="clear" w:pos="709"/>
          <w:tab w:val="left" w:pos="0" w:leader="none"/>
        </w:tabs>
        <w:spacing w:before="0" w:after="0"/>
        <w:ind w:hanging="283" w:start="1418"/>
        <w:rPr/>
      </w:pPr>
      <w:r>
        <w:rPr/>
        <w:t xml:space="preserve">What happens if execution code ignores the manifest? </w:t>
      </w:r>
    </w:p>
    <w:p>
      <w:pPr>
        <w:pStyle w:val="BodyText"/>
        <w:numPr>
          <w:ilvl w:val="1"/>
          <w:numId w:val="29"/>
        </w:numPr>
        <w:tabs>
          <w:tab w:val="clear" w:pos="709"/>
          <w:tab w:val="left" w:pos="0" w:leader="none"/>
        </w:tabs>
        <w:spacing w:before="0" w:after="0"/>
        <w:ind w:hanging="283" w:start="1418"/>
        <w:rPr/>
      </w:pPr>
      <w:r>
        <w:rPr/>
        <w:t xml:space="preserve">What happens if Lean intent and JSON manifest drift? </w:t>
      </w:r>
    </w:p>
    <w:p>
      <w:pPr>
        <w:pStyle w:val="BodyText"/>
        <w:numPr>
          <w:ilvl w:val="0"/>
          <w:numId w:val="0"/>
        </w:numPr>
        <w:spacing w:before="0" w:after="0"/>
        <w:ind w:hanging="0" w:start="0"/>
        <w:rPr/>
      </w:pPr>
      <w:r>
        <w:rPr/>
        <w:t xml:space="preserve">The architecture diagram (Figure 1) shows unidirectional flow but does not indicate how integrity is maintained. </w:t>
      </w:r>
    </w:p>
    <w:p>
      <w:pPr>
        <w:pStyle w:val="BodyText"/>
        <w:numPr>
          <w:ilvl w:val="0"/>
          <w:numId w:val="29"/>
        </w:numPr>
        <w:tabs>
          <w:tab w:val="clear" w:pos="709"/>
          <w:tab w:val="left" w:pos="0" w:leader="none"/>
        </w:tabs>
        <w:spacing w:before="0" w:after="0"/>
        <w:ind w:hanging="283" w:start="709"/>
        <w:rPr/>
      </w:pPr>
      <w:r>
        <w:rPr>
          <w:rStyle w:val="Strong"/>
        </w:rPr>
        <w:t>"Numerical proximity is never treated as evidence of admissible pairing."</w:t>
      </w:r>
      <w:r>
        <w:rPr/>
        <w:t xml:space="preserve"> This statement appears in the abstract and Section 3 but is never operationalized. How does the system enforce this? Is there a code path that </w:t>
      </w:r>
      <w:r>
        <w:rPr>
          <w:rStyle w:val="Emphasis"/>
        </w:rPr>
        <w:t>could</w:t>
      </w:r>
      <w:r>
        <w:rPr/>
        <w:t xml:space="preserve"> infer admissibility from numerical closeness but is intentionally disabled? Or is this simply a design principle with no enforcing mechanism? </w:t>
      </w:r>
    </w:p>
    <w:p>
      <w:pPr>
        <w:pStyle w:val="BodyText"/>
        <w:numPr>
          <w:ilvl w:val="0"/>
          <w:numId w:val="29"/>
        </w:numPr>
        <w:tabs>
          <w:tab w:val="clear" w:pos="709"/>
          <w:tab w:val="left" w:pos="0" w:leader="none"/>
        </w:tabs>
        <w:spacing w:before="0" w:after="0"/>
        <w:ind w:hanging="283" w:start="709"/>
        <w:rPr/>
      </w:pPr>
      <w:r>
        <w:rPr>
          <w:rStyle w:val="Strong"/>
        </w:rPr>
        <w:t>Lean as a bottleneck.</w:t>
      </w:r>
      <w:r>
        <w:rPr/>
        <w:t xml:space="preserve"> The choice of Lean for intent authoring may limit adoption. The paper justifies this choice ("declarative, type-checked surface") but does not address: </w:t>
      </w:r>
    </w:p>
    <w:p>
      <w:pPr>
        <w:pStyle w:val="BodyText"/>
        <w:numPr>
          <w:ilvl w:val="1"/>
          <w:numId w:val="29"/>
        </w:numPr>
        <w:tabs>
          <w:tab w:val="clear" w:pos="709"/>
          <w:tab w:val="left" w:pos="0" w:leader="none"/>
        </w:tabs>
        <w:spacing w:before="0" w:after="0"/>
        <w:ind w:hanging="283" w:start="1418"/>
        <w:rPr/>
      </w:pPr>
      <w:r>
        <w:rPr/>
        <w:t xml:space="preserve">Who writes Lean intent? Domain scientists? Software engineers? </w:t>
      </w:r>
    </w:p>
    <w:p>
      <w:pPr>
        <w:pStyle w:val="BodyText"/>
        <w:numPr>
          <w:ilvl w:val="1"/>
          <w:numId w:val="29"/>
        </w:numPr>
        <w:tabs>
          <w:tab w:val="clear" w:pos="709"/>
          <w:tab w:val="left" w:pos="0" w:leader="none"/>
        </w:tabs>
        <w:spacing w:before="0" w:after="0"/>
        <w:ind w:hanging="283" w:start="1418"/>
        <w:rPr/>
      </w:pPr>
      <w:r>
        <w:rPr/>
        <w:t xml:space="preserve">What is the learning curve? </w:t>
      </w:r>
    </w:p>
    <w:p>
      <w:pPr>
        <w:pStyle w:val="BodyText"/>
        <w:numPr>
          <w:ilvl w:val="1"/>
          <w:numId w:val="29"/>
        </w:numPr>
        <w:tabs>
          <w:tab w:val="clear" w:pos="709"/>
          <w:tab w:val="left" w:pos="0" w:leader="none"/>
        </w:tabs>
        <w:spacing w:before="0" w:after="0"/>
        <w:ind w:hanging="283" w:start="1418"/>
        <w:rPr/>
      </w:pPr>
      <w:r>
        <w:rPr/>
        <w:t xml:space="preserve">Are there alternative authoring mechanisms? </w:t>
      </w:r>
    </w:p>
    <w:p>
      <w:pPr>
        <w:pStyle w:val="BodyText"/>
        <w:numPr>
          <w:ilvl w:val="0"/>
          <w:numId w:val="0"/>
        </w:numPr>
        <w:spacing w:before="0" w:after="0"/>
        <w:ind w:hanging="0" w:start="0"/>
        <w:rPr/>
      </w:pPr>
      <w:r>
        <w:rPr/>
        <w:t xml:space="preserve">This is not a flaw, but the paper does not acknowledge the pragmatic trade-off. </w:t>
      </w:r>
    </w:p>
    <w:p>
      <w:pPr>
        <w:pStyle w:val="BodyText"/>
        <w:numPr>
          <w:ilvl w:val="0"/>
          <w:numId w:val="29"/>
        </w:numPr>
        <w:tabs>
          <w:tab w:val="clear" w:pos="709"/>
          <w:tab w:val="left" w:pos="0" w:leader="none"/>
        </w:tabs>
        <w:spacing w:before="0" w:after="0"/>
        <w:ind w:hanging="283" w:start="709"/>
        <w:rPr/>
      </w:pPr>
      <w:r>
        <w:rPr>
          <w:rStyle w:val="Strong"/>
        </w:rPr>
        <w:t>No discussion of performance or scalability.</w:t>
      </w:r>
      <w:r>
        <w:rPr/>
        <w:t xml:space="preserve"> The paper is silent on computational cost. If manifest validation and lock generation are expensive, the overhead may be prohibitive for large-scale pipelines. This may be out of scope, but the paper does not state this explicitly. </w:t>
      </w:r>
    </w:p>
    <w:p>
      <w:pPr>
        <w:pStyle w:val="BodyText"/>
        <w:numPr>
          <w:ilvl w:val="0"/>
          <w:numId w:val="29"/>
        </w:numPr>
        <w:tabs>
          <w:tab w:val="clear" w:pos="709"/>
          <w:tab w:val="left" w:pos="0" w:leader="none"/>
        </w:tabs>
        <w:spacing w:before="0" w:after="0"/>
        <w:ind w:hanging="283" w:start="709"/>
        <w:rPr/>
      </w:pPr>
      <w:r>
        <w:rPr>
          <w:rStyle w:val="Strong"/>
        </w:rPr>
        <w:t>"Lock" artifact is underexplained.</w:t>
      </w:r>
      <w:r>
        <w:rPr/>
        <w:t xml:space="preserve"> The term "lock" suggests immutability or versioning, but the paper does not specify: </w:t>
      </w:r>
    </w:p>
    <w:p>
      <w:pPr>
        <w:pStyle w:val="BodyText"/>
        <w:numPr>
          <w:ilvl w:val="1"/>
          <w:numId w:val="29"/>
        </w:numPr>
        <w:tabs>
          <w:tab w:val="clear" w:pos="709"/>
          <w:tab w:val="left" w:pos="0" w:leader="none"/>
        </w:tabs>
        <w:spacing w:before="0" w:after="0"/>
        <w:ind w:hanging="283" w:start="1418"/>
        <w:rPr/>
      </w:pPr>
      <w:r>
        <w:rPr/>
        <w:t xml:space="preserve">What fields does a lock contain? </w:t>
      </w:r>
    </w:p>
    <w:p>
      <w:pPr>
        <w:pStyle w:val="BodyText"/>
        <w:numPr>
          <w:ilvl w:val="1"/>
          <w:numId w:val="29"/>
        </w:numPr>
        <w:tabs>
          <w:tab w:val="clear" w:pos="709"/>
          <w:tab w:val="left" w:pos="0" w:leader="none"/>
        </w:tabs>
        <w:spacing w:before="0" w:after="0"/>
        <w:ind w:hanging="283" w:start="1418"/>
        <w:rPr/>
      </w:pPr>
      <w:r>
        <w:rPr/>
        <w:t xml:space="preserve">Is it a file? A database entry? </w:t>
      </w:r>
    </w:p>
    <w:p>
      <w:pPr>
        <w:pStyle w:val="BodyText"/>
        <w:numPr>
          <w:ilvl w:val="1"/>
          <w:numId w:val="29"/>
        </w:numPr>
        <w:tabs>
          <w:tab w:val="clear" w:pos="709"/>
          <w:tab w:val="left" w:pos="0" w:leader="none"/>
        </w:tabs>
        <w:spacing w:before="0" w:after="0"/>
        <w:ind w:hanging="283" w:start="1418"/>
        <w:rPr/>
      </w:pPr>
      <w:r>
        <w:rPr/>
        <w:t xml:space="preserve">How is the "content fingerprint" (Section 4.1) computed? </w:t>
      </w:r>
    </w:p>
    <w:p>
      <w:pPr>
        <w:pStyle w:val="BodyText"/>
        <w:numPr>
          <w:ilvl w:val="0"/>
          <w:numId w:val="29"/>
        </w:numPr>
        <w:tabs>
          <w:tab w:val="clear" w:pos="709"/>
          <w:tab w:val="left" w:pos="0" w:leader="none"/>
        </w:tabs>
        <w:ind w:hanging="283" w:start="709"/>
        <w:rPr/>
      </w:pPr>
      <w:r>
        <w:rPr>
          <w:rStyle w:val="Strong"/>
        </w:rPr>
        <w:t>Reproducibility claim is narrow.</w:t>
      </w:r>
      <w:r>
        <w:rPr/>
        <w:t xml:space="preserve"> Section 6 states the goal is to "deterministically reproduce the blocked outcome." This is trivial if the manifest and execution logic are unchanged. The more interesting reproducibility question—can a third party independently verify that the </w:t>
      </w:r>
      <w:r>
        <w:rPr>
          <w:rStyle w:val="Emphasis"/>
        </w:rPr>
        <w:t>right</w:t>
      </w:r>
      <w:r>
        <w:rPr/>
        <w:t xml:space="preserve"> comparisons were blocked?—is not addressed. </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CROSS-MODE CONVERGENCE</w:t>
      </w:r>
    </w:p>
    <w:p>
      <w:pPr>
        <w:pStyle w:val="Heading3"/>
        <w:spacing w:lineRule="auto" w:line="276" w:before="0" w:after="140"/>
        <w:rPr>
          <w:sz w:val="24"/>
          <w:szCs w:val="24"/>
        </w:rPr>
      </w:pPr>
      <w:r>
        <w:rPr>
          <w:sz w:val="24"/>
          <w:szCs w:val="24"/>
        </w:rPr>
        <w:t>Issues Flagged by Multiple Modes</w:t>
      </w:r>
    </w:p>
    <w:p>
      <w:pPr>
        <w:pStyle w:val="BodyText"/>
        <w:numPr>
          <w:ilvl w:val="0"/>
          <w:numId w:val="30"/>
        </w:numPr>
        <w:tabs>
          <w:tab w:val="clear" w:pos="709"/>
          <w:tab w:val="left" w:pos="0" w:leader="none"/>
        </w:tabs>
        <w:spacing w:before="0" w:after="0"/>
        <w:ind w:hanging="283" w:start="709"/>
        <w:rPr/>
      </w:pPr>
      <w:r>
        <w:rPr>
          <w:rStyle w:val="Strong"/>
        </w:rPr>
        <w:t>Artifact role unclear before motivation established</w:t>
      </w:r>
      <w:r>
        <w:rPr/>
        <w:t xml:space="preserve"> (Editorial + Reader) </w:t>
      </w:r>
    </w:p>
    <w:p>
      <w:pPr>
        <w:pStyle w:val="BodyText"/>
        <w:numPr>
          <w:ilvl w:val="1"/>
          <w:numId w:val="30"/>
        </w:numPr>
        <w:tabs>
          <w:tab w:val="clear" w:pos="709"/>
          <w:tab w:val="left" w:pos="0" w:leader="none"/>
        </w:tabs>
        <w:spacing w:before="0" w:after="0"/>
        <w:ind w:hanging="283" w:start="1418"/>
        <w:rPr/>
      </w:pPr>
      <w:r>
        <w:rPr/>
        <w:t xml:space="preserve">Section 4.2 introduces artifacts before explaining why they matter. </w:t>
      </w:r>
    </w:p>
    <w:p>
      <w:pPr>
        <w:pStyle w:val="BodyText"/>
        <w:numPr>
          <w:ilvl w:val="1"/>
          <w:numId w:val="30"/>
        </w:numPr>
        <w:tabs>
          <w:tab w:val="clear" w:pos="709"/>
          <w:tab w:val="left" w:pos="0" w:leader="none"/>
        </w:tabs>
        <w:spacing w:before="0" w:after="0"/>
        <w:ind w:hanging="283" w:start="1418"/>
        <w:rPr/>
      </w:pPr>
      <w:r>
        <w:rPr/>
        <w:t xml:space="preserve">Recommendation: Move governance invariant (blocked → zero rows) before artifact enumeration. </w:t>
      </w:r>
    </w:p>
    <w:p>
      <w:pPr>
        <w:pStyle w:val="BodyText"/>
        <w:numPr>
          <w:ilvl w:val="0"/>
          <w:numId w:val="30"/>
        </w:numPr>
        <w:tabs>
          <w:tab w:val="clear" w:pos="709"/>
          <w:tab w:val="left" w:pos="0" w:leader="none"/>
        </w:tabs>
        <w:spacing w:before="0" w:after="0"/>
        <w:ind w:hanging="283" w:start="709"/>
        <w:rPr/>
      </w:pPr>
      <w:r>
        <w:rPr>
          <w:rStyle w:val="Strong"/>
        </w:rPr>
        <w:t>Defensive framing distracts from contribution</w:t>
      </w:r>
      <w:r>
        <w:rPr/>
        <w:t xml:space="preserve"> (Editorial + Reader) </w:t>
      </w:r>
    </w:p>
    <w:p>
      <w:pPr>
        <w:pStyle w:val="BodyText"/>
        <w:numPr>
          <w:ilvl w:val="1"/>
          <w:numId w:val="30"/>
        </w:numPr>
        <w:tabs>
          <w:tab w:val="clear" w:pos="709"/>
          <w:tab w:val="left" w:pos="0" w:leader="none"/>
        </w:tabs>
        <w:spacing w:before="0" w:after="0"/>
        <w:ind w:hanging="283" w:start="1418"/>
        <w:rPr/>
      </w:pPr>
      <w:r>
        <w:rPr/>
        <w:t xml:space="preserve">Repeated disclaimers about repository familiarity, abstraction, and scope. </w:t>
      </w:r>
    </w:p>
    <w:p>
      <w:pPr>
        <w:pStyle w:val="BodyText"/>
        <w:numPr>
          <w:ilvl w:val="1"/>
          <w:numId w:val="30"/>
        </w:numPr>
        <w:tabs>
          <w:tab w:val="clear" w:pos="709"/>
          <w:tab w:val="left" w:pos="0" w:leader="none"/>
        </w:tabs>
        <w:spacing w:before="0" w:after="0"/>
        <w:ind w:hanging="283" w:start="1418"/>
        <w:rPr/>
      </w:pPr>
      <w:r>
        <w:rPr/>
        <w:t xml:space="preserve">Recommendation: Consolidate scoping into Section 1; remove redundant statements. </w:t>
      </w:r>
    </w:p>
    <w:p>
      <w:pPr>
        <w:pStyle w:val="BodyText"/>
        <w:numPr>
          <w:ilvl w:val="0"/>
          <w:numId w:val="30"/>
        </w:numPr>
        <w:tabs>
          <w:tab w:val="clear" w:pos="709"/>
          <w:tab w:val="left" w:pos="0" w:leader="none"/>
        </w:tabs>
        <w:spacing w:before="0" w:after="0"/>
        <w:ind w:hanging="283" w:start="709"/>
        <w:rPr/>
      </w:pPr>
      <w:r>
        <w:rPr>
          <w:rStyle w:val="Strong"/>
        </w:rPr>
        <w:t>"Blocked outcome" structure underspecified</w:t>
      </w:r>
      <w:r>
        <w:rPr/>
        <w:t xml:space="preserve"> (Reader + Expert) </w:t>
      </w:r>
    </w:p>
    <w:p>
      <w:pPr>
        <w:pStyle w:val="BodyText"/>
        <w:numPr>
          <w:ilvl w:val="1"/>
          <w:numId w:val="30"/>
        </w:numPr>
        <w:tabs>
          <w:tab w:val="clear" w:pos="709"/>
          <w:tab w:val="left" w:pos="0" w:leader="none"/>
        </w:tabs>
        <w:spacing w:before="0" w:after="0"/>
        <w:ind w:hanging="283" w:start="1418"/>
        <w:rPr/>
      </w:pPr>
      <w:r>
        <w:rPr/>
        <w:t xml:space="preserve">The paper claims auditability but does not define what information blocked outcomes contain. </w:t>
      </w:r>
    </w:p>
    <w:p>
      <w:pPr>
        <w:pStyle w:val="BodyText"/>
        <w:numPr>
          <w:ilvl w:val="1"/>
          <w:numId w:val="30"/>
        </w:numPr>
        <w:tabs>
          <w:tab w:val="clear" w:pos="709"/>
          <w:tab w:val="left" w:pos="0" w:leader="none"/>
        </w:tabs>
        <w:spacing w:before="0" w:after="0"/>
        <w:ind w:hanging="283" w:start="1418"/>
        <w:rPr/>
      </w:pPr>
      <w:r>
        <w:rPr/>
        <w:t xml:space="preserve">Recommendation: Add a brief specification (3–4 bullet points) of lock structure. </w:t>
      </w:r>
    </w:p>
    <w:p>
      <w:pPr>
        <w:pStyle w:val="BodyText"/>
        <w:numPr>
          <w:ilvl w:val="0"/>
          <w:numId w:val="30"/>
        </w:numPr>
        <w:tabs>
          <w:tab w:val="clear" w:pos="709"/>
          <w:tab w:val="left" w:pos="0" w:leader="none"/>
        </w:tabs>
        <w:spacing w:before="0" w:after="0"/>
        <w:ind w:hanging="283" w:start="709"/>
        <w:rPr/>
      </w:pPr>
      <w:r>
        <w:rPr>
          <w:rStyle w:val="Strong"/>
        </w:rPr>
        <w:t>Motivation for governance posture is asserted, not demonstrated</w:t>
      </w:r>
      <w:r>
        <w:rPr/>
        <w:t xml:space="preserve"> (Editorial + Reader + Expert) </w:t>
      </w:r>
    </w:p>
    <w:p>
      <w:pPr>
        <w:pStyle w:val="BodyText"/>
        <w:numPr>
          <w:ilvl w:val="1"/>
          <w:numId w:val="30"/>
        </w:numPr>
        <w:tabs>
          <w:tab w:val="clear" w:pos="709"/>
          <w:tab w:val="left" w:pos="0" w:leader="none"/>
        </w:tabs>
        <w:spacing w:before="0" w:after="0"/>
        <w:ind w:hanging="283" w:start="1418"/>
        <w:rPr/>
      </w:pPr>
      <w:r>
        <w:rPr/>
        <w:t xml:space="preserve">The paper states that computing by default is problematic but provides no concrete failure case. </w:t>
      </w:r>
    </w:p>
    <w:p>
      <w:pPr>
        <w:pStyle w:val="BodyText"/>
        <w:numPr>
          <w:ilvl w:val="1"/>
          <w:numId w:val="30"/>
        </w:numPr>
        <w:tabs>
          <w:tab w:val="clear" w:pos="709"/>
          <w:tab w:val="left" w:pos="0" w:leader="none"/>
        </w:tabs>
        <w:ind w:hanging="283" w:start="1418"/>
        <w:rPr/>
      </w:pPr>
      <w:r>
        <w:rPr/>
        <w:t xml:space="preserve">Recommendation: Add one illustrative example (even synthetic) in Section 3. </w:t>
      </w:r>
    </w:p>
    <w:p>
      <w:pPr>
        <w:pStyle w:val="Heading3"/>
        <w:spacing w:lineRule="auto" w:line="276" w:before="0" w:after="140"/>
        <w:rPr>
          <w:sz w:val="24"/>
          <w:szCs w:val="24"/>
        </w:rPr>
      </w:pPr>
      <w:r>
        <w:rPr>
          <w:sz w:val="24"/>
          <w:szCs w:val="24"/>
        </w:rPr>
        <w:t>Issues Flagged by Only One Mode</w:t>
      </w:r>
    </w:p>
    <w:p>
      <w:pPr>
        <w:pStyle w:val="BodyText"/>
        <w:numPr>
          <w:ilvl w:val="0"/>
          <w:numId w:val="31"/>
        </w:numPr>
        <w:tabs>
          <w:tab w:val="clear" w:pos="709"/>
          <w:tab w:val="left" w:pos="0" w:leader="none"/>
        </w:tabs>
        <w:spacing w:before="0" w:after="0"/>
        <w:ind w:hanging="283" w:start="709"/>
        <w:rPr/>
      </w:pPr>
      <w:r>
        <w:rPr>
          <w:rStyle w:val="Strong"/>
        </w:rPr>
        <w:t>Editorial only:</w:t>
      </w:r>
      <w:r>
        <w:rPr/>
        <w:t xml:space="preserve"> Section 7 is redundant. </w:t>
      </w:r>
    </w:p>
    <w:p>
      <w:pPr>
        <w:pStyle w:val="BodyText"/>
        <w:numPr>
          <w:ilvl w:val="0"/>
          <w:numId w:val="31"/>
        </w:numPr>
        <w:tabs>
          <w:tab w:val="clear" w:pos="709"/>
          <w:tab w:val="left" w:pos="0" w:leader="none"/>
        </w:tabs>
        <w:spacing w:before="0" w:after="0"/>
        <w:ind w:hanging="283" w:start="709"/>
        <w:rPr/>
      </w:pPr>
      <w:r>
        <w:rPr>
          <w:rStyle w:val="Strong"/>
        </w:rPr>
        <w:t>Reader only:</w:t>
      </w:r>
      <w:r>
        <w:rPr/>
        <w:t xml:space="preserve"> Lean's necessity is unclear to non-expert readers. </w:t>
      </w:r>
    </w:p>
    <w:p>
      <w:pPr>
        <w:pStyle w:val="BodyText"/>
        <w:numPr>
          <w:ilvl w:val="0"/>
          <w:numId w:val="31"/>
        </w:numPr>
        <w:tabs>
          <w:tab w:val="clear" w:pos="709"/>
          <w:tab w:val="left" w:pos="0" w:leader="none"/>
        </w:tabs>
        <w:ind w:hanging="283" w:start="709"/>
        <w:rPr/>
      </w:pPr>
      <w:r>
        <w:rPr>
          <w:rStyle w:val="Strong"/>
        </w:rPr>
        <w:t>Expert only:</w:t>
      </w:r>
      <w:r>
        <w:rPr/>
        <w:t xml:space="preserve"> No failure mode analysis or integrity enforcement discussion. </w:t>
      </w:r>
    </w:p>
    <w:p>
      <w:pPr>
        <w:pStyle w:val="Heading3"/>
        <w:spacing w:lineRule="auto" w:line="276" w:before="0" w:after="140"/>
        <w:rPr>
          <w:sz w:val="24"/>
          <w:szCs w:val="24"/>
        </w:rPr>
      </w:pPr>
      <w:r>
        <w:rPr>
          <w:sz w:val="24"/>
          <w:szCs w:val="24"/>
        </w:rPr>
        <w:t>False-Positive Check</w:t>
      </w:r>
    </w:p>
    <w:p>
      <w:pPr>
        <w:pStyle w:val="BodyText"/>
        <w:rPr/>
      </w:pPr>
      <w:r>
        <w:rPr>
          <w:rStyle w:val="Strong"/>
        </w:rPr>
        <w:t>Initially considered but rejected:</w:t>
      </w:r>
    </w:p>
    <w:p>
      <w:pPr>
        <w:pStyle w:val="BodyText"/>
        <w:numPr>
          <w:ilvl w:val="0"/>
          <w:numId w:val="32"/>
        </w:numPr>
        <w:tabs>
          <w:tab w:val="clear" w:pos="709"/>
          <w:tab w:val="left" w:pos="0" w:leader="none"/>
        </w:tabs>
        <w:spacing w:before="0" w:after="0"/>
        <w:ind w:hanging="283" w:start="709"/>
        <w:rPr/>
      </w:pPr>
      <w:r>
        <w:rPr>
          <w:rStyle w:val="Strong"/>
        </w:rPr>
        <w:t>"No empirical results."</w:t>
      </w:r>
      <w:r>
        <w:rPr/>
        <w:t xml:space="preserve"> The paper explicitly disclaims empirical contributions (abstract, Section 1, Section 9). Demanding benchmark data or case study outcomes would be inconsistent with the stated scope. </w:t>
      </w:r>
    </w:p>
    <w:p>
      <w:pPr>
        <w:pStyle w:val="BodyText"/>
        <w:numPr>
          <w:ilvl w:val="0"/>
          <w:numId w:val="32"/>
        </w:numPr>
        <w:tabs>
          <w:tab w:val="clear" w:pos="709"/>
          <w:tab w:val="left" w:pos="0" w:leader="none"/>
        </w:tabs>
        <w:spacing w:before="0" w:after="0"/>
        <w:ind w:hanging="283" w:start="709"/>
        <w:rPr/>
      </w:pPr>
      <w:r>
        <w:rPr>
          <w:rStyle w:val="Strong"/>
        </w:rPr>
        <w:t>"Admissibility predicates are abstract."</w:t>
      </w:r>
      <w:r>
        <w:rPr/>
        <w:t xml:space="preserve"> This is intentional (Section 4.1: "intentionally left venue- and domain-independent"). The contribution is the enforcement pattern, not the semantics of gates. </w:t>
      </w:r>
    </w:p>
    <w:p>
      <w:pPr>
        <w:pStyle w:val="BodyText"/>
        <w:numPr>
          <w:ilvl w:val="0"/>
          <w:numId w:val="32"/>
        </w:numPr>
        <w:tabs>
          <w:tab w:val="clear" w:pos="709"/>
          <w:tab w:val="left" w:pos="0" w:leader="none"/>
        </w:tabs>
        <w:spacing w:before="0" w:after="0"/>
        <w:ind w:hanging="283" w:start="709"/>
        <w:rPr/>
      </w:pPr>
      <w:r>
        <w:rPr>
          <w:rStyle w:val="Strong"/>
        </w:rPr>
        <w:t>"No comparison to prior governance systems."</w:t>
      </w:r>
      <w:r>
        <w:rPr/>
        <w:t xml:space="preserve"> Section 2 positions this work relative to reproducible workflows, provenance systems, and policy-as-code. A detailed comparison table is not required for a methods paper. </w:t>
      </w:r>
    </w:p>
    <w:p>
      <w:pPr>
        <w:pStyle w:val="BodyText"/>
        <w:numPr>
          <w:ilvl w:val="0"/>
          <w:numId w:val="32"/>
        </w:numPr>
        <w:tabs>
          <w:tab w:val="clear" w:pos="709"/>
          <w:tab w:val="left" w:pos="0" w:leader="none"/>
        </w:tabs>
        <w:ind w:hanging="283" w:start="709"/>
        <w:rPr/>
      </w:pPr>
      <w:r>
        <w:rPr>
          <w:rStyle w:val="Strong"/>
        </w:rPr>
        <w:t>"Lean is overengineered."</w:t>
      </w:r>
      <w:r>
        <w:rPr/>
        <w:t xml:space="preserve"> The choice is justified (type-checking, deterministic manifest generation). Whether simpler alternatives exist is a valid question but not a blocking issue. </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SUBMISSION READINESS JUDGMENT</w:t>
      </w:r>
    </w:p>
    <w:p>
      <w:pPr>
        <w:pStyle w:val="BodyText"/>
        <w:rPr/>
      </w:pPr>
      <w:r>
        <w:rPr>
          <w:rStyle w:val="Strong"/>
        </w:rPr>
        <w:t>Status:</w:t>
      </w:r>
      <w:r>
        <w:rPr/>
        <w:t xml:space="preserve"> </w:t>
      </w:r>
      <w:r>
        <w:rPr>
          <w:rStyle w:val="Strong"/>
        </w:rPr>
        <w:t>Ready with minor editorial cleanup.</w:t>
      </w:r>
    </w:p>
    <w:p>
      <w:pPr>
        <w:pStyle w:val="BodyText"/>
        <w:rPr/>
      </w:pPr>
      <w:r>
        <w:rPr>
          <w:rStyle w:val="Strong"/>
        </w:rPr>
        <w:t>Justification:</w:t>
      </w:r>
    </w:p>
    <w:p>
      <w:pPr>
        <w:pStyle w:val="BodyText"/>
        <w:rPr/>
      </w:pPr>
      <w:r>
        <w:rPr/>
        <w:t>The manuscript presents a coherent, scoped contribution: a deterministic pipeline architecture that enforces epistemic governance by emitting auditable blocked outcomes when comparisons are not authorized. The core claims are supported by the text, and the technical architecture is sound.</w:t>
      </w:r>
    </w:p>
    <w:p>
      <w:pPr>
        <w:pStyle w:val="BodyText"/>
        <w:rPr/>
      </w:pPr>
      <w:r>
        <w:rPr/>
        <w:t>However, the paper exhibits three correctable issues:</w:t>
      </w:r>
    </w:p>
    <w:p>
      <w:pPr>
        <w:pStyle w:val="BodyText"/>
        <w:numPr>
          <w:ilvl w:val="0"/>
          <w:numId w:val="33"/>
        </w:numPr>
        <w:tabs>
          <w:tab w:val="clear" w:pos="709"/>
          <w:tab w:val="left" w:pos="0" w:leader="none"/>
        </w:tabs>
        <w:spacing w:before="0" w:after="0"/>
        <w:ind w:hanging="283" w:start="709"/>
        <w:rPr/>
      </w:pPr>
      <w:r>
        <w:rPr>
          <w:rStyle w:val="Strong"/>
        </w:rPr>
        <w:t>Cognitive burden from defensive framing.</w:t>
      </w:r>
      <w:r>
        <w:rPr/>
        <w:t xml:space="preserve"> Repeated scoping disclaimers and repository-agnostic assurances suggest the manuscript is responding to unstated criticisms. These should be consolidated or removed. </w:t>
      </w:r>
    </w:p>
    <w:p>
      <w:pPr>
        <w:pStyle w:val="BodyText"/>
        <w:numPr>
          <w:ilvl w:val="0"/>
          <w:numId w:val="33"/>
        </w:numPr>
        <w:tabs>
          <w:tab w:val="clear" w:pos="709"/>
          <w:tab w:val="left" w:pos="0" w:leader="none"/>
        </w:tabs>
        <w:spacing w:before="0" w:after="0"/>
        <w:ind w:hanging="283" w:start="709"/>
        <w:rPr/>
      </w:pPr>
      <w:r>
        <w:rPr>
          <w:rStyle w:val="Strong"/>
        </w:rPr>
        <w:t>Artifact introduction precedes motivation.</w:t>
      </w:r>
      <w:r>
        <w:rPr/>
        <w:t xml:space="preserve"> Section 4.2 lists evidence artifacts before the reader understands what they evidence. Reordering governance invariants before artifact enumeration would improve clarity. </w:t>
      </w:r>
    </w:p>
    <w:p>
      <w:pPr>
        <w:pStyle w:val="BodyText"/>
        <w:numPr>
          <w:ilvl w:val="0"/>
          <w:numId w:val="33"/>
        </w:numPr>
        <w:tabs>
          <w:tab w:val="clear" w:pos="709"/>
          <w:tab w:val="left" w:pos="0" w:leader="none"/>
        </w:tabs>
        <w:ind w:hanging="283" w:start="709"/>
        <w:rPr/>
      </w:pPr>
      <w:r>
        <w:rPr>
          <w:rStyle w:val="Strong"/>
        </w:rPr>
        <w:t>Blocked outcome structure is underspecified.</w:t>
      </w:r>
      <w:r>
        <w:rPr/>
        <w:t xml:space="preserve"> The paper claims auditability but does not define what a blocked outcome contains. A brief specification (4–5 sentences) is needed. </w:t>
      </w:r>
    </w:p>
    <w:p>
      <w:pPr>
        <w:pStyle w:val="BodyText"/>
        <w:rPr/>
      </w:pPr>
      <w:r>
        <w:rPr>
          <w:rStyle w:val="Strong"/>
        </w:rPr>
        <w:t>Recommended revisions (non-blocking):</w:t>
      </w:r>
    </w:p>
    <w:p>
      <w:pPr>
        <w:pStyle w:val="BodyText"/>
        <w:numPr>
          <w:ilvl w:val="0"/>
          <w:numId w:val="34"/>
        </w:numPr>
        <w:tabs>
          <w:tab w:val="clear" w:pos="709"/>
          <w:tab w:val="left" w:pos="0" w:leader="none"/>
        </w:tabs>
        <w:spacing w:before="0" w:after="0"/>
        <w:ind w:hanging="283" w:start="709"/>
        <w:rPr/>
      </w:pPr>
      <w:r>
        <w:rPr/>
        <w:t xml:space="preserve">Consolidate scope statements into Section 1; remove from Sections 7, 9, and conclusion. </w:t>
      </w:r>
    </w:p>
    <w:p>
      <w:pPr>
        <w:pStyle w:val="BodyText"/>
        <w:numPr>
          <w:ilvl w:val="0"/>
          <w:numId w:val="34"/>
        </w:numPr>
        <w:tabs>
          <w:tab w:val="clear" w:pos="709"/>
          <w:tab w:val="left" w:pos="0" w:leader="none"/>
        </w:tabs>
        <w:spacing w:before="0" w:after="0"/>
        <w:ind w:hanging="283" w:start="709"/>
        <w:rPr/>
      </w:pPr>
      <w:r>
        <w:rPr/>
        <w:t xml:space="preserve">Add one illustrative example (even synthetic) in Section 3 showing when the system would block. </w:t>
      </w:r>
    </w:p>
    <w:p>
      <w:pPr>
        <w:pStyle w:val="BodyText"/>
        <w:numPr>
          <w:ilvl w:val="0"/>
          <w:numId w:val="34"/>
        </w:numPr>
        <w:tabs>
          <w:tab w:val="clear" w:pos="709"/>
          <w:tab w:val="left" w:pos="0" w:leader="none"/>
        </w:tabs>
        <w:spacing w:before="0" w:after="0"/>
        <w:ind w:hanging="283" w:start="709"/>
        <w:rPr/>
      </w:pPr>
      <w:r>
        <w:rPr/>
        <w:t xml:space="preserve">Define "explicit blockers" structure in Section 3 or 5. </w:t>
      </w:r>
    </w:p>
    <w:p>
      <w:pPr>
        <w:pStyle w:val="BodyText"/>
        <w:numPr>
          <w:ilvl w:val="0"/>
          <w:numId w:val="34"/>
        </w:numPr>
        <w:tabs>
          <w:tab w:val="clear" w:pos="709"/>
          <w:tab w:val="left" w:pos="0" w:leader="none"/>
        </w:tabs>
        <w:spacing w:before="0" w:after="0"/>
        <w:ind w:hanging="283" w:start="709"/>
        <w:rPr/>
      </w:pPr>
      <w:r>
        <w:rPr/>
        <w:t xml:space="preserve">Remove or significantly shorten Section 7. </w:t>
      </w:r>
    </w:p>
    <w:p>
      <w:pPr>
        <w:pStyle w:val="BodyText"/>
        <w:numPr>
          <w:ilvl w:val="0"/>
          <w:numId w:val="34"/>
        </w:numPr>
        <w:tabs>
          <w:tab w:val="clear" w:pos="709"/>
          <w:tab w:val="left" w:pos="0" w:leader="none"/>
        </w:tabs>
        <w:ind w:hanging="283" w:start="709"/>
        <w:rPr/>
      </w:pPr>
      <w:r>
        <w:rPr/>
        <w:t xml:space="preserve">Clarify manifest validation semantics in Section 4.1. </w:t>
      </w:r>
    </w:p>
    <w:p>
      <w:pPr>
        <w:pStyle w:val="BodyText"/>
        <w:rPr/>
      </w:pPr>
      <w:r>
        <w:rPr/>
        <w:t>None of these require new claims, new experiments, or structural overhaul. They are editorial improvements to reduce reader friction and strengthen auditability claims.</w:t>
      </w:r>
    </w:p>
    <w:p>
      <w:pPr>
        <w:pStyle w:val="BodyText"/>
        <w:bidi w:val="0"/>
        <w:spacing w:lineRule="auto" w:line="276" w:before="0" w:after="140"/>
        <w:jc w:val="start"/>
        <w:rPr/>
      </w:pPr>
      <w:r>
        <w:rPr/>
      </w:r>
    </w:p>
    <w:sectPr>
      <w:type w:val="continuous"/>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Google Sans">
    <w:altName w:val="sans-serif"/>
    <w:charset w:val="00" w:characterSet="windows-1252"/>
    <w:family w:val="auto"/>
    <w:pitch w:val="default"/>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val="bestFit" w:percent="8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itle">
    <w:name w:val="Title"/>
    <w:basedOn w:val="Heading"/>
    <w:next w:val="BodyText"/>
    <w:qFormat/>
    <w:pPr>
      <w:jc w:val="center"/>
    </w:pPr>
    <w:rPr>
      <w:b/>
      <w:bCs/>
      <w:sz w:val="56"/>
      <w:szCs w:val="56"/>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LibreOffice/25.8.4.2$Windows_X86_64 LibreOffice_project/290daaa01b999472f0c7a3890eb6a550fd74c6df</Application>
  <AppVersion>15.0000</AppVersion>
  <Pages>13</Pages>
  <Words>3967</Words>
  <Characters>24674</Characters>
  <CharactersWithSpaces>28372</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2026-01-25T14:40:41Z</dcterms:created>
  <dc:creator/>
  <dc:description/>
  <dc:language>en-US</dc:language>
  <cp:lastModifiedBy/>
  <dcterms:modified xsi:type="dcterms:W3CDTF">2026-01-25T16:08:16Z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