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7D3372"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Pr="007D3372">
                      <w:rPr>
                        <w:rFonts w:ascii="Verdana" w:eastAsia="Times New Roman" w:hAnsi="Verdana" w:cs="Times New Roman"/>
                        <w:color w:val="0000FF"/>
                        <w:sz w:val="17"/>
                        <w:szCs w:val="17"/>
                      </w:rPr>
                      <w:t>1 Terminal 1</w:t>
                    </w:r>
                  </w:hyperlink>
                </w:p>
                <w:p w:rsidR="007D3372" w:rsidRPr="007D3372" w:rsidRDefault="007D3372"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Pr="007D3372">
                      <w:rPr>
                        <w:rFonts w:ascii="Verdana" w:eastAsia="Times New Roman" w:hAnsi="Verdana" w:cs="Times New Roman"/>
                        <w:color w:val="0000FF"/>
                        <w:sz w:val="17"/>
                        <w:szCs w:val="17"/>
                      </w:rPr>
                      <w:t>2 Showing the Text</w:t>
                    </w:r>
                  </w:hyperlink>
                </w:p>
                <w:p w:rsidR="007D3372" w:rsidRPr="007D3372" w:rsidRDefault="007D3372"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Pr="007D3372">
                      <w:rPr>
                        <w:rFonts w:ascii="Verdana" w:eastAsia="Times New Roman" w:hAnsi="Verdana" w:cs="Times New Roman"/>
                        <w:color w:val="0000FF"/>
                        <w:sz w:val="17"/>
                        <w:szCs w:val="17"/>
                      </w:rPr>
                      <w:t>3 Printing Lines</w:t>
                    </w:r>
                  </w:hyperlink>
                </w:p>
                <w:p w:rsidR="007D3372" w:rsidRPr="007D3372" w:rsidRDefault="007D3372"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Pr="007D3372">
                      <w:rPr>
                        <w:rFonts w:ascii="Verdana" w:eastAsia="Times New Roman" w:hAnsi="Verdana" w:cs="Times New Roman"/>
                        <w:color w:val="0000FF"/>
                        <w:sz w:val="17"/>
                        <w:szCs w:val="17"/>
                      </w:rPr>
                      <w:t>4 Standard Input</w:t>
                    </w:r>
                  </w:hyperlink>
                </w:p>
                <w:p w:rsidR="007D3372" w:rsidRPr="007D3372" w:rsidRDefault="007D3372"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back to the beginning if it does. Circular buffers are a </w:t>
            </w:r>
            <w:r w:rsidRPr="007D3372">
              <w:rPr>
                <w:rFonts w:ascii="Verdana" w:eastAsia="Times New Roman" w:hAnsi="Verdana" w:cs="Times New Roman"/>
                <w:color w:val="333333"/>
                <w:sz w:val="18"/>
                <w:szCs w:val="18"/>
                <w:lang w:val="en"/>
              </w:rPr>
              <w:lastRenderedPageBreak/>
              <w:t>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code brings everything together into a simple command line operating system. The 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bookmarkStart w:id="0" w:name="_GoBack"/>
            <w:bookmarkEnd w:id="0"/>
          </w:p>
        </w:tc>
        <w:tc>
          <w:tcPr>
            <w:tcW w:w="4315" w:type="dxa"/>
          </w:tcPr>
          <w:p w:rsidR="007D3372" w:rsidRDefault="007D337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2E5668"/>
    <w:rsid w:val="007D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3950</Words>
  <Characters>22517</Characters>
  <Application>Microsoft Office Word</Application>
  <DocSecurity>0</DocSecurity>
  <Lines>187</Lines>
  <Paragraphs>52</Paragraphs>
  <ScaleCrop>false</ScaleCrop>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2017-01-25T11:27:00Z</dcterms:created>
  <dcterms:modified xsi:type="dcterms:W3CDTF">2017-01-25T11:28:00Z</dcterms:modified>
</cp:coreProperties>
</file>