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Arial" w:cs="Arial" w:eastAsia="Arial" w:hAnsi="Arial"/>
          <w:b/>
          <w:bCs/>
          <w:color w:val="0D7377"/>
          <w:sz w:val="52"/>
          <w:szCs w:val="52"/>
        </w:rPr>
        <w:t xml:space="preserve">Sales Call Performance Report</w:t>
      </w:r>
    </w:p>
    <w:p>
      <w:pPr>
        <w:spacing w:after="240" w:before="0"/>
      </w:pPr>
      <w:r>
        <w:rPr>
          <w:rFonts w:ascii="Arial" w:cs="Arial" w:eastAsia="Arial" w:hAnsi="Arial"/>
          <w:color w:val="666666"/>
          <w:sz w:val="22"/>
          <w:szCs w:val="22"/>
        </w:rPr>
        <w:t xml:space="preserve">Rob Gorham  •  Testsigma  •  Generated March 6, 2026</w:t>
      </w:r>
    </w:p>
    <w:p>
      <w:pPr>
        <w:pStyle w:val="Heading1"/>
        <w:spacing w:after="160" w:before="320"/>
      </w:pPr>
      <w:r>
        <w:rPr>
          <w:rFonts w:ascii="Arial" w:cs="Arial" w:eastAsia="Arial" w:hAnsi="Arial"/>
          <w:b/>
          <w:bCs/>
          <w:color w:val="0D7377"/>
          <w:sz w:val="36"/>
          <w:szCs w:val="36"/>
        </w:rPr>
        <w:t xml:space="preserve">Executive Summary</w:t>
      </w:r>
    </w:p>
    <w:p>
      <w:pPr>
        <w:spacing w:after="80" w:before="80"/>
      </w:pPr>
      <w:r>
        <w:rPr>
          <w:rFonts w:ascii="Arial" w:cs="Arial" w:eastAsia="Arial" w:hAnsi="Arial"/>
          <w:color w:val="1A1A1A"/>
          <w:sz w:val="22"/>
          <w:szCs w:val="22"/>
        </w:rPr>
        <w:t xml:space="preserve">This report analyzes Rob’s outbound sales performance at Testsigma using data pulled from Gong call recordings, Apollo activity data, and Gmail. The analysis covers the period from late January through early March 2026 and focuses on calls where Rob was the primary host or lead contact. Key findings: Rob is building a solid discovery and demo capability, with one deal successfully progressed from a cold intro to $50K qualified in under a week. The most significant coaching flag from Gong is a below-range patience score, indicating Rob responds too quickly without letting prospects fully complete their thoughts. Apollo activity data also reveals a large task backlog and multiple missed inbound calls that represent unrealized pipeline.</w:t>
      </w:r>
    </w:p>
    <w:p>
      <w:pPr>
        <w:spacing w:after="80" w:before="0"/>
      </w:pPr>
      <w:r>
        <w:t xml:space="preserve"/>
      </w:r>
    </w:p>
    <w:p>
      <w:pPr>
        <w:pStyle w:val="Heading1"/>
        <w:spacing w:after="160" w:before="320"/>
      </w:pPr>
      <w:r>
        <w:rPr>
          <w:rFonts w:ascii="Arial" w:cs="Arial" w:eastAsia="Arial" w:hAnsi="Arial"/>
          <w:b/>
          <w:bCs/>
          <w:color w:val="0D7377"/>
          <w:sz w:val="36"/>
          <w:szCs w:val="36"/>
        </w:rPr>
        <w:t xml:space="preserve">Key Activity Statistics</w:t>
      </w:r>
    </w:p>
    <w:p>
      <w:pPr>
        <w:pStyle w:val="Heading2"/>
        <w:spacing w:after="120" w:before="240"/>
      </w:pPr>
      <w:r>
        <w:rPr>
          <w:rFonts w:ascii="Arial" w:cs="Arial" w:eastAsia="Arial" w:hAnsi="Arial"/>
          <w:b/>
          <w:bCs/>
          <w:color w:val="1A1A1A"/>
          <w:sz w:val="26"/>
          <w:szCs w:val="26"/>
        </w:rPr>
        <w:t xml:space="preserve">Apollo Outbound Activity (as of March 6, 2026)</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vAlign w:val="center"/>
          </w:tcPr>
          <w:p>
            <w:pPr>
              <w:jc w:val="center"/>
            </w:pPr>
            <w:r>
              <w:rPr>
                <w:rFonts w:ascii="Arial" w:cs="Arial" w:eastAsia="Arial" w:hAnsi="Arial"/>
                <w:b/>
                <w:bCs/>
                <w:color w:val="0D7377"/>
                <w:sz w:val="52"/>
                <w:szCs w:val="52"/>
              </w:rPr>
              <w:t xml:space="preserve">255</w:t>
            </w:r>
          </w:p>
          <w:p>
            <w:pPr>
              <w:jc w:val="center"/>
            </w:pPr>
            <w:r>
              <w:rPr>
                <w:rFonts w:ascii="Arial" w:cs="Arial" w:eastAsia="Arial" w:hAnsi="Arial"/>
                <w:b/>
                <w:bCs/>
                <w:color w:val="1A1A1A"/>
                <w:sz w:val="20"/>
                <w:szCs w:val="20"/>
              </w:rPr>
              <w:t xml:space="preserve">Tasks Due</w:t>
            </w:r>
          </w:p>
          <w:p>
            <w:pPr>
              <w:jc w:val="center"/>
            </w:pPr>
            <w:r>
              <w:rPr>
                <w:rFonts w:ascii="Arial" w:cs="Arial" w:eastAsia="Arial" w:hAnsi="Arial"/>
                <w:color w:val="666666"/>
                <w:sz w:val="18"/>
                <w:szCs w:val="18"/>
              </w:rPr>
              <w:t xml:space="preserve">High backlog — needs clearing</w:t>
            </w:r>
          </w:p>
        </w:tc>
        <w:tc>
          <w:tcPr>
            <w:tcW w:type="dxa" w:w="31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vAlign w:val="center"/>
          </w:tcPr>
          <w:p>
            <w:pPr>
              <w:jc w:val="center"/>
            </w:pPr>
            <w:r>
              <w:rPr>
                <w:rFonts w:ascii="Arial" w:cs="Arial" w:eastAsia="Arial" w:hAnsi="Arial"/>
                <w:b/>
                <w:bCs/>
                <w:color w:val="0D7377"/>
                <w:sz w:val="52"/>
                <w:szCs w:val="52"/>
              </w:rPr>
              <w:t xml:space="preserve">3+</w:t>
            </w:r>
          </w:p>
          <w:p>
            <w:pPr>
              <w:jc w:val="center"/>
            </w:pPr>
            <w:r>
              <w:rPr>
                <w:rFonts w:ascii="Arial" w:cs="Arial" w:eastAsia="Arial" w:hAnsi="Arial"/>
                <w:b/>
                <w:bCs/>
                <w:color w:val="1A1A1A"/>
                <w:sz w:val="20"/>
                <w:szCs w:val="20"/>
              </w:rPr>
              <w:t xml:space="preserve">Missed Inbound Calls</w:t>
            </w:r>
          </w:p>
          <w:p>
            <w:pPr>
              <w:jc w:val="center"/>
            </w:pPr>
            <w:r>
              <w:rPr>
                <w:rFonts w:ascii="Arial" w:cs="Arial" w:eastAsia="Arial" w:hAnsi="Arial"/>
                <w:color w:val="666666"/>
                <w:sz w:val="18"/>
                <w:szCs w:val="18"/>
              </w:rPr>
              <w:t xml:space="preserve">Past 2 weeks</w:t>
            </w:r>
          </w:p>
        </w:tc>
        <w:tc>
          <w:tcPr>
            <w:tcW w:type="dxa" w:w="31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vAlign w:val="center"/>
          </w:tcPr>
          <w:p>
            <w:pPr>
              <w:jc w:val="center"/>
            </w:pPr>
            <w:r>
              <w:rPr>
                <w:rFonts w:ascii="Arial" w:cs="Arial" w:eastAsia="Arial" w:hAnsi="Arial"/>
                <w:b/>
                <w:bCs/>
                <w:color w:val="0D7377"/>
                <w:sz w:val="52"/>
                <w:szCs w:val="52"/>
              </w:rPr>
              <w:t xml:space="preserve">250+</w:t>
            </w:r>
          </w:p>
          <w:p>
            <w:pPr>
              <w:jc w:val="center"/>
            </w:pPr>
            <w:r>
              <w:rPr>
                <w:rFonts w:ascii="Arial" w:cs="Arial" w:eastAsia="Arial" w:hAnsi="Arial"/>
                <w:b/>
                <w:bCs/>
                <w:color w:val="1A1A1A"/>
                <w:sz w:val="20"/>
                <w:szCs w:val="20"/>
              </w:rPr>
              <w:t xml:space="preserve">Avg Daily Tasks</w:t>
            </w:r>
          </w:p>
          <w:p>
            <w:pPr>
              <w:jc w:val="center"/>
            </w:pPr>
            <w:r>
              <w:rPr>
                <w:rFonts w:ascii="Arial" w:cs="Arial" w:eastAsia="Arial" w:hAnsi="Arial"/>
                <w:color w:val="666666"/>
                <w:sz w:val="18"/>
                <w:szCs w:val="18"/>
              </w:rPr>
              <w:t xml:space="preserve">Consistent all week</w:t>
            </w:r>
          </w:p>
        </w:tc>
      </w:tr>
    </w:tbl>
    <w:p>
      <w:pPr>
        <w:spacing w:after="80" w:before="0"/>
      </w:pPr>
      <w:r>
        <w:t xml:space="preserve"/>
      </w:r>
    </w:p>
    <w:p>
      <w:pPr>
        <w:spacing w:after="80" w:before="80"/>
      </w:pPr>
      <w:r>
        <w:rPr>
          <w:rFonts w:ascii="Arial" w:cs="Arial" w:eastAsia="Arial" w:hAnsi="Arial"/>
          <w:color w:val="1A1A1A"/>
          <w:sz w:val="22"/>
          <w:szCs w:val="22"/>
        </w:rPr>
        <w:t xml:space="preserve">Rob’s Apollo sequences are targeting the right personas — QA Directors, Directors of Quality Engineering, QA Managers, and Engineering Managers at mid-to-large enterprise companies including Fidelity, Adobe, Humana, Drata, ConnectWise, and TELUS. The volume of 250+ tasks sitting due at any point is a signal that the cadence may need to be managed more actively to prevent leads from going stale.</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Gong-Tracked Pipeline (Jan – Mar 2026)</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vAlign w:val="center"/>
          </w:tcPr>
          <w:p>
            <w:pPr>
              <w:jc w:val="center"/>
            </w:pPr>
            <w:r>
              <w:rPr>
                <w:rFonts w:ascii="Arial" w:cs="Arial" w:eastAsia="Arial" w:hAnsi="Arial"/>
                <w:b/>
                <w:bCs/>
                <w:color w:val="0D7377"/>
                <w:sz w:val="52"/>
                <w:szCs w:val="52"/>
              </w:rPr>
              <w:t xml:space="preserve">6+</w:t>
            </w:r>
          </w:p>
          <w:p>
            <w:pPr>
              <w:jc w:val="center"/>
            </w:pPr>
            <w:r>
              <w:rPr>
                <w:rFonts w:ascii="Arial" w:cs="Arial" w:eastAsia="Arial" w:hAnsi="Arial"/>
                <w:b/>
                <w:bCs/>
                <w:color w:val="1A1A1A"/>
                <w:sz w:val="20"/>
                <w:szCs w:val="20"/>
              </w:rPr>
              <w:t xml:space="preserve">Active Deals</w:t>
            </w:r>
          </w:p>
          <w:p>
            <w:pPr>
              <w:jc w:val="center"/>
            </w:pPr>
            <w:r>
              <w:rPr>
                <w:rFonts w:ascii="Arial" w:cs="Arial" w:eastAsia="Arial" w:hAnsi="Arial"/>
                <w:color w:val="666666"/>
                <w:sz w:val="18"/>
                <w:szCs w:val="18"/>
              </w:rPr>
              <w:t xml:space="preserve">In Gong pipeline</w:t>
            </w:r>
          </w:p>
        </w:tc>
        <w:tc>
          <w:tcPr>
            <w:tcW w:type="dxa" w:w="31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vAlign w:val="center"/>
          </w:tcPr>
          <w:p>
            <w:pPr>
              <w:jc w:val="center"/>
            </w:pPr>
            <w:r>
              <w:rPr>
                <w:rFonts w:ascii="Arial" w:cs="Arial" w:eastAsia="Arial" w:hAnsi="Arial"/>
                <w:b/>
                <w:bCs/>
                <w:color w:val="0D7377"/>
                <w:sz w:val="52"/>
                <w:szCs w:val="52"/>
              </w:rPr>
              <w:t xml:space="preserve">$50K</w:t>
            </w:r>
          </w:p>
          <w:p>
            <w:pPr>
              <w:jc w:val="center"/>
            </w:pPr>
            <w:r>
              <w:rPr>
                <w:rFonts w:ascii="Arial" w:cs="Arial" w:eastAsia="Arial" w:hAnsi="Arial"/>
                <w:b/>
                <w:bCs/>
                <w:color w:val="1A1A1A"/>
                <w:sz w:val="20"/>
                <w:szCs w:val="20"/>
              </w:rPr>
              <w:t xml:space="preserve">Qualified Pipeline</w:t>
            </w:r>
          </w:p>
          <w:p>
            <w:pPr>
              <w:jc w:val="center"/>
            </w:pPr>
            <w:r>
              <w:rPr>
                <w:rFonts w:ascii="Arial" w:cs="Arial" w:eastAsia="Arial" w:hAnsi="Arial"/>
                <w:color w:val="666666"/>
                <w:sz w:val="18"/>
                <w:szCs w:val="18"/>
              </w:rPr>
              <w:t xml:space="preserve">Lexia Learning</w:t>
            </w:r>
          </w:p>
        </w:tc>
        <w:tc>
          <w:tcPr>
            <w:tcW w:type="dxa" w:w="31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vAlign w:val="center"/>
          </w:tcPr>
          <w:p>
            <w:pPr>
              <w:jc w:val="center"/>
            </w:pPr>
            <w:r>
              <w:rPr>
                <w:rFonts w:ascii="Arial" w:cs="Arial" w:eastAsia="Arial" w:hAnsi="Arial"/>
                <w:b/>
                <w:bCs/>
                <w:color w:val="0D7377"/>
                <w:sz w:val="52"/>
                <w:szCs w:val="52"/>
              </w:rPr>
              <w:t xml:space="preserve">2</w:t>
            </w:r>
          </w:p>
          <w:p>
            <w:pPr>
              <w:jc w:val="center"/>
            </w:pPr>
            <w:r>
              <w:rPr>
                <w:rFonts w:ascii="Arial" w:cs="Arial" w:eastAsia="Arial" w:hAnsi="Arial"/>
                <w:b/>
                <w:bCs/>
                <w:color w:val="1A1A1A"/>
                <w:sz w:val="20"/>
                <w:szCs w:val="20"/>
              </w:rPr>
              <w:t xml:space="preserve">Calls Hosted by Rob</w:t>
            </w:r>
          </w:p>
          <w:p>
            <w:pPr>
              <w:jc w:val="center"/>
            </w:pPr>
            <w:r>
              <w:rPr>
                <w:rFonts w:ascii="Arial" w:cs="Arial" w:eastAsia="Arial" w:hAnsi="Arial"/>
                <w:color w:val="666666"/>
                <w:sz w:val="18"/>
                <w:szCs w:val="18"/>
              </w:rPr>
              <w:t xml:space="preserve">Recorded by Gong</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Pipeline Deal Summary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600"/>
        <w:gridCol w:w="1560"/>
      </w:tblGrid>
      <w:tr>
        <w:tc>
          <w:tcPr>
            <w:tcW w:type="dxa" w:w="2600"/>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Account</w:t>
            </w:r>
          </w:p>
        </w:tc>
        <w:tc>
          <w:tcPr>
            <w:tcW w:type="dxa" w:w="1800"/>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800"/>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1600"/>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Close Date</w:t>
            </w:r>
          </w:p>
        </w:tc>
        <w:tc>
          <w:tcPr>
            <w:tcW w:type="dxa" w:w="1560"/>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Rob’s Role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Lexia Learning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Qualified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May 29, 2026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Lead AE / Host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Mastercard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Discovery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$0 (TBD)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Mar 31, 2026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Nokia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Discovery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~$50K est.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 31, 2026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Host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BlackRock 2026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Demo Completed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$0 (TBD)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Dec 31, 2026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Attendee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TruStage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Discovery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 (TBD)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TBD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Host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QNE Software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Discovery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$0 (TBD)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Sep 1, 2026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Host</w:t>
            </w:r>
          </w:p>
        </w:tc>
      </w:tr>
    </w:tbl>
    <w:p>
      <w:pPr>
        <w:spacing w:after="80" w:before="0"/>
      </w:pPr>
      <w:r>
        <w:t xml:space="preserve"/>
      </w:r>
    </w:p>
    <w:p>
      <w:pPr>
        <w:pStyle w:val="Heading1"/>
        <w:spacing w:after="160" w:before="320"/>
      </w:pPr>
      <w:r>
        <w:rPr>
          <w:rFonts w:ascii="Arial" w:cs="Arial" w:eastAsia="Arial" w:hAnsi="Arial"/>
          <w:b/>
          <w:bCs/>
          <w:color w:val="0D7377"/>
          <w:sz w:val="36"/>
          <w:szCs w:val="36"/>
        </w:rPr>
        <w:t xml:space="preserve">Call-by-Call Analysis</w:t>
      </w:r>
    </w:p>
    <w:p>
      <w:pPr>
        <w:spacing w:after="80" w:before="80"/>
      </w:pPr>
      <w:r>
        <w:rPr>
          <w:rFonts w:ascii="Arial" w:cs="Arial" w:eastAsia="Arial" w:hAnsi="Arial"/>
          <w:color w:val="1A1A1A"/>
          <w:sz w:val="22"/>
          <w:szCs w:val="22"/>
        </w:rPr>
        <w:t xml:space="preserve">The following is a breakdown of the external calls where Rob was the primary host, based on Gong recordings received in Gmail.</w:t>
      </w:r>
    </w:p>
    <w:p>
      <w:pPr>
        <w:spacing w:after="40" w:before="0"/>
      </w:pPr>
      <w:r>
        <w:t xml:space="preserve"/>
      </w:r>
    </w:p>
    <w:p>
      <w:pPr>
        <w:pStyle w:val="Heading3"/>
        <w:spacing w:after="80" w:before="180"/>
      </w:pPr>
      <w:r>
        <w:rPr>
          <w:rFonts w:ascii="Arial" w:cs="Arial" w:eastAsia="Arial" w:hAnsi="Arial"/>
          <w:b/>
          <w:bCs/>
          <w:color w:val="0D7377"/>
          <w:sz w:val="24"/>
          <w:szCs w:val="24"/>
        </w:rPr>
        <w:t xml:space="preserve">Call 1 — Intro Call with Joe Casale (Lexia Learning)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February 26, 2026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Duration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7 minutes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Company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Lexia Learning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Contact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Joe Casale — Sr. Director of Quality Assurance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Deal Stage at Time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Discovery ($0)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Rob’s Role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Solo Host</w:t>
            </w:r>
          </w:p>
        </w:tc>
      </w:tr>
    </w:tbl>
    <w:p>
      <w:pPr>
        <w:spacing w:after="80" w:before="0"/>
      </w:pPr>
      <w:r>
        <w:t xml:space="preserve"/>
      </w:r>
    </w:p>
    <w:p>
      <w:pPr>
        <w:spacing w:after="80" w:before="80"/>
      </w:pPr>
      <w:r>
        <w:rPr>
          <w:rFonts w:ascii="Arial" w:cs="Arial" w:eastAsia="Arial" w:hAnsi="Arial"/>
          <w:b/>
          <w:bCs/>
          <w:color w:val="0D7377"/>
          <w:sz w:val="22"/>
          <w:szCs w:val="22"/>
        </w:rPr>
        <w:t xml:space="preserve">What went well: </w:t>
      </w:r>
      <w:r>
        <w:rPr>
          <w:rFonts w:ascii="Arial" w:cs="Arial" w:eastAsia="Arial" w:hAnsi="Arial"/>
          <w:color w:val="1A1A1A"/>
          <w:sz w:val="22"/>
          <w:szCs w:val="22"/>
        </w:rPr>
        <w:t xml:space="preserve">Rob ran an efficient 7-minute discovery call that uncovered exactly the right information. In under 7 minutes he surfaced the pain (need for AI-driven test case generation from Jira/Figma, replacing Selenium/Cucumber), the competitive landscape (BrowserStack and Tricentis), the prospect’s tech stack, decision timeline (one month), team size (20 users vs. 500 Jira license concern), and secured a next step (demo the following day at 1pm EST). The 5 defined action items with clear owners show strong call discipline.</w:t>
      </w:r>
    </w:p>
    <w:p>
      <w:pPr>
        <w:spacing w:after="40" w:before="0"/>
      </w:pPr>
      <w:r>
        <w:t xml:space="preserve"/>
      </w:r>
    </w:p>
    <w:p>
      <w:pPr>
        <w:spacing w:after="80" w:before="80"/>
      </w:pPr>
      <w:r>
        <w:rPr>
          <w:rFonts w:ascii="Arial" w:cs="Arial" w:eastAsia="Arial" w:hAnsi="Arial"/>
          <w:b/>
          <w:bCs/>
          <w:color w:val="E8601C"/>
          <w:sz w:val="22"/>
          <w:szCs w:val="22"/>
        </w:rPr>
        <w:t xml:space="preserve">Area to watch: </w:t>
      </w:r>
      <w:r>
        <w:rPr>
          <w:rFonts w:ascii="Arial" w:cs="Arial" w:eastAsia="Arial" w:hAnsi="Arial"/>
          <w:color w:val="1A1A1A"/>
          <w:sz w:val="22"/>
          <w:szCs w:val="22"/>
        </w:rPr>
        <w:t xml:space="preserve">Because this call wasn’t recorded by Gong, there is no talk-ratio or coaching data available. The licensing concern Joe raised (20 active users vs. 500 Jira users) should have been addressed more explicitly in the follow-up before the demo.</w:t>
      </w:r>
    </w:p>
    <w:p>
      <w:pPr>
        <w:spacing w:after="80" w:before="0"/>
      </w:pPr>
      <w:r>
        <w:t xml:space="preserve"/>
      </w:r>
    </w:p>
    <w:p>
      <w:pPr>
        <w:pStyle w:val="Heading3"/>
        <w:spacing w:after="80" w:before="180"/>
      </w:pPr>
      <w:r>
        <w:rPr>
          <w:rFonts w:ascii="Arial" w:cs="Arial" w:eastAsia="Arial" w:hAnsi="Arial"/>
          <w:b/>
          <w:bCs/>
          <w:color w:val="0D7377"/>
          <w:sz w:val="24"/>
          <w:szCs w:val="24"/>
        </w:rPr>
        <w:t xml:space="preserve">Call 2 — Lexia Learning x Testsigma — Demo</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February 27, 2026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Duration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59 minutes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Company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Lexia Learning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Contacts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Joe Casale (Sr. Dir. QA), Megan Morris (QA Manager)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Deal Stage at Time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Discovery → Demo Completed ($0 → $50K)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Rob’s Role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Host (with Zac Taylor &amp; Tyler Kapeller)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Gong Coaching Flag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Patience: 0.39 sec — BELOW RANGE</w:t>
            </w:r>
          </w:p>
        </w:tc>
      </w:tr>
    </w:tbl>
    <w:p>
      <w:pPr>
        <w:spacing w:after="80" w:before="0"/>
      </w:pPr>
      <w:r>
        <w:t xml:space="preserve"/>
      </w:r>
    </w:p>
    <w:p>
      <w:pPr>
        <w:spacing w:after="80" w:before="80"/>
      </w:pPr>
      <w:r>
        <w:rPr>
          <w:rFonts w:ascii="Arial" w:cs="Arial" w:eastAsia="Arial" w:hAnsi="Arial"/>
          <w:b/>
          <w:bCs/>
          <w:color w:val="0D7377"/>
          <w:sz w:val="22"/>
          <w:szCs w:val="22"/>
        </w:rPr>
        <w:t xml:space="preserve">What went well: </w:t>
      </w:r>
      <w:r>
        <w:rPr>
          <w:rFonts w:ascii="Arial" w:cs="Arial" w:eastAsia="Arial" w:hAnsi="Arial"/>
          <w:color w:val="1A1A1A"/>
          <w:sz w:val="22"/>
          <w:szCs w:val="22"/>
        </w:rPr>
        <w:t xml:space="preserve">Rob hosted a comprehensive 59-minute product demo that directly addressed Joe’s stated needs. The team covered AI test case generation from Jira user stories, Figma integration, low-code automation with auto-healing, accessibility testing, and competitive differentiation against Tricentis and BrowserStack. The deal progressed from $0 to $50K qualified within 24 hours of this call — a strong conversion. Clear next steps were documented and followed through 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601C" w:val="clear"/>
            <w:tcMar>
              <w:top w:type="dxa" w:w="80"/>
              <w:left w:type="dxa" w:w="100"/>
              <w:bottom w:type="dxa" w:w="80"/>
              <w:right w:type="dxa" w:w="100"/>
            </w:tcMar>
          </w:tcPr>
          <w:p>
            <w:r>
              <w:t xml:space="preserve"/>
            </w:r>
          </w:p>
        </w:tc>
        <w:tc>
          <w:tcPr>
            <w:tcW w:type="dxa" w:w="9160"/>
            <w:tcBorders>
              <w:top w:val="none" w:color="FFFFFF" w:sz="0"/>
              <w:left w:val="none" w:color="FFFFFF" w:sz="0"/>
              <w:bottom w:val="none" w:color="FFFFFF" w:sz="0"/>
              <w:right w:val="none" w:color="FFFFFF" w:sz="0"/>
            </w:tcBorders>
            <w:shd w:fill="FEF0E8" w:val="clear"/>
            <w:tcMar>
              <w:top w:type="dxa" w:w="120"/>
              <w:left w:type="dxa" w:w="200"/>
              <w:bottom w:type="dxa" w:w="120"/>
              <w:right w:type="dxa" w:w="200"/>
            </w:tcMar>
          </w:tcPr>
          <w:p>
            <w:r>
              <w:rPr>
                <w:rFonts w:ascii="Arial" w:cs="Arial" w:eastAsia="Arial" w:hAnsi="Arial"/>
                <w:b/>
                <w:bCs/>
                <w:color w:val="E8601C"/>
                <w:sz w:val="22"/>
                <w:szCs w:val="22"/>
              </w:rPr>
              <w:t xml:space="preserve">⚠️  Gong Alert: Patience Score 0.39 sec — Below Range</w:t>
            </w:r>
          </w:p>
          <w:p>
            <w:pPr>
              <w:spacing w:before="60"/>
            </w:pPr>
            <w:r>
              <w:rPr>
                <w:rFonts w:ascii="Arial" w:cs="Arial" w:eastAsia="Arial" w:hAnsi="Arial"/>
                <w:color w:val="1A1A1A"/>
                <w:sz w:val="22"/>
                <w:szCs w:val="22"/>
              </w:rPr>
              <w:t xml:space="preserve">Gong flagged that Rob’s average pause before responding was only 0.39 seconds, which is below the recommended range. This means Rob is jumping in too quickly after the prospect speaks, potentially cutting them off before they’ve finished their thought or volunteered additional information. Top-performing AEs typically wait 1.5–2.5 seconds before responding, which creates space for prospects to continue talking and share more context.</w:t>
            </w:r>
          </w:p>
        </w:tc>
      </w:tr>
    </w:tbl>
    <w:p>
      <w:pPr>
        <w:spacing w:after="80" w:before="0"/>
      </w:pPr>
      <w:r>
        <w:t xml:space="preserve"/>
      </w:r>
    </w:p>
    <w:p>
      <w:pPr>
        <w:pStyle w:val="Heading3"/>
        <w:spacing w:after="80" w:before="180"/>
      </w:pPr>
      <w:r>
        <w:rPr>
          <w:rFonts w:ascii="Arial" w:cs="Arial" w:eastAsia="Arial" w:hAnsi="Arial"/>
          <w:b/>
          <w:bCs/>
          <w:color w:val="0D7377"/>
          <w:sz w:val="24"/>
          <w:szCs w:val="24"/>
        </w:rPr>
        <w:t xml:space="preserve">T-Mobile — Product Demonstration (Oct 18, 2025)</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October 18, 2025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Recap Tool</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Spinach AI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Company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T-Mobile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Key Attendees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Rob Gorham, Tyler Kapeller, Shannon Lee, Zac Taylor + T-Mobile team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Outcome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POC agreed, security review initiated</w:t>
            </w:r>
          </w:p>
        </w:tc>
      </w:tr>
    </w:tbl>
    <w:p>
      <w:pPr>
        <w:spacing w:after="80" w:before="0"/>
      </w:pPr>
      <w:r>
        <w:t xml:space="preserve"/>
      </w:r>
    </w:p>
    <w:p>
      <w:pPr>
        <w:spacing w:after="80" w:before="80"/>
      </w:pPr>
      <w:r>
        <w:rPr>
          <w:rFonts w:ascii="Arial" w:cs="Arial" w:eastAsia="Arial" w:hAnsi="Arial"/>
          <w:color w:val="1A1A1A"/>
          <w:sz w:val="22"/>
          <w:szCs w:val="22"/>
        </w:rPr>
        <w:t xml:space="preserve">Rob attended this larger enterprise demo (15+ attendees) where T-Mobile was evaluating Testsigma as a Tosca replacement, with mobile testing as a non-negotiable requirement. The outcome was positive — the client agreed to a POC — but this was a team effort with Rob in a support role. Key takeaways: mobile testing is often the make-or-break requirement, and enterprise deals require security documentation upfront, which should be prepared proactively going forward.</w:t>
      </w:r>
    </w:p>
    <w:p>
      <w:pPr>
        <w:spacing w:after="80" w:before="0"/>
      </w:pPr>
      <w:r>
        <w:t xml:space="preserve"/>
      </w:r>
    </w:p>
    <w:p>
      <w:pPr>
        <w:pBdr>
          <w:bottom w:val="single" w:color="0D7377" w:sz="3"/>
        </w:pBdr>
        <w:spacing w:after="160" w:before="160"/>
      </w:pPr>
      <w:r>
        <w:t xml:space="preserve"/>
      </w:r>
    </w:p>
    <w:p>
      <w:r>
        <w:br w:type="page"/>
      </w:r>
    </w:p>
    <w:p>
      <w:pPr>
        <w:pStyle w:val="Heading1"/>
        <w:spacing w:after="160" w:before="320"/>
      </w:pPr>
      <w:r>
        <w:rPr>
          <w:rFonts w:ascii="Arial" w:cs="Arial" w:eastAsia="Arial" w:hAnsi="Arial"/>
          <w:b/>
          <w:bCs/>
          <w:color w:val="0D7377"/>
          <w:sz w:val="36"/>
          <w:szCs w:val="36"/>
        </w:rPr>
        <w:t xml:space="preserve">Gong Coaching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601C" w:val="clear"/>
            <w:tcMar>
              <w:top w:type="dxa" w:w="80"/>
              <w:left w:type="dxa" w:w="100"/>
              <w:bottom w:type="dxa" w:w="80"/>
              <w:right w:type="dxa" w:w="100"/>
            </w:tcMar>
          </w:tcPr>
          <w:p>
            <w:r>
              <w:t xml:space="preserve"/>
            </w:r>
          </w:p>
        </w:tc>
        <w:tc>
          <w:tcPr>
            <w:tcW w:type="dxa" w:w="9160"/>
            <w:tcBorders>
              <w:top w:val="none" w:color="FFFFFF" w:sz="0"/>
              <w:left w:val="none" w:color="FFFFFF" w:sz="0"/>
              <w:bottom w:val="none" w:color="FFFFFF" w:sz="0"/>
              <w:right w:val="none" w:color="FFFFFF" w:sz="0"/>
            </w:tcBorders>
            <w:shd w:fill="FEF0E8" w:val="clear"/>
            <w:tcMar>
              <w:top w:type="dxa" w:w="120"/>
              <w:left w:type="dxa" w:w="200"/>
              <w:bottom w:type="dxa" w:w="120"/>
              <w:right w:type="dxa" w:w="200"/>
            </w:tcMar>
          </w:tcPr>
          <w:p>
            <w:r>
              <w:rPr>
                <w:rFonts w:ascii="Arial" w:cs="Arial" w:eastAsia="Arial" w:hAnsi="Arial"/>
                <w:b/>
                <w:bCs/>
                <w:color w:val="E8601C"/>
                <w:sz w:val="22"/>
                <w:szCs w:val="22"/>
              </w:rPr>
              <w:t xml:space="preserve">Patience Score: 0.39 seconds — Below Range</w:t>
            </w:r>
          </w:p>
          <w:p>
            <w:pPr>
              <w:spacing w:before="60"/>
            </w:pPr>
            <w:r>
              <w:rPr>
                <w:rFonts w:ascii="Arial" w:cs="Arial" w:eastAsia="Arial" w:hAnsi="Arial"/>
                <w:color w:val="1A1A1A"/>
                <w:sz w:val="22"/>
                <w:szCs w:val="22"/>
              </w:rPr>
              <w:t xml:space="preserve">This is Rob’s only quantified Gong coaching metric from available recordings. The benchmark for strong performers is typically 1.5–2.5 seconds of pause before responding. At 0.39 seconds, Rob is responding nearly instantaneously, which is the single most impactful behavioral change he can make right now.</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What the Patience Score Actually Means</w:t>
      </w:r>
    </w:p>
    <w:p>
      <w:pPr>
        <w:spacing w:after="80" w:before="80"/>
      </w:pPr>
      <w:r>
        <w:rPr>
          <w:rFonts w:ascii="Arial" w:cs="Arial" w:eastAsia="Arial" w:hAnsi="Arial"/>
          <w:color w:val="1A1A1A"/>
          <w:sz w:val="22"/>
          <w:szCs w:val="22"/>
        </w:rPr>
        <w:t xml:space="preserve">When a prospect finishes speaking and the salesperson responds in under half a second, several things can go wrong:</w:t>
      </w:r>
    </w:p>
    <w:p>
      <w:pPr>
        <w:pStyle w:val="ListParagraph"/>
        <w:numPr>
          <w:ilvl w:val="0"/>
          <w:numId w:val="2"/>
        </w:numPr>
        <w:spacing w:after="60" w:before="60"/>
      </w:pPr>
      <w:r>
        <w:rPr>
          <w:rFonts w:ascii="Arial" w:cs="Arial" w:eastAsia="Arial" w:hAnsi="Arial"/>
          <w:color w:val="1A1A1A"/>
          <w:sz w:val="22"/>
          <w:szCs w:val="22"/>
        </w:rPr>
        <w:t xml:space="preserve">The prospect may not actually be done — they were pausing to think, not to hand the floor back.</w:t>
      </w:r>
    </w:p>
    <w:p>
      <w:pPr>
        <w:pStyle w:val="ListParagraph"/>
        <w:numPr>
          <w:ilvl w:val="0"/>
          <w:numId w:val="2"/>
        </w:numPr>
        <w:spacing w:after="60" w:before="60"/>
      </w:pPr>
      <w:r>
        <w:rPr>
          <w:rFonts w:ascii="Arial" w:cs="Arial" w:eastAsia="Arial" w:hAnsi="Arial"/>
          <w:color w:val="1A1A1A"/>
          <w:sz w:val="22"/>
          <w:szCs w:val="22"/>
        </w:rPr>
        <w:t xml:space="preserve">It signals impatience, which can make the prospect feel rushed or unheard.</w:t>
      </w:r>
    </w:p>
    <w:p>
      <w:pPr>
        <w:pStyle w:val="ListParagraph"/>
        <w:numPr>
          <w:ilvl w:val="0"/>
          <w:numId w:val="2"/>
        </w:numPr>
        <w:spacing w:after="60" w:before="60"/>
      </w:pPr>
      <w:r>
        <w:rPr>
          <w:rFonts w:ascii="Arial" w:cs="Arial" w:eastAsia="Arial" w:hAnsi="Arial"/>
          <w:color w:val="1A1A1A"/>
          <w:sz w:val="22"/>
          <w:szCs w:val="22"/>
        </w:rPr>
        <w:t xml:space="preserve">It prevents the salesperson from fully processing what was said before formulating a response.</w:t>
      </w:r>
    </w:p>
    <w:p>
      <w:pPr>
        <w:pStyle w:val="ListParagraph"/>
        <w:numPr>
          <w:ilvl w:val="0"/>
          <w:numId w:val="2"/>
        </w:numPr>
        <w:spacing w:after="60" w:before="60"/>
      </w:pPr>
      <w:r>
        <w:rPr>
          <w:rFonts w:ascii="Arial" w:cs="Arial" w:eastAsia="Arial" w:hAnsi="Arial"/>
          <w:color w:val="1A1A1A"/>
          <w:sz w:val="22"/>
          <w:szCs w:val="22"/>
        </w:rPr>
        <w:t xml:space="preserve">It kills the “powerful silence” moments where prospects often reveal their real objections or true buying criteria.</w:t>
      </w:r>
    </w:p>
    <w:p>
      <w:pPr>
        <w:spacing w:after="80" w:before="0"/>
      </w:pPr>
      <w:r>
        <w:t xml:space="preserve"/>
      </w:r>
    </w:p>
    <w:p>
      <w:pPr>
        <w:spacing w:after="80" w:before="80"/>
      </w:pPr>
      <w:r>
        <w:rPr>
          <w:rFonts w:ascii="Arial" w:cs="Arial" w:eastAsia="Arial" w:hAnsi="Arial"/>
          <w:color w:val="1A1A1A"/>
          <w:sz w:val="22"/>
          <w:szCs w:val="22"/>
        </w:rPr>
        <w:t xml:space="preserve">Gong research across thousands of sales calls shows that the best reps pause longer, ask fewer but better questions, and let the prospect do more of the talking.</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Other Patterns Observed Across Calls</w:t>
      </w:r>
    </w:p>
    <w:p>
      <w:pPr>
        <w:pStyle w:val="ListParagraph"/>
        <w:numPr>
          <w:ilvl w:val="0"/>
          <w:numId w:val="2"/>
        </w:numPr>
        <w:spacing w:after="60" w:before="60"/>
      </w:pPr>
      <w:r>
        <w:rPr>
          <w:rFonts w:ascii="Arial" w:cs="Arial" w:eastAsia="Arial" w:hAnsi="Arial"/>
          <w:color w:val="1A1A1A"/>
          <w:sz w:val="22"/>
          <w:szCs w:val="22"/>
        </w:rPr>
        <w:t xml:space="preserve">Strong discovery instincts — Rob efficiently uncovers pain, stack, timeline, and competitive context.</w:t>
      </w:r>
    </w:p>
    <w:p>
      <w:pPr>
        <w:pStyle w:val="ListParagraph"/>
        <w:numPr>
          <w:ilvl w:val="0"/>
          <w:numId w:val="2"/>
        </w:numPr>
        <w:spacing w:after="60" w:before="60"/>
      </w:pPr>
      <w:r>
        <w:rPr>
          <w:rFonts w:ascii="Arial" w:cs="Arial" w:eastAsia="Arial" w:hAnsi="Arial"/>
          <w:color w:val="1A1A1A"/>
          <w:sz w:val="22"/>
          <w:szCs w:val="22"/>
        </w:rPr>
        <w:t xml:space="preserve">Multiple calls are appearing as “Not Recorded” in Gong, which means coaching data and follow-up content is being lost.</w:t>
      </w:r>
    </w:p>
    <w:p>
      <w:pPr>
        <w:pStyle w:val="ListParagraph"/>
        <w:numPr>
          <w:ilvl w:val="0"/>
          <w:numId w:val="2"/>
        </w:numPr>
        <w:spacing w:after="60" w:before="60"/>
      </w:pPr>
      <w:r>
        <w:rPr>
          <w:rFonts w:ascii="Arial" w:cs="Arial" w:eastAsia="Arial" w:hAnsi="Arial"/>
          <w:color w:val="1A1A1A"/>
          <w:sz w:val="22"/>
          <w:szCs w:val="22"/>
        </w:rPr>
        <w:t xml:space="preserve">Several inbound calls have been missed (3 confirmed in 2 weeks), which represent warm inbound interest going unaddressed.</w:t>
      </w:r>
    </w:p>
    <w:p>
      <w:pPr>
        <w:pStyle w:val="ListParagraph"/>
        <w:numPr>
          <w:ilvl w:val="0"/>
          <w:numId w:val="2"/>
        </w:numPr>
        <w:spacing w:after="60" w:before="60"/>
      </w:pPr>
      <w:r>
        <w:rPr>
          <w:rFonts w:ascii="Arial" w:cs="Arial" w:eastAsia="Arial" w:hAnsi="Arial"/>
          <w:color w:val="1A1A1A"/>
          <w:sz w:val="22"/>
          <w:szCs w:val="22"/>
        </w:rPr>
        <w:t xml:space="preserve">The task backlog in Apollo (255 tasks) suggests sequences are being enrolled faster than they’re being worked.</w:t>
      </w:r>
    </w:p>
    <w:p>
      <w:pPr>
        <w:spacing w:after="80" w:before="0"/>
      </w:pPr>
      <w:r>
        <w:t xml:space="preserve"/>
      </w:r>
    </w:p>
    <w:p>
      <w:pPr>
        <w:pBdr>
          <w:bottom w:val="single" w:color="0D7377" w:sz="3"/>
        </w:pBdr>
        <w:spacing w:after="160" w:before="160"/>
      </w:pPr>
      <w:r>
        <w:t xml:space="preserve"/>
      </w:r>
    </w:p>
    <w:p>
      <w:pPr>
        <w:pStyle w:val="Heading1"/>
        <w:spacing w:after="160" w:before="320"/>
      </w:pPr>
      <w:r>
        <w:rPr>
          <w:rFonts w:ascii="Arial" w:cs="Arial" w:eastAsia="Arial" w:hAnsi="Arial"/>
          <w:b/>
          <w:bCs/>
          <w:color w:val="0D7377"/>
          <w:sz w:val="36"/>
          <w:szCs w:val="36"/>
        </w:rPr>
        <w:t xml:space="preserve">5 Easy Ways to Improve Performance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7377" w:val="clear"/>
            <w:tcMar>
              <w:top w:type="dxa" w:w="140"/>
              <w:left w:type="dxa" w:w="160"/>
              <w:bottom w:type="dxa" w:w="140"/>
              <w:right w:type="dxa" w:w="160"/>
            </w:tcMar>
            <w:vAlign w:val="center"/>
          </w:tcPr>
          <w:p>
            <w:pPr>
              <w:jc w:val="center"/>
            </w:pPr>
            <w:r>
              <w:rPr>
                <w:rFonts w:ascii="Arial" w:cs="Arial" w:eastAsia="Arial" w:hAnsi="Arial"/>
                <w:b/>
                <w:bCs/>
                <w:color w:val="FFFFFF"/>
                <w:sz w:val="52"/>
                <w:szCs w:val="52"/>
              </w:rPr>
              <w:t xml:space="preserve">1</w:t>
            </w:r>
          </w:p>
        </w:tc>
        <w:tc>
          <w:tcPr>
            <w:tcW w:type="dxa" w:w="85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0D7377"/>
                <w:sz w:val="24"/>
                <w:szCs w:val="24"/>
              </w:rPr>
              <w:t xml:space="preserve">Slow Down After the Prospect Speaks</w:t>
            </w:r>
          </w:p>
          <w:p>
            <w:pPr>
              <w:spacing w:after="60" w:before="60"/>
            </w:pPr>
            <w:r>
              <w:rPr>
                <w:rFonts w:ascii="Arial" w:cs="Arial" w:eastAsia="Arial" w:hAnsi="Arial"/>
                <w:color w:val="1A1A1A"/>
                <w:sz w:val="21"/>
                <w:szCs w:val="21"/>
              </w:rPr>
              <w:t xml:space="preserve">Gong flagged a patience score of 0.39 seconds — well below range. This is the single biggest behavioral change Rob can make. After every prospect response, count silently to two before speaking. This one habit alone has been shown to increase discovery depth and prospect satisfaction scores.</w:t>
            </w:r>
          </w:p>
          <w:p>
            <w:r>
              <w:rPr>
                <w:rFonts w:ascii="Arial" w:cs="Arial" w:eastAsia="Arial" w:hAnsi="Arial"/>
                <w:b/>
                <w:bCs/>
                <w:color w:val="E8601C"/>
                <w:sz w:val="20"/>
                <w:szCs w:val="20"/>
              </w:rPr>
              <w:t xml:space="preserve">→ Quick Win: </w:t>
            </w:r>
            <w:r>
              <w:rPr>
                <w:rFonts w:ascii="Arial" w:cs="Arial" w:eastAsia="Arial" w:hAnsi="Arial"/>
                <w:color w:val="1A1A1A"/>
                <w:sz w:val="20"/>
                <w:szCs w:val="20"/>
              </w:rPr>
              <w:t xml:space="preserve">Practice “count to 2” before every reply on your next 5 calls. Record yourself and listen back.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7377" w:val="clear"/>
            <w:tcMar>
              <w:top w:type="dxa" w:w="140"/>
              <w:left w:type="dxa" w:w="160"/>
              <w:bottom w:type="dxa" w:w="140"/>
              <w:right w:type="dxa" w:w="160"/>
            </w:tcMar>
            <w:vAlign w:val="center"/>
          </w:tcPr>
          <w:p>
            <w:pPr>
              <w:jc w:val="center"/>
            </w:pPr>
            <w:r>
              <w:rPr>
                <w:rFonts w:ascii="Arial" w:cs="Arial" w:eastAsia="Arial" w:hAnsi="Arial"/>
                <w:b/>
                <w:bCs/>
                <w:color w:val="FFFFFF"/>
                <w:sz w:val="52"/>
                <w:szCs w:val="52"/>
              </w:rPr>
              <w:t xml:space="preserve">2</w:t>
            </w:r>
          </w:p>
        </w:tc>
        <w:tc>
          <w:tcPr>
            <w:tcW w:type="dxa" w:w="85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0D7377"/>
                <w:sz w:val="24"/>
                <w:szCs w:val="24"/>
              </w:rPr>
              <w:t xml:space="preserve">Never Miss an Inbound Call — Set Up Voicemail + Same-Day Callback Protocol</w:t>
            </w:r>
          </w:p>
          <w:p>
            <w:pPr>
              <w:spacing w:after="60" w:before="60"/>
            </w:pPr>
            <w:r>
              <w:rPr>
                <w:rFonts w:ascii="Arial" w:cs="Arial" w:eastAsia="Arial" w:hAnsi="Arial"/>
                <w:color w:val="1A1A1A"/>
                <w:sz w:val="21"/>
                <w:szCs w:val="21"/>
              </w:rPr>
              <w:t xml:space="preserve">Three missed inbound calls were flagged in just the last two weeks. When a prospect calls you, that is the warmest possible lead — they picked up the phone first. Missed inbound calls without a same-day callback is leaving pipeline on the table. Apollo has call routing and voicemail features that can help.</w:t>
            </w:r>
          </w:p>
          <w:p>
            <w:r>
              <w:rPr>
                <w:rFonts w:ascii="Arial" w:cs="Arial" w:eastAsia="Arial" w:hAnsi="Arial"/>
                <w:b/>
                <w:bCs/>
                <w:color w:val="E8601C"/>
                <w:sz w:val="20"/>
                <w:szCs w:val="20"/>
              </w:rPr>
              <w:t xml:space="preserve">→ Quick Win: </w:t>
            </w:r>
            <w:r>
              <w:rPr>
                <w:rFonts w:ascii="Arial" w:cs="Arial" w:eastAsia="Arial" w:hAnsi="Arial"/>
                <w:color w:val="1A1A1A"/>
                <w:sz w:val="20"/>
                <w:szCs w:val="20"/>
              </w:rPr>
              <w:t xml:space="preserve">Set up a clear voicemail message and block 15 minutes at noon and 4pm daily for missed call callbacks.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7377" w:val="clear"/>
            <w:tcMar>
              <w:top w:type="dxa" w:w="140"/>
              <w:left w:type="dxa" w:w="160"/>
              <w:bottom w:type="dxa" w:w="140"/>
              <w:right w:type="dxa" w:w="160"/>
            </w:tcMar>
            <w:vAlign w:val="center"/>
          </w:tcPr>
          <w:p>
            <w:pPr>
              <w:jc w:val="center"/>
            </w:pPr>
            <w:r>
              <w:rPr>
                <w:rFonts w:ascii="Arial" w:cs="Arial" w:eastAsia="Arial" w:hAnsi="Arial"/>
                <w:b/>
                <w:bCs/>
                <w:color w:val="FFFFFF"/>
                <w:sz w:val="52"/>
                <w:szCs w:val="52"/>
              </w:rPr>
              <w:t xml:space="preserve">3</w:t>
            </w:r>
          </w:p>
        </w:tc>
        <w:tc>
          <w:tcPr>
            <w:tcW w:type="dxa" w:w="85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0D7377"/>
                <w:sz w:val="24"/>
                <w:szCs w:val="24"/>
              </w:rPr>
              <w:t xml:space="preserve">Clear the Apollo Task Backlog Weekly — Don’t Let It Exceed 50 Tasks</w:t>
            </w:r>
          </w:p>
          <w:p>
            <w:pPr>
              <w:spacing w:after="60" w:before="60"/>
            </w:pPr>
            <w:r>
              <w:rPr>
                <w:rFonts w:ascii="Arial" w:cs="Arial" w:eastAsia="Arial" w:hAnsi="Arial"/>
                <w:color w:val="1A1A1A"/>
                <w:sz w:val="21"/>
                <w:szCs w:val="21"/>
              </w:rPr>
              <w:t xml:space="preserve">255 tasks due in Apollo is a red flag. When a task backlog gets this large, the quality of each touchpoint suffers and high-priority leads get buried under older contacts. A Friday afternoon task audit (30 mins) to mark stale contacts as skipped or remove them from sequences would significantly improve focus and conversion.</w:t>
            </w:r>
          </w:p>
          <w:p>
            <w:r>
              <w:rPr>
                <w:rFonts w:ascii="Arial" w:cs="Arial" w:eastAsia="Arial" w:hAnsi="Arial"/>
                <w:b/>
                <w:bCs/>
                <w:color w:val="E8601C"/>
                <w:sz w:val="20"/>
                <w:szCs w:val="20"/>
              </w:rPr>
              <w:t xml:space="preserve">→ Quick Win: </w:t>
            </w:r>
            <w:r>
              <w:rPr>
                <w:rFonts w:ascii="Arial" w:cs="Arial" w:eastAsia="Arial" w:hAnsi="Arial"/>
                <w:color w:val="1A1A1A"/>
                <w:sz w:val="20"/>
                <w:szCs w:val="20"/>
              </w:rPr>
              <w:t xml:space="preserve">Every Friday, spend 20 minutes archiving contacts that haven’t responded after 5+ touches in the last 30 days.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7377" w:val="clear"/>
            <w:tcMar>
              <w:top w:type="dxa" w:w="140"/>
              <w:left w:type="dxa" w:w="160"/>
              <w:bottom w:type="dxa" w:w="140"/>
              <w:right w:type="dxa" w:w="160"/>
            </w:tcMar>
            <w:vAlign w:val="center"/>
          </w:tcPr>
          <w:p>
            <w:pPr>
              <w:jc w:val="center"/>
            </w:pPr>
            <w:r>
              <w:rPr>
                <w:rFonts w:ascii="Arial" w:cs="Arial" w:eastAsia="Arial" w:hAnsi="Arial"/>
                <w:b/>
                <w:bCs/>
                <w:color w:val="FFFFFF"/>
                <w:sz w:val="52"/>
                <w:szCs w:val="52"/>
              </w:rPr>
              <w:t xml:space="preserve">4</w:t>
            </w:r>
          </w:p>
        </w:tc>
        <w:tc>
          <w:tcPr>
            <w:tcW w:type="dxa" w:w="85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0D7377"/>
                <w:sz w:val="24"/>
                <w:szCs w:val="24"/>
              </w:rPr>
              <w:t xml:space="preserve">Address Pricing &amp; Licensing Concerns in the Discovery Call, Not After the Demo</w:t>
            </w:r>
          </w:p>
          <w:p>
            <w:pPr>
              <w:spacing w:after="60" w:before="60"/>
            </w:pPr>
            <w:r>
              <w:rPr>
                <w:rFonts w:ascii="Arial" w:cs="Arial" w:eastAsia="Arial" w:hAnsi="Arial"/>
                <w:color w:val="1A1A1A"/>
                <w:sz w:val="21"/>
                <w:szCs w:val="21"/>
              </w:rPr>
              <w:t xml:space="preserve">Joe Casale (Lexia Learning) raised a licensing concern about 500 Jira users vs. 20 actual users in the very first call. This concern likely surfaced again in the demo and could have delayed the deal. Surfacing and resolving commercial friction points early — before the demo — dramatically shortens sales cycles.</w:t>
            </w:r>
          </w:p>
          <w:p>
            <w:r>
              <w:rPr>
                <w:rFonts w:ascii="Arial" w:cs="Arial" w:eastAsia="Arial" w:hAnsi="Arial"/>
                <w:b/>
                <w:bCs/>
                <w:color w:val="E8601C"/>
                <w:sz w:val="20"/>
                <w:szCs w:val="20"/>
              </w:rPr>
              <w:t xml:space="preserve">→ Quick Win: </w:t>
            </w:r>
            <w:r>
              <w:rPr>
                <w:rFonts w:ascii="Arial" w:cs="Arial" w:eastAsia="Arial" w:hAnsi="Arial"/>
                <w:color w:val="1A1A1A"/>
                <w:sz w:val="20"/>
                <w:szCs w:val="20"/>
              </w:rPr>
              <w:t xml:space="preserve">Add a standard question to your discovery script: “Have you thought about the budget range or licensing model that would work for your team?”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7377" w:val="clear"/>
            <w:tcMar>
              <w:top w:type="dxa" w:w="140"/>
              <w:left w:type="dxa" w:w="160"/>
              <w:bottom w:type="dxa" w:w="140"/>
              <w:right w:type="dxa" w:w="160"/>
            </w:tcMar>
            <w:vAlign w:val="center"/>
          </w:tcPr>
          <w:p>
            <w:pPr>
              <w:jc w:val="center"/>
            </w:pPr>
            <w:r>
              <w:rPr>
                <w:rFonts w:ascii="Arial" w:cs="Arial" w:eastAsia="Arial" w:hAnsi="Arial"/>
                <w:b/>
                <w:bCs/>
                <w:color w:val="FFFFFF"/>
                <w:sz w:val="52"/>
                <w:szCs w:val="52"/>
              </w:rPr>
              <w:t xml:space="preserve">5</w:t>
            </w:r>
          </w:p>
        </w:tc>
        <w:tc>
          <w:tcPr>
            <w:tcW w:type="dxa" w:w="85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0D7377"/>
                <w:sz w:val="24"/>
                <w:szCs w:val="24"/>
              </w:rPr>
              <w:t xml:space="preserve">Make Every Call Gong-Recordable — Enable Recording for All External Meetings</w:t>
            </w:r>
          </w:p>
          <w:p>
            <w:pPr>
              <w:spacing w:after="60" w:before="60"/>
            </w:pPr>
            <w:r>
              <w:rPr>
                <w:rFonts w:ascii="Arial" w:cs="Arial" w:eastAsia="Arial" w:hAnsi="Arial"/>
                <w:color w:val="1A1A1A"/>
                <w:sz w:val="21"/>
                <w:szCs w:val="21"/>
              </w:rPr>
              <w:t xml:space="preserve">Multiple calls appeared as “Not Recorded” in Gong weekly recaps (Nokia intro, Mastercard intro, TruStage intro, QNE Software intro). Every unrecorded call is a lost coaching data point, a lost follow-up asset, and a lost deal context document. Ensuring Gong captures all external meetings requires simply checking the Gong browser extension is running before each call.</w:t>
            </w:r>
          </w:p>
          <w:p>
            <w:r>
              <w:rPr>
                <w:rFonts w:ascii="Arial" w:cs="Arial" w:eastAsia="Arial" w:hAnsi="Arial"/>
                <w:b/>
                <w:bCs/>
                <w:color w:val="E8601C"/>
                <w:sz w:val="20"/>
                <w:szCs w:val="20"/>
              </w:rPr>
              <w:t xml:space="preserve">→ Quick Win: </w:t>
            </w:r>
            <w:r>
              <w:rPr>
                <w:rFonts w:ascii="Arial" w:cs="Arial" w:eastAsia="Arial" w:hAnsi="Arial"/>
                <w:color w:val="1A1A1A"/>
                <w:sz w:val="20"/>
                <w:szCs w:val="20"/>
              </w:rPr>
              <w:t xml:space="preserve">Before every external Zoom/Teams call, confirm the Gong notetaker has joined. Make it a pre-call checklist item.</w:t>
            </w:r>
          </w:p>
        </w:tc>
      </w:tr>
    </w:tbl>
    <w:p>
      <w:pPr>
        <w:spacing w:after="80" w:before="0"/>
      </w:pPr>
      <w:r>
        <w:t xml:space="preserve"/>
      </w:r>
    </w:p>
    <w:p>
      <w:pPr>
        <w:pBdr>
          <w:bottom w:val="single" w:color="0D7377" w:sz="3"/>
        </w:pBdr>
        <w:spacing w:after="160" w:before="160"/>
      </w:pPr>
      <w:r>
        <w:t xml:space="preserve"/>
      </w:r>
    </w:p>
    <w:p>
      <w:r>
        <w:br w:type="page"/>
      </w:r>
    </w:p>
    <w:p>
      <w:pPr>
        <w:pStyle w:val="Heading1"/>
        <w:spacing w:after="160" w:before="320"/>
      </w:pPr>
      <w:r>
        <w:rPr>
          <w:rFonts w:ascii="Arial" w:cs="Arial" w:eastAsia="Arial" w:hAnsi="Arial"/>
          <w:b/>
          <w:bCs/>
          <w:color w:val="0D7377"/>
          <w:sz w:val="36"/>
          <w:szCs w:val="36"/>
        </w:rPr>
        <w:t xml:space="preserve">Revised Cold Call Script Opener</w:t>
      </w:r>
    </w:p>
    <w:p>
      <w:pPr>
        <w:spacing w:after="80" w:before="80"/>
      </w:pPr>
      <w:r>
        <w:rPr>
          <w:rFonts w:ascii="Arial" w:cs="Arial" w:eastAsia="Arial" w:hAnsi="Arial"/>
          <w:color w:val="1A1A1A"/>
          <w:sz w:val="22"/>
          <w:szCs w:val="22"/>
        </w:rPr>
        <w:t xml:space="preserve">Based on the call data analysis, here is a revised opener for Rob’s cold outbound calls targeting QA Directors and Engineering Managers at enterprise companies. The current approach is technically competent but tends to move to product features too quickly. This revised opener is designed to slow down, lead with pain, and create genuine dialogue before ever mentioning Testsigma by name.</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Target Persona</w:t>
      </w:r>
    </w:p>
    <w:p>
      <w:pPr>
        <w:spacing w:after="80" w:before="80"/>
      </w:pPr>
      <w:r>
        <w:rPr>
          <w:rFonts w:ascii="Arial" w:cs="Arial" w:eastAsia="Arial" w:hAnsi="Arial"/>
          <w:color w:val="1A1A1A"/>
          <w:sz w:val="22"/>
          <w:szCs w:val="22"/>
        </w:rPr>
        <w:t xml:space="preserve">QA Director, Director of Quality Engineering, or Engineering Manager at a mid-to-large enterprise company currently using Selenium/Cucumber, Tosca, or manual testing processes.</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The Script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2FAFA" w:val="clear"/>
            <w:tcMar>
              <w:top w:type="dxa" w:w="160"/>
              <w:left w:type="dxa" w:w="240"/>
              <w:bottom w:type="dxa" w:w="160"/>
              <w:right w:type="dxa" w:w="240"/>
            </w:tcMar>
          </w:tcPr>
          <w:p>
            <w:pPr>
              <w:spacing w:after="40" w:before="100"/>
            </w:pPr>
            <w:r>
              <w:rPr>
                <w:rFonts w:ascii="Arial" w:cs="Arial" w:eastAsia="Arial" w:hAnsi="Arial"/>
                <w:b/>
                <w:bCs/>
                <w:color w:val="0D7377"/>
                <w:sz w:val="20"/>
                <w:szCs w:val="20"/>
              </w:rPr>
              <w:t xml:space="preserve">OPENING (be conversational, not robotic)</w:t>
            </w:r>
          </w:p>
          <w:p>
            <w:pPr>
              <w:spacing w:after="40" w:before="40"/>
            </w:pPr>
            <w:r>
              <w:rPr>
                <w:rFonts w:ascii="Arial" w:cs="Arial" w:eastAsia="Arial" w:hAnsi="Arial"/>
                <w:i w:val="false"/>
                <w:iCs w:val="false"/>
                <w:color w:val="1A1A1A"/>
                <w:sz w:val="22"/>
                <w:szCs w:val="22"/>
              </w:rPr>
              <w:t xml:space="preserve">"Hey [Name], this is Rob Gorham calling from Testsigma. I know I’m catching you out of the blue — do you have literally 30 seconds?"</w:t>
            </w:r>
          </w:p>
          <w:p>
            <w:pPr>
              <w:spacing w:after="40" w:before="40"/>
            </w:pPr>
            <w:r>
              <w:rPr>
                <w:rFonts w:ascii="Arial" w:cs="Arial" w:eastAsia="Arial" w:hAnsi="Arial"/>
                <w:i/>
                <w:iCs/>
                <w:color w:val="888888"/>
                <w:sz w:val="19"/>
                <w:szCs w:val="19"/>
              </w:rPr>
              <w:t xml:space="preserve">[→ Pause. Wait for their response. Do NOT keep talking if they hesitate.]</w:t>
            </w:r>
          </w:p>
          <w:p>
            <w:pPr>
              <w:spacing w:after="40" w:before="100"/>
            </w:pPr>
            <w:r>
              <w:rPr>
                <w:rFonts w:ascii="Arial" w:cs="Arial" w:eastAsia="Arial" w:hAnsi="Arial"/>
                <w:b/>
                <w:bCs/>
                <w:color w:val="0D7377"/>
                <w:sz w:val="20"/>
                <w:szCs w:val="20"/>
              </w:rPr>
              <w:t xml:space="preserve">PERMISSION BRIDGE (if they say yes or stay on)</w:t>
            </w:r>
          </w:p>
          <w:p>
            <w:pPr>
              <w:spacing w:after="40" w:before="40"/>
            </w:pPr>
            <w:r>
              <w:rPr>
                <w:rFonts w:ascii="Arial" w:cs="Arial" w:eastAsia="Arial" w:hAnsi="Arial"/>
                <w:i w:val="false"/>
                <w:iCs w:val="false"/>
                <w:color w:val="1A1A1A"/>
                <w:sz w:val="22"/>
                <w:szCs w:val="22"/>
              </w:rPr>
              <w:t xml:space="preserve">"Great — I’ll be quick. We work with QA teams at companies like T-Mobile and Lexia Learning who are trying to move faster on test coverage without needing to write everything in Selenium. The challenge I keep hearing is that the team is spending more time maintaining old test scripts than actually shipping new ones."</w:t>
            </w:r>
          </w:p>
          <w:p>
            <w:pPr>
              <w:spacing w:after="40" w:before="40"/>
            </w:pPr>
            <w:r>
              <w:rPr>
                <w:rFonts w:ascii="Arial" w:cs="Arial" w:eastAsia="Arial" w:hAnsi="Arial"/>
                <w:i/>
                <w:iCs/>
                <w:color w:val="888888"/>
                <w:sz w:val="19"/>
                <w:szCs w:val="19"/>
              </w:rPr>
              <w:t xml:space="preserve">[→ Pause. Let that land. 2-second silence is okay here. Don’t fill it.]</w:t>
            </w:r>
          </w:p>
          <w:p>
            <w:pPr>
              <w:spacing w:after="40" w:before="100"/>
            </w:pPr>
            <w:r>
              <w:rPr>
                <w:rFonts w:ascii="Arial" w:cs="Arial" w:eastAsia="Arial" w:hAnsi="Arial"/>
                <w:b/>
                <w:bCs/>
                <w:color w:val="0D7377"/>
                <w:sz w:val="20"/>
                <w:szCs w:val="20"/>
              </w:rPr>
              <w:t xml:space="preserve">THE SINGLE QUESTION (open-ended, not yes/no)</w:t>
            </w:r>
          </w:p>
          <w:p>
            <w:pPr>
              <w:spacing w:after="40" w:before="40"/>
            </w:pPr>
            <w:r>
              <w:rPr>
                <w:rFonts w:ascii="Arial" w:cs="Arial" w:eastAsia="Arial" w:hAnsi="Arial"/>
                <w:i w:val="false"/>
                <w:iCs w:val="false"/>
                <w:color w:val="1A1A1A"/>
                <w:sz w:val="22"/>
                <w:szCs w:val="22"/>
              </w:rPr>
              <w:t xml:space="preserve">"Is that a pain point for your team, or are you in a good place with your current setup?"</w:t>
            </w:r>
          </w:p>
          <w:p>
            <w:pPr>
              <w:spacing w:after="40" w:before="40"/>
            </w:pPr>
            <w:r>
              <w:rPr>
                <w:rFonts w:ascii="Arial" w:cs="Arial" w:eastAsia="Arial" w:hAnsi="Arial"/>
                <w:i/>
                <w:iCs/>
                <w:color w:val="888888"/>
                <w:sz w:val="19"/>
                <w:szCs w:val="19"/>
              </w:rPr>
              <w:t xml:space="preserve">[→ Stop. Say nothing. Let them answer. This is where you get your real discovery data.]</w:t>
            </w:r>
          </w:p>
          <w:p>
            <w:pPr>
              <w:spacing w:after="40" w:before="100"/>
            </w:pPr>
            <w:r>
              <w:rPr>
                <w:rFonts w:ascii="Arial" w:cs="Arial" w:eastAsia="Arial" w:hAnsi="Arial"/>
                <w:b/>
                <w:bCs/>
                <w:color w:val="0D7377"/>
                <w:sz w:val="20"/>
                <w:szCs w:val="20"/>
              </w:rPr>
              <w:t xml:space="preserve">IF THEY ENGAGE (follow their thread, don’t pivot to features yet)</w:t>
            </w:r>
          </w:p>
          <w:p>
            <w:pPr>
              <w:spacing w:after="40" w:before="40"/>
            </w:pPr>
            <w:r>
              <w:rPr>
                <w:rFonts w:ascii="Arial" w:cs="Arial" w:eastAsia="Arial" w:hAnsi="Arial"/>
                <w:i w:val="false"/>
                <w:iCs w:val="false"/>
                <w:color w:val="1A1A1A"/>
                <w:sz w:val="22"/>
                <w:szCs w:val="22"/>
              </w:rPr>
              <w:t xml:space="preserve">"Tell me more about that — are you on Selenium right now, or something else?"</w:t>
            </w:r>
          </w:p>
          <w:p>
            <w:pPr>
              <w:spacing w:after="40" w:before="40"/>
            </w:pPr>
            <w:r>
              <w:rPr>
                <w:rFonts w:ascii="Arial" w:cs="Arial" w:eastAsia="Arial" w:hAnsi="Arial"/>
                <w:i/>
                <w:iCs/>
                <w:color w:val="888888"/>
                <w:sz w:val="19"/>
                <w:szCs w:val="19"/>
              </w:rPr>
              <w:t xml:space="preserve">[→ Discovery mode: listen 80%, talk 20%. Let them describe the problem in their own words.]</w:t>
            </w:r>
          </w:p>
          <w:p>
            <w:pPr>
              <w:spacing w:after="40" w:before="100"/>
            </w:pPr>
            <w:r>
              <w:rPr>
                <w:rFonts w:ascii="Arial" w:cs="Arial" w:eastAsia="Arial" w:hAnsi="Arial"/>
                <w:b/>
                <w:bCs/>
                <w:color w:val="0D7377"/>
                <w:sz w:val="20"/>
                <w:szCs w:val="20"/>
              </w:rPr>
              <w:t xml:space="preserve">IF THEY’RE NOT INTERESTED</w:t>
            </w:r>
          </w:p>
          <w:p>
            <w:pPr>
              <w:spacing w:after="40" w:before="40"/>
            </w:pPr>
            <w:r>
              <w:rPr>
                <w:rFonts w:ascii="Arial" w:cs="Arial" w:eastAsia="Arial" w:hAnsi="Arial"/>
                <w:i w:val="false"/>
                <w:iCs w:val="false"/>
                <w:color w:val="1A1A1A"/>
                <w:sz w:val="22"/>
                <w:szCs w:val="22"/>
              </w:rPr>
              <w:t xml:space="preserve">"Totally fair — can I ask, is test automation something you’re actively looking at for this year, or more of a back-burner thing?"</w:t>
            </w:r>
          </w:p>
          <w:p>
            <w:pPr>
              <w:spacing w:after="40" w:before="40"/>
            </w:pPr>
            <w:r>
              <w:rPr>
                <w:rFonts w:ascii="Arial" w:cs="Arial" w:eastAsia="Arial" w:hAnsi="Arial"/>
                <w:i/>
                <w:iCs/>
                <w:color w:val="888888"/>
                <w:sz w:val="19"/>
                <w:szCs w:val="19"/>
              </w:rPr>
              <w:t xml:space="preserve">[→ Even a “no” can yield useful timing data. Don’t hang up empty-handed.]</w:t>
            </w:r>
          </w:p>
          <w:p>
            <w:pPr>
              <w:spacing w:after="40" w:before="100"/>
            </w:pPr>
            <w:r>
              <w:rPr>
                <w:rFonts w:ascii="Arial" w:cs="Arial" w:eastAsia="Arial" w:hAnsi="Arial"/>
                <w:b/>
                <w:bCs/>
                <w:color w:val="0D7377"/>
                <w:sz w:val="20"/>
                <w:szCs w:val="20"/>
              </w:rPr>
              <w:t xml:space="preserve">THE ASK (only if there’s clear interest)</w:t>
            </w:r>
          </w:p>
          <w:p>
            <w:pPr>
              <w:spacing w:after="40" w:before="40"/>
            </w:pPr>
            <w:r>
              <w:rPr>
                <w:rFonts w:ascii="Arial" w:cs="Arial" w:eastAsia="Arial" w:hAnsi="Arial"/>
                <w:i w:val="false"/>
                <w:iCs w:val="false"/>
                <w:color w:val="1A1A1A"/>
                <w:sz w:val="22"/>
                <w:szCs w:val="22"/>
              </w:rPr>
              <w:t xml:space="preserve">"It sounds like there could be something worth a quick look. Would you be open to a 25-minute demo next week — I’ll show you exactly how we handle [their specific pain they just mentioned]?"</w:t>
            </w:r>
          </w:p>
          <w:p>
            <w:pPr>
              <w:spacing w:after="40" w:before="40"/>
            </w:pPr>
            <w:r>
              <w:rPr>
                <w:rFonts w:ascii="Arial" w:cs="Arial" w:eastAsia="Arial" w:hAnsi="Arial"/>
                <w:i/>
                <w:iCs/>
                <w:color w:val="888888"/>
                <w:sz w:val="19"/>
                <w:szCs w:val="19"/>
              </w:rPr>
              <w:t xml:space="preserve">[→ Name their specific pain, not a generic Testsigma feature. Reference what THEY said.]</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What Changed From the Old Approach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8" w:val="clear"/>
            <w:tcMar>
              <w:top w:type="dxa" w:w="120"/>
              <w:left w:type="dxa" w:w="200"/>
              <w:bottom w:type="dxa" w:w="120"/>
              <w:right w:type="dxa" w:w="200"/>
            </w:tcMar>
          </w:tcPr>
          <w:p>
            <w:r>
              <w:rPr>
                <w:rFonts w:ascii="Arial" w:cs="Arial" w:eastAsia="Arial" w:hAnsi="Arial"/>
                <w:b/>
                <w:bCs/>
                <w:color w:val="E8601C"/>
                <w:sz w:val="22"/>
                <w:szCs w:val="22"/>
              </w:rPr>
              <w:t xml:space="preserve">❌ Old Approach</w:t>
            </w:r>
          </w:p>
        </w:tc>
        <w:tc>
          <w:tcPr>
            <w:tcW w:type="dxa" w:w="4680"/>
            <w:tcBorders>
              <w:top w:val="none" w:color="FFFFFF" w:sz="0"/>
              <w:left w:val="none" w:color="FFFFFF" w:sz="0"/>
              <w:bottom w:val="none" w:color="FFFFFF" w:sz="0"/>
              <w:right w:val="none" w:color="FFFFFF" w:sz="0"/>
            </w:tcBorders>
            <w:shd w:fill="E0F4F5" w:val="clear"/>
            <w:tcMar>
              <w:top w:type="dxa" w:w="120"/>
              <w:left w:type="dxa" w:w="200"/>
              <w:bottom w:type="dxa" w:w="120"/>
              <w:right w:type="dxa" w:w="200"/>
            </w:tcMar>
          </w:tcPr>
          <w:p>
            <w:r>
              <w:rPr>
                <w:rFonts w:ascii="Arial" w:cs="Arial" w:eastAsia="Arial" w:hAnsi="Arial"/>
                <w:b/>
                <w:bCs/>
                <w:color w:val="0D7377"/>
                <w:sz w:val="22"/>
                <w:szCs w:val="22"/>
              </w:rPr>
              <w:t xml:space="preserve">✅ New Approach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Leads with Testsigma features immediately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Leads with a pain point they can relate to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200"/>
              <w:bottom w:type="dxa" w:w="80"/>
              <w:right w:type="dxa" w:w="200"/>
            </w:tcMar>
          </w:tcPr>
          <w:p>
            <w:r>
              <w:rPr>
                <w:rFonts w:ascii="Arial" w:cs="Arial" w:eastAsia="Arial" w:hAnsi="Arial"/>
                <w:color w:val="1A1A1A"/>
                <w:sz w:val="20"/>
                <w:szCs w:val="20"/>
              </w:rPr>
              <w:t xml:space="preserve">Asks yes/no qualifying questions</w:t>
            </w:r>
          </w:p>
        </w:tc>
        <w:tc>
          <w:tcPr>
            <w:tcW w:type="dxa" w:w="4680"/>
            <w:tcBorders>
              <w:top w:val="single" w:color="DDDDDD" w:sz="1"/>
              <w:left w:val="single" w:color="DDDDDD" w:sz="1"/>
              <w:bottom w:val="single" w:color="DDDDDD" w:sz="1"/>
              <w:right w:val="single" w:color="DDDDDD" w:sz="1"/>
            </w:tcBorders>
            <w:shd w:fill="F5F5F5" w:val="clear"/>
            <w:tcMar>
              <w:top w:type="dxa" w:w="80"/>
              <w:left w:type="dxa" w:w="200"/>
              <w:bottom w:type="dxa" w:w="80"/>
              <w:right w:type="dxa" w:w="200"/>
            </w:tcMar>
          </w:tcPr>
          <w:p>
            <w:r>
              <w:rPr>
                <w:rFonts w:ascii="Arial" w:cs="Arial" w:eastAsia="Arial" w:hAnsi="Arial"/>
                <w:color w:val="1A1A1A"/>
                <w:sz w:val="20"/>
                <w:szCs w:val="20"/>
              </w:rPr>
              <w:t xml:space="preserve">Asks open-ended questions that get prospects talking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Fills silences quickly (0.39s)</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Creates intentional silence to let prospect respond fully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200"/>
              <w:bottom w:type="dxa" w:w="80"/>
              <w:right w:type="dxa" w:w="200"/>
            </w:tcMar>
          </w:tcPr>
          <w:p>
            <w:r>
              <w:rPr>
                <w:rFonts w:ascii="Arial" w:cs="Arial" w:eastAsia="Arial" w:hAnsi="Arial"/>
                <w:color w:val="1A1A1A"/>
                <w:sz w:val="20"/>
                <w:szCs w:val="20"/>
              </w:rPr>
              <w:t xml:space="preserve">Uses product terminology early</w:t>
            </w:r>
          </w:p>
        </w:tc>
        <w:tc>
          <w:tcPr>
            <w:tcW w:type="dxa" w:w="4680"/>
            <w:tcBorders>
              <w:top w:val="single" w:color="DDDDDD" w:sz="1"/>
              <w:left w:val="single" w:color="DDDDDD" w:sz="1"/>
              <w:bottom w:val="single" w:color="DDDDDD" w:sz="1"/>
              <w:right w:val="single" w:color="DDDDDD" w:sz="1"/>
            </w:tcBorders>
            <w:shd w:fill="F5F5F5" w:val="clear"/>
            <w:tcMar>
              <w:top w:type="dxa" w:w="80"/>
              <w:left w:type="dxa" w:w="200"/>
              <w:bottom w:type="dxa" w:w="80"/>
              <w:right w:type="dxa" w:w="200"/>
            </w:tcMar>
          </w:tcPr>
          <w:p>
            <w:r>
              <w:rPr>
                <w:rFonts w:ascii="Arial" w:cs="Arial" w:eastAsia="Arial" w:hAnsi="Arial"/>
                <w:color w:val="1A1A1A"/>
                <w:sz w:val="20"/>
                <w:szCs w:val="20"/>
              </w:rPr>
              <w:t xml:space="preserve">Uses their language and industry context first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Pushes for the demo before getting buy-in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Earns the demo ask by validating the pain first</w:t>
            </w:r>
          </w:p>
        </w:tc>
      </w:tr>
    </w:tbl>
    <w:p>
      <w:pPr>
        <w:spacing w:after="80" w:before="0"/>
      </w:pPr>
      <w:r>
        <w:t xml:space="preserve"/>
      </w:r>
    </w:p>
    <w:p>
      <w:pPr>
        <w:pBdr>
          <w:bottom w:val="single" w:color="0D7377" w:sz="3"/>
        </w:pBdr>
        <w:spacing w:after="160" w:before="160"/>
      </w:pPr>
      <w:r>
        <w:t xml:space="preserve"/>
      </w:r>
    </w:p>
    <w:p>
      <w:pPr>
        <w:pStyle w:val="Heading2"/>
        <w:spacing w:after="120" w:before="240"/>
      </w:pPr>
      <w:r>
        <w:rPr>
          <w:rFonts w:ascii="Arial" w:cs="Arial" w:eastAsia="Arial" w:hAnsi="Arial"/>
          <w:b/>
          <w:bCs/>
          <w:color w:val="1A1A1A"/>
          <w:sz w:val="26"/>
          <w:szCs w:val="26"/>
        </w:rPr>
        <w:t xml:space="preserve">Summary</w:t>
      </w:r>
    </w:p>
    <w:p>
      <w:pPr>
        <w:spacing w:after="80" w:before="80"/>
      </w:pPr>
      <w:r>
        <w:rPr>
          <w:rFonts w:ascii="Arial" w:cs="Arial" w:eastAsia="Arial" w:hAnsi="Arial"/>
          <w:color w:val="1A1A1A"/>
          <w:sz w:val="22"/>
          <w:szCs w:val="22"/>
        </w:rPr>
        <w:t xml:space="preserve">Rob is performing well in a role that requires both discovery depth and demo confidence. The Lexia Learning progression — from a 7-minute cold intro to a $50K qualified deal in under a week — shows strong commercial instincts. The key areas to work on are behavioral (pause longer before responding) and operational (clear the task backlog, capture missed inbound calls, ensure all calls are Gong-recorded). Implementing the revised script opener will improve connection-to-discovery conversion on cold calls by leading with pain rather than product.</w:t>
      </w:r>
    </w:p>
    <w:p>
      <w:pPr>
        <w:spacing w:after="160" w:before="0"/>
      </w:pPr>
      <w:r>
        <w:t xml:space="preserve"/>
      </w:r>
    </w:p>
    <w:p>
      <w:pPr>
        <w:jc w:val="center"/>
      </w:pPr>
      <w:r>
        <w:rPr>
          <w:rFonts w:ascii="Arial" w:cs="Arial" w:eastAsia="Arial" w:hAnsi="Arial"/>
          <w:i/>
          <w:iCs/>
          <w:color w:val="AAAAAA"/>
          <w:sz w:val="18"/>
          <w:szCs w:val="18"/>
        </w:rPr>
        <w:t xml:space="preserve">Generated by Claude  •  Testsigma Sales Intelligence  •  March 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tabs>
        <w:tab w:val="2" w:pos="9360"/>
      </w:tabs>
      <w:spacing w:before="120"/>
    </w:pPr>
    <w:r>
      <w:rPr>
        <w:rFonts w:ascii="Arial" w:cs="Arial" w:eastAsia="Arial" w:hAnsi="Arial"/>
        <w:color w:val="999999"/>
        <w:sz w:val="18"/>
        <w:szCs w:val="18"/>
      </w:rPr>
      <w:t xml:space="preserve">Confidential • Testsigma Sales</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2" w:pos="9360"/>
      </w:tabs>
      <w:spacing w:after="0"/>
    </w:pPr>
    <w:r>
      <w:rPr>
        <w:rFonts w:ascii="Arial" w:cs="Arial" w:eastAsia="Arial" w:hAnsi="Arial"/>
        <w:b/>
        <w:bCs/>
        <w:color w:val="0D7377"/>
        <w:sz w:val="18"/>
        <w:szCs w:val="18"/>
      </w:rPr>
      <w:t xml:space="preserve">TESTSIGMA  |  SALES PERFORMANCE REPORT</w:t>
    </w:r>
    <w:r>
      <w:rPr>
        <w:rFonts w:ascii="Arial" w:cs="Arial" w:eastAsia="Arial" w:hAnsi="Arial"/>
        <w:color w:val="888888"/>
        <w:sz w:val="18"/>
        <w:szCs w:val="18"/>
      </w:rPr>
      <w:t xml:space="preserve">	ROB GORHAM  •  MARCH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2026-03-06T17:44:44.057Z</dcterms:created>
  <dcterms:modified xsi:type="dcterms:W3CDTF">2026-03-06T17:44:44.058Z</dcterms:modified>
</cp:coreProperties>
</file>

<file path=docProps/custom.xml><?xml version="1.0" encoding="utf-8"?>
<Properties xmlns="http://schemas.openxmlformats.org/officeDocument/2006/custom-properties" xmlns:vt="http://schemas.openxmlformats.org/officeDocument/2006/docPropsVTypes"/>
</file>