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
  <Relationship Id="rIdDocument" Type="http://schemas.openxmlformats.org/officeDocument/2006/relationships/officeDocument" Target="word/document.xml" />
  <Relationship Id="rIdCore" Type="http://schemas.openxmlformats.org/package/2006/relationships/metadata/core-properties" Target="docProps/core.xml" />
  <Relationship Id="rIdApp" Type="http://schemas.openxmlformats.org/officeDocument/2006/relationships/extended-properties" Target="docProps/app.xml" />
  <Relationship Id="rIdCustom" Type="http://schemas.openxmlformats.org/officeDocument/2006/relationships/custom-properties" Target="docProps/custom.xml" />
</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tbl>
      <w:tblPr>
        <w:tblStyle w:val="TableGrid"/>
        <w:tblW w:w="5000" w:type="pct"/>
        <w:tblBorders>
          <w:top w:val="none" w:color="auto" w:sz="0" w:space="0"/>
          <w:left w:val="none" w:color="auto" w:sz="0" w:space="0"/>
          <w:bottom w:val="none" w:color="auto" w:sz="0" w:space="0"/>
          <w:right w:val="none" w:color="auto" w:sz="0" w:space="0"/>
        </w:tblBorders>
        <w:tblLook w:val="04A0" w:firstRow="1" w:lastRow="0" w:firstColumn="1" w:lastColumn="0" w:noHBand="0" w:noVBand="1"/>
      </w:tblPr>
      <w:tblGrid>
        <w:gridCol w:w="5527"/>
        <w:gridCol w:w="448"/>
        <w:gridCol w:w="4978"/>
        <w:gridCol w:w="953"/>
      </w:tblGrid>
      <w:tr>
        <w:trPr>
          <w:trHeight w:val="2608"/>
        </w:trPr>
        <w:tc>
          <w:tcPr>
            <w:tcW w:w="2321" w:type="pct"/>
            <w:tcBorders>
              <w:top w:val="nil"/>
              <w:bottom w:val="single" w:color="auto" w:sz="4" w:space="0"/>
              <w:right w:val="nil"/>
            </w:tcBorders>
            <w:shd w:val="clear" w:color="auto" w:fill="FFFFFF"/>
            <w:vAlign w:val="center"/>
          </w:tcPr>
          <w:tbl>
            <w:tblPr>
              <w:tblStyle w:val="TableGrid"/>
              <w:tblW w:w="0" w:type="auto"/>
              <w:tblInd w:w="567" w:type="dxa"/>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841346"/>
                        <wp:effectExtent l="0" t="0" r="0" b="0"/>
                        <wp:docPr id="1" name="Figure 1" descr="logo-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
                                <pic:cNvPicPr/>
                              </pic:nvPicPr>
                              <pic:blipFill>
                                <a:blip r:embed="Rbbcb25eee62b4e80"/>
                                <a:stretch>
                                  <a:fillRect/>
                                </a:stretch>
                              </pic:blipFill>
                              <pic:spPr>
                                <a:xfrm>
                                  <a:off x="0" y="0"/>
                                  <a:ext cx="2286000" cy="841346"/>
                                </a:xfrm>
                                <a:prstGeom prst="rect">
                                  <a:avLst/>
                                </a:prstGeom>
                              </pic:spPr>
                            </pic:pic>
                          </a:graphicData>
                        </a:graphic>
                      </wp:inline>
                    </w:drawing>
                  </w:r>
                </w:p>
              </w:tc>
            </w:tr>
          </w:tbl>
          <w:p>
            <w:pPr>
              <w:pStyle w:val="FIGURE"/>
            </w:pPr>
          </w:p>
        </w:tc>
        <w:tc>
          <w:tcPr>
            <w:tcW w:w="188" w:type="pct"/>
            <w:tcBorders>
              <w:top w:val="nil"/>
              <w:bottom w:val="single" w:color="auto" w:sz="4" w:space="0"/>
              <w:right w:val="nil"/>
            </w:tcBorders>
            <w:shd w:val="clear" w:color="auto" w:fill="FFFFFF"/>
            <w:vAlign w:val="center"/>
          </w:tcPr>
          <w:p>
            <w:pPr>
              <w:pStyle w:val="FIGURE"/>
            </w:pPr>
          </w:p>
        </w:tc>
        <w:tc>
          <w:tcPr>
            <w:tcW w:w="2091" w:type="pct"/>
            <w:tcBorders>
              <w:top w:val="nil"/>
              <w:left w:val="nil"/>
              <w:bottom w:val="single" w:color="auto" w:sz="4" w:space="0"/>
              <w:right w:val="nil"/>
            </w:tcBorders>
            <w:shd w:val="clear" w:color="auto" w:fill="FFFFFF"/>
            <w:vAlign w:val="center"/>
          </w:tcPr>
          <w:tbl>
            <w:tblPr>
              <w:tblStyle w:val="TableGrid"/>
              <w:tblW w:w="0" w:type="auto"/>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1054100"/>
                        <wp:effectExtent l="0" t="0" r="0" b="0"/>
                        <wp:docPr id="2" name="Figure 2" descr="logo-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
                                <pic:cNvPicPr/>
                              </pic:nvPicPr>
                              <pic:blipFill>
                                <a:blip r:embed="R053d6c3e6cd044cf"/>
                                <a:stretch>
                                  <a:fillRect/>
                                </a:stretch>
                              </pic:blipFill>
                              <pic:spPr>
                                <a:xfrm>
                                  <a:off x="0" y="0"/>
                                  <a:ext cx="2286000" cy="1054100"/>
                                </a:xfrm>
                                <a:prstGeom prst="rect">
                                  <a:avLst/>
                                </a:prstGeom>
                              </pic:spPr>
                            </pic:pic>
                          </a:graphicData>
                        </a:graphic>
                      </wp:inline>
                    </w:drawing>
                  </w:r>
                </w:p>
              </w:tc>
            </w:tr>
          </w:tbl>
          <w:p>
            <w:pPr>
              <w:pStyle w:val="FIGURE"/>
            </w:pPr>
          </w:p>
        </w:tc>
        <w:tc>
          <w:tcPr>
            <w:tcW w:w="400" w:type="pct"/>
            <w:vMerge w:val="restart"/>
            <w:tcBorders>
              <w:top w:val="nil"/>
              <w:left w:val="nil"/>
              <w:bottom w:val="single" w:color="auto" w:sz="4" w:space="0"/>
            </w:tcBorders>
            <w:textDirection w:val="tbRl"/>
            <w:vAlign w:val="center"/>
          </w:tcPr>
          <w:p>
            <w:pPr>
              <w:snapToGrid w:val="0"/>
              <w:spacing w:before="0" w:after="0"/>
              <w:ind w:left="113" w:right="113"/>
              <w:jc w:val="center"/>
              <w:rPr>
                <w:rFonts w:ascii="Arial Rounded MT Bold" w:hAnsi="Arial Rounded MT Bold" w:cs="Arial"/>
                <w:color w:val="5B9BD5"/>
                <w:sz w:val="52"/>
              </w:rPr>
            </w:pPr>
            <w:r>
              <w:rPr>
                <w:sz w:val="52"/>
              </w:rPr>
              <w:tab/>
            </w:r>
            <w:fldSimple w:instr=" DOCPROPERTY &quot;DocumentClass&quot; \* MERGEFORMAT ">
              <w:r>
                <w:rPr>
                  <w:rFonts w:ascii="Arial Rounded MT Bold" w:hAnsi="Arial Rounded MT Bold" w:cs="Arial"/>
                  <w:color w:val="5B9BD5"/>
                  <w:sz w:val="5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fldSimple>
          </w:p>
        </w:tc>
      </w:tr>
      <w:tr>
        <w:trPr>
          <w:trHeight w:val="806"/>
        </w:trPr>
        <w:tc>
          <w:tcPr>
            <w:tcW w:w="4600" w:type="pct"/>
            <w:gridSpan w:val="3"/>
            <w:tcBorders>
              <w:top w:val="single" w:color="auto" w:sz="4" w:space="0"/>
              <w:bottom w:val="nil"/>
              <w:right w:val="nil"/>
            </w:tcBorders>
            <w:shd w:val="clear" w:color="auto" w:fill="EBEBEB"/>
            <w:vAlign w:val="center"/>
          </w:tcPr>
          <w:p>
            <w:pPr>
              <w:spacing w:before="0" w:after="0"/>
              <w:ind w:left="1701" w:right="567"/>
              <w:jc w:val="left"/>
              <w:rPr>
                <w:rFonts w:ascii="Arial Rounded MT Bold" w:hAnsi="Arial Rounded MT Bold" w:cs="Arial"/>
                <w:b/>
                <w:sz w:val="48"/>
              </w:rPr>
            </w:pPr>
            <w:fldSimple w:instr=" DOCPROPERTY &quot;DocNumber&quot; \* MERGEFORMAT ">
              <w:r>
                <w:rPr>
                  <w:rFonts w:ascii="Arial Rounded MT Bold" w:hAnsi="Arial Rounded MT Bold" w:cs="Arial"/>
                  <w:b/>
                  <w:sz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30050</w:t>
              </w:r>
            </w:fldSimple>
          </w:p>
        </w:tc>
        <w:tc>
          <w:tcPr>
            <w:tcW w:w="400" w:type="pct"/>
            <w:vMerge/>
            <w:tcBorders>
              <w:top w:val="single" w:color="auto" w:sz="4" w:space="0"/>
              <w:left w:val="nil"/>
              <w:bottom w:val="single" w:color="auto" w:sz="4" w:space="0"/>
            </w:tcBorders>
            <w:textDirection w:val="tbRl"/>
          </w:tcPr>
          <w:p/>
        </w:tc>
      </w:tr>
      <w:tr>
        <w:tc>
          <w:tcPr>
            <w:tcW w:w="4600" w:type="pct"/>
            <w:gridSpan w:val="3"/>
            <w:tcBorders>
              <w:top w:val="nil"/>
              <w:bottom w:val="nil"/>
              <w:right w:val="nil"/>
            </w:tcBorders>
            <w:shd w:val="clear" w:color="auto" w:fill="FFFFFF"/>
          </w:tcPr>
          <w:p>
            <w:pPr>
              <w:spacing w:before="240"/>
              <w:ind w:left="1701"/>
              <w:jc w:val="left"/>
              <w:rPr>
                <w:rFonts w:ascii="Calibri" w:hAnsi="Calibri" w:cs="Arial"/>
                <w:b/>
                <w:sz w:val="48"/>
              </w:rPr>
            </w:pPr>
            <w:fldSimple w:instr=" TITLE \* MERGEFORMAT ">
              <w:r>
                <w:rPr>
                  <w:rFonts w:ascii="Calibri" w:hAnsi="Calibri" w:cs="Arial"/>
                  <w:b/>
                  <w:sz w:val="48"/>
                </w:rPr>
                <w:t xml:space="preserve">OPC UA for PackML</w:t>
              </w:r>
            </w:fldSimple>
          </w:p>
          <w:p>
            <w:pPr>
              <w:spacing w:before="240"/>
              <w:ind w:left="1701"/>
              <w:jc w:val="left"/>
              <w:rPr>
                <w:rFonts w:ascii="Calibri" w:hAnsi="Calibri" w:cs="Arial"/>
                <w:b/>
                <w:sz w:val="40"/>
              </w:rPr>
            </w:pPr>
            <w:fldSimple w:instr=" DOCPROPERTY &quot;Part Number&quot; \* MERGEFORMAT ">
              <w:r>
                <w:rPr>
                  <w:rFonts w:ascii="Calibri" w:hAnsi="Calibri" w:cs="Arial"/>
                  <w:b/>
                  <w:sz w:val="40"/>
                </w:rPr>
                <w:t xml:space="preserve">OPC 30050</w:t>
              </w:r>
            </w:fldSimple>
            <w:r>
              <w:rPr>
                <w:rFonts w:ascii="Calibri" w:hAnsi="Calibri" w:cs="Arial"/>
                <w:b/>
                <w:sz w:val="40"/>
              </w:rPr>
              <w:t xml:space="preserve">: </w:t>
            </w:r>
            <w:fldSimple w:instr=" DOCPROPERTY &quot;Part Name&quot; \* MERGEFORMAT ">
              <w:r>
                <w:rPr>
                  <w:rFonts w:ascii="Calibri" w:hAnsi="Calibri" w:cs="Arial"/>
                  <w:b/>
                  <w:sz w:val="40"/>
                </w:rPr>
                <w:t xml:space="preserve">OPC UA for PackML</w:t>
              </w:r>
            </w:fldSimple>
          </w:p>
          <w:p>
            <w:pPr>
              <w:spacing w:before="240"/>
              <w:ind w:left="1701"/>
              <w:rPr>
                <w:sz w:val="56"/>
              </w:rPr>
            </w:pPr>
          </w:p>
          <w:p>
            <w:pPr>
              <w:spacing w:before="240"/>
              <w:ind w:left="1701"/>
              <w:rPr>
                <w:sz w:val="56"/>
              </w:rPr>
            </w:pPr>
          </w:p>
          <w:p>
            <w:pPr>
              <w:spacing w:before="240"/>
              <w:ind w:left="1701"/>
              <w:rPr>
                <w:sz w:val="56"/>
              </w:rPr>
            </w:pPr>
          </w:p>
          <w:p>
            <w:pPr>
              <w:spacing w:before="240"/>
              <w:ind w:left="1701"/>
              <w:jc w:val="left"/>
              <w:rPr>
                <w:rFonts w:ascii="Calibri" w:hAnsi="Calibri" w:cs="Arial"/>
                <w:b/>
                <w:sz w:val="36"/>
              </w:rPr>
            </w:pPr>
            <w:fldSimple w:instr=" DOCPROPERTY &quot;OPCReleaseType&quot; \* MERGEFORMAT ">
              <w:r>
                <w:rPr>
                  <w:rFonts w:ascii="Calibri" w:hAnsi="Calibri" w:cs="Arial"/>
                  <w:b/>
                  <w:sz w:val="36"/>
                </w:rPr>
                <w:t xml:space="preserve">Draft</w:t>
              </w:r>
            </w:fldSimple>
            <w:r>
              <w:rPr>
                <w:rFonts w:ascii="Calibri" w:hAnsi="Calibri" w:cs="Arial"/>
                <w:b/>
                <w:sz w:val="36"/>
              </w:rPr>
              <w:t xml:space="preserve"> </w:t>
            </w:r>
            <w:fldSimple w:instr=" DOCPROPERTY &quot;OPCVersion&quot; \* MERGEFORMAT ">
              <w:r>
                <w:rPr>
                  <w:rFonts w:ascii="Calibri" w:hAnsi="Calibri" w:cs="Arial"/>
                  <w:b/>
                  <w:sz w:val="36"/>
                </w:rPr>
                <w:t xml:space="preserve">2.0.0</w:t>
              </w:r>
            </w:fldSimple>
          </w:p>
          <w:p>
            <w:pPr>
              <w:spacing w:before="240"/>
              <w:ind w:left="1701"/>
              <w:jc w:val="left"/>
              <w:rPr>
                <w:rFonts w:ascii="Calibri" w:hAnsi="Calibri" w:cs="Arial"/>
                <w:b/>
                <w:sz w:val="36"/>
              </w:rPr>
            </w:pPr>
            <w:fldSimple w:instr=" DOCPROPERTY &quot;Date completed&quot; \* MERGEFORMAT ">
              <w:r>
                <w:rPr>
                  <w:rFonts w:ascii="Calibri" w:hAnsi="Calibri" w:cs="Arial"/>
                  <w:b/>
                  <w:sz w:val="36"/>
                </w:rPr>
                <w:t xml:space="preserve">2026-08-25</w:t>
              </w:r>
            </w:fldSimple>
          </w:p>
          <w:p>
            <w:pPr>
              <w:spacing w:before="240"/>
              <w:ind w:left="1701"/>
              <w:rPr>
                <w:sz w:val="32"/>
              </w:rPr>
            </w:pPr>
          </w:p>
        </w:tc>
        <w:tc>
          <w:tcPr>
            <w:tcW w:w="400" w:type="pct"/>
            <w:vMerge/>
            <w:tcBorders>
              <w:top w:val="single" w:color="auto" w:sz="4" w:space="0"/>
              <w:left w:val="nil"/>
              <w:bottom w:val="nil"/>
            </w:tcBorders>
            <w:textDirection w:val="tbRl"/>
          </w:tcPr>
          <w:p/>
        </w:tc>
      </w:tr>
    </w:tbl>
    <w:p>
      <w:pPr>
        <w:pStyle w:val="spacer"/>
        <w:sectPr>
          <w:headerReference w:type="first" r:id="rIdHdrBlank"/>
          <w:headerReference w:type="even" r:id="rIdHdrBlank"/>
          <w:headerReference w:type="default" r:id="rIdHdrBlank"/>
          <w:pgSz w:w="11906" w:h="16838" w:code="9"/>
          <w:pgMar w:top="284" w:right="0" w:bottom="284" w:left="0" w:header="709" w:footer="709" w:gutter="0"/>
          <w:pgNumType w:start="1"/>
          <w:cols w:space="720"/>
          <w:titlePg/>
          <w:docGrid w:linePitch="272"/>
        </w:sectPr>
      </w:pPr>
    </w:p>
    <w:tbl>
      <w:tblP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72" w:type="dxa"/>
          <w:right w:w="72" w:type="dxa"/>
        </w:tblCellMar>
        <w:tblLook w:val="0000" w:firstRow="0" w:lastRow="0" w:firstColumn="0" w:lastColumn="0" w:noHBand="0" w:noVBand="0"/>
      </w:tblPr>
      <w:tblGrid>
        <w:gridCol w:w="1515"/>
        <w:gridCol w:w="2509"/>
        <w:gridCol w:w="1201"/>
        <w:gridCol w:w="3845"/>
      </w:tblGrid>
      <w:tr>
        <w:tc>
          <w:tcPr>
            <w:tcW w:w="1515" w:type="dxa"/>
          </w:tcPr>
          <w:p>
            <w:pPr>
              <w:pStyle w:val="TABLE-col-heading"/>
              <w:jc w:val="left"/>
            </w:pPr>
            <w:r>
              <w:t>Specification Type:</w:t>
            </w:r>
          </w:p>
        </w:tc>
        <w:tc>
          <w:tcPr>
            <w:tcW w:w="2509" w:type="dxa"/>
          </w:tcPr>
          <w:p>
            <w:pPr>
              <w:pStyle w:val="TABLE-cell"/>
            </w:pPr>
            <w:r>
              <w:t>Industry Standard Specification</w:t>
            </w:r>
          </w:p>
        </w:tc>
        <w:tc>
          <w:tcPr>
            <w:tcW w:w="1201" w:type="dxa"/>
          </w:tcPr>
          <w:p>
            <w:pPr>
              <w:pStyle w:val="TABLE-col-heading"/>
              <w:jc w:val="left"/>
            </w:pPr>
            <w:r>
              <w:t>Comments:</w:t>
            </w:r>
          </w:p>
        </w:tc>
        <w:tc>
          <w:tcPr>
            <w:tcW w:w="3845" w:type="dxa"/>
          </w:tcPr>
          <w:p>
            <w:pPr>
              <w:pStyle w:val="TABLE-cell"/>
            </w:pPr>
          </w:p>
        </w:tc>
      </w:tr>
      <w:tr>
        <w:tc>
          <w:tcPr>
            <w:tcW w:w="1515" w:type="dxa"/>
          </w:tcPr>
          <w:p>
            <w:pPr>
              <w:pStyle w:val="TABLE-col-heading"/>
              <w:jc w:val="left"/>
            </w:pPr>
            <w:r>
              <w:t>Document Number:</w:t>
            </w:r>
          </w:p>
        </w:tc>
        <w:tc>
          <w:tcPr>
            <w:tcW w:w="2509" w:type="dxa"/>
          </w:tcPr>
          <w:p>
            <w:pPr>
              <w:pStyle w:val="TABLE-cell"/>
            </w:pPr>
            <w:fldSimple w:instr=" DOCPROPERTY &quot;DocNumber&quot; \* MERGEFORMAT ">
              <w:r>
                <w:t xml:space="preserve">OPC 30050</w:t>
              </w:r>
            </w:fldSimple>
          </w:p>
        </w:tc>
        <w:tc>
          <w:tcPr>
            <w:tcW w:w="1201" w:type="dxa"/>
          </w:tcPr>
          <w:p>
            <w:pPr>
              <w:pStyle w:val="TABLE-col-heading"/>
              <w:jc w:val="left"/>
            </w:pPr>
            <w:r>
              <w:t>Date:</w:t>
            </w:r>
          </w:p>
        </w:tc>
        <w:tc>
          <w:tcPr>
            <w:tcW w:w="3845" w:type="dxa"/>
          </w:tcPr>
          <w:p>
            <w:pPr>
              <w:pStyle w:val="TABLE-cell"/>
            </w:pPr>
            <w:fldSimple w:instr=" DOCPROPERTY &quot;Date completed&quot; \* MERGEFORMAT ">
              <w:r>
                <w:t xml:space="preserve">2026-08-25</w:t>
              </w:r>
            </w:fldSimple>
          </w:p>
        </w:tc>
      </w:tr>
      <w:tr>
        <w:tc>
          <w:tcPr>
            <w:tcW w:w="1515" w:type="dxa"/>
          </w:tcPr>
          <w:p>
            <w:pPr>
              <w:pStyle w:val="TABLE-col-heading"/>
              <w:jc w:val="left"/>
            </w:pPr>
            <w:r>
              <w:t>Title:</w:t>
            </w:r>
          </w:p>
        </w:tc>
        <w:tc>
          <w:tcPr>
            <w:tcW w:w="2509" w:type="dxa"/>
          </w:tcPr>
          <w:p>
            <w:pPr>
              <w:pStyle w:val="TABLE-cell"/>
            </w:pPr>
            <w:fldSimple w:instr=" TITLE \* MERGEFORMAT ">
              <w:r>
                <w:t xml:space="preserve">OPC UA for PackML</w:t>
              </w:r>
            </w:fldSimple>
          </w:p>
        </w:tc>
        <w:tc>
          <w:tcPr>
            <w:tcW w:w="1201" w:type="dxa"/>
          </w:tcPr>
          <w:p>
            <w:pPr>
              <w:pStyle w:val="TABLE-col-heading"/>
              <w:jc w:val="left"/>
            </w:pPr>
            <w:r>
              <w:t>Status:</w:t>
            </w:r>
          </w:p>
        </w:tc>
        <w:tc>
          <w:tcPr>
            <w:tcW w:w="3845" w:type="dxa"/>
          </w:tcPr>
          <w:p>
            <w:pPr>
              <w:pStyle w:val="TABLE-cell"/>
            </w:pPr>
            <w:fldSimple w:instr=" DOCPROPERTY &quot;OPCReleaseType&quot; \* MERGEFORMAT ">
              <w:r>
                <w:t xml:space="preserve">Draft</w:t>
              </w:r>
            </w:fldSimple>
          </w:p>
        </w:tc>
      </w:tr>
      <w:tr>
        <w:tc>
          <w:tcPr>
            <w:tcW w:w="1515" w:type="dxa"/>
          </w:tcPr>
          <w:p>
            <w:pPr>
              <w:pStyle w:val="TABLE-col-heading"/>
              <w:jc w:val="left"/>
            </w:pPr>
            <w:r>
              <w:t>Version:</w:t>
            </w:r>
          </w:p>
        </w:tc>
        <w:tc>
          <w:tcPr>
            <w:tcW w:w="2509" w:type="dxa"/>
          </w:tcPr>
          <w:p>
            <w:pPr>
              <w:pStyle w:val="TABLE-cell"/>
            </w:pPr>
            <w:fldSimple w:instr=" DOCPROPERTY &quot;OPCVersion&quot; \* MERGEFORMAT ">
              <w:r>
                <w:t xml:space="preserve">2.0.0</w:t>
              </w:r>
            </w:fldSimple>
          </w:p>
        </w:tc>
        <w:tc>
          <w:tcPr>
            <w:tcW w:w="1201" w:type="dxa"/>
          </w:tcPr>
          <w:p>
            <w:pPr>
              <w:pStyle w:val="TABLE-col-heading"/>
              <w:jc w:val="left"/>
            </w:pPr>
            <w:r>
              <w:t>Source:</w:t>
            </w:r>
          </w:p>
        </w:tc>
        <w:tc>
          <w:tcPr>
            <w:tcW w:w="3845" w:type="dxa"/>
          </w:tcPr>
          <w:p>
            <w:pPr>
              <w:pStyle w:val="TABLE-cell"/>
            </w:pPr>
            <w:fldSimple w:instr=" FILENAME \* MERGEFORMAT ">
              <w:r>
                <w:t>SpecificationTemplate.docx</w:t>
              </w:r>
            </w:fldSimple>
          </w:p>
        </w:tc>
      </w:tr>
      <w:tr>
        <w:tc>
          <w:tcPr>
            <w:tcW w:w="1515" w:type="dxa"/>
          </w:tcPr>
          <w:p>
            <w:pPr>
              <w:pStyle w:val="TABLE-col-heading"/>
              <w:jc w:val="left"/>
            </w:pPr>
            <w:r>
              <w:t>Author:</w:t>
            </w:r>
          </w:p>
        </w:tc>
        <w:tc>
          <w:tcPr>
            <w:tcW w:w="2509" w:type="dxa"/>
          </w:tcPr>
          <w:p>
            <w:pPr>
              <w:pStyle w:val="TABLE-cell"/>
            </w:pPr>
            <w:fldSimple w:instr=" DOCPROPERTY &quot;Author&quot; \* MERGEFORMAT ">
              <w:r>
                <w:t xml:space="preserve">OPC Foundation</w:t>
              </w:r>
            </w:fldSimple>
          </w:p>
        </w:tc>
        <w:tc>
          <w:tcPr>
            <w:tcW w:w="1201" w:type="dxa"/>
          </w:tcPr>
          <w:p>
            <w:pPr>
              <w:pStyle w:val="TABLE-col-heading"/>
              <w:jc w:val="left"/>
            </w:pPr>
            <w:r>
              <w:t>Software:</w:t>
            </w:r>
          </w:p>
        </w:tc>
        <w:tc>
          <w:tcPr>
            <w:tcW w:w="3845" w:type="dxa"/>
          </w:tcPr>
          <w:p>
            <w:pPr>
              <w:pStyle w:val="TABLE-cell"/>
            </w:pPr>
            <w:r>
              <w:t>MS-Word</w:t>
            </w:r>
          </w:p>
        </w:tc>
      </w:tr>
    </w:tbl>
    <w:p>
      <w:pPr>
        <w:pStyle w:val="spacer"/>
      </w:pPr>
    </w:p>
    <w:p>
      <w:pPr>
        <w:pStyle w:val="spacer"/>
      </w:pPr>
    </w:p>
    <w:p>
      <w:pPr>
        <w:pStyle w:val="spacer"/>
      </w:pPr>
    </w:p>
    <w:p>
      <w:pPr>
        <w:pStyle w:val="HEADINGNonumber"/>
        <w:outlineLvl w:val="9"/>
      </w:pPr>
      <w:r>
        <w:t>CONTENTS</w:t>
      </w:r>
    </w:p>
    <w:p>
      <w:pPr>
        <w:pStyle w:val="PARAGRAPH"/>
      </w:pPr>
      <w:r>
        <w:fldChar w:fldCharType="begin"/>
      </w:r>
      <w:r>
        <w:instrText xml:space="preserve"> TOC \o "1-3" \h \z \u </w:instrText>
      </w:r>
      <w:r>
        <w:fldChar w:fldCharType="separate"/>
      </w:r>
      <w:r>
        <w:t>&lt;table of contents is built by Word: select all and press F9&gt;</w:t>
      </w:r>
      <w:r>
        <w:fldChar w:fldCharType="end"/>
      </w:r>
    </w:p>
    <w:p>
      <w:pPr>
        <w:pStyle w:val="PARAGRAPH"/>
      </w:pPr>
      <w:r>
        <w:br w:type="page"/>
      </w:r>
    </w:p>
    <w:p>
      <w:pPr>
        <w:pStyle w:val="HEADINGNonumber"/>
        <w:outlineLvl w:val="9"/>
      </w:pPr>
      <w:r>
        <w:t>Figures</w:t>
      </w:r>
    </w:p>
    <w:p>
      <w:pPr>
        <w:pStyle w:val="PARAGRAPH"/>
      </w:pPr>
      <w:r>
        <w:fldChar w:fldCharType="begin"/>
      </w:r>
      <w:r>
        <w:instrText xml:space="preserve"> TOC \h \z \t "FIGURE-title,1" </w:instrText>
      </w:r>
      <w:r>
        <w:fldChar w:fldCharType="separate"/>
      </w:r>
      <w:r>
        <w:t>&lt;table of figures is built by Word: select all and press F9&gt;</w:t>
      </w:r>
      <w:r>
        <w:fldChar w:fldCharType="end"/>
      </w:r>
    </w:p>
    <w:p>
      <w:pPr>
        <w:pStyle w:val="PARAGRAPH"/>
      </w:pPr>
      <w:r>
        <w:br w:type="page"/>
      </w:r>
    </w:p>
    <w:p>
      <w:pPr>
        <w:pStyle w:val="HEADINGNonumber"/>
        <w:outlineLvl w:val="9"/>
      </w:pPr>
      <w:r>
        <w:t>Tables</w:t>
      </w:r>
    </w:p>
    <w:p>
      <w:pPr>
        <w:pStyle w:val="PARAGRAPH"/>
      </w:pPr>
      <w:r>
        <w:fldChar w:fldCharType="begin"/>
      </w:r>
      <w:r>
        <w:instrText xml:space="preserve"> TOC \h \z \t "TABLE-title,1" </w:instrText>
      </w:r>
      <w:r>
        <w:fldChar w:fldCharType="separate"/>
      </w:r>
      <w:r>
        <w:t>&lt;table of tables is built by Word: select all and press F9&gt;</w:t>
      </w:r>
      <w:r>
        <w:fldChar w:fldCharType="end"/>
      </w:r>
    </w:p>
    <w:p>
      <w:pPr>
        <w:pStyle w:val="PARAGRAPH"/>
      </w:pPr>
      <w:r>
        <w:br w:type="page"/>
      </w:r>
    </w:p>
    <w:p>
      <w:pPr>
        <w:pStyle w:val="HEADINGNonumber"/>
        <w:outlineLvl w:val="9"/>
      </w:pPr>
      <w:bookmarkStart w:name="Sts_agreement_of_use" w:id="3"/>
      <w:r>
        <w:rPr/>
        <w:t xml:space="preserve">OPC FOUNDATION</w:t>
      </w:r>
      <w:bookmarkEnd w:id="3"/>
    </w:p>
    <w:p>
      <w:pPr>
        <w:pStyle w:val="HEADINGNonumber"/>
        <w:outlineLvl w:val="9"/>
      </w:pPr>
      <w:r>
        <w:rPr/>
        <w:t xml:space="preserve">AGREEMENT OF USE</w:t>
      </w:r>
    </w:p>
    <w:p>
      <w:pPr>
        <w:pStyle w:val="HEADINGNonumber2"/>
        <w:outlineLvl w:val="9"/>
      </w:pPr>
      <w:r>
        <w:rPr/>
        <w:t xml:space="preserve">COPYRIGHT RESTRICTIONS</w:t>
      </w:r>
    </w:p>
    <w:p>
      <w:pPr>
        <w:pStyle w:val="ListBullet"/>
        <w:outlineLvl w:val="9"/>
      </w:pPr>
      <w:r>
        <w:rPr/>
        <w:t xml:space="preserve">This document is provided "as is" by the OPC Foundation.</w:t>
      </w:r>
    </w:p>
    <w:p>
      <w:pPr>
        <w:pStyle w:val="ListBullet"/>
        <w:outlineLvl w:val="9"/>
      </w:pPr>
      <w:r>
        <w:rPr/>
        <w:t xml:space="preserve">Right of use for this specification is restricted to this specification and does not grant rights of use for referred documents.</w:t>
      </w:r>
    </w:p>
    <w:p>
      <w:pPr>
        <w:pStyle w:val="ListBullet"/>
        <w:outlineLvl w:val="9"/>
      </w:pPr>
      <w:r>
        <w:rPr/>
        <w:t xml:space="preserve">Right of use for this specification will be granted without cost.</w:t>
      </w:r>
    </w:p>
    <w:p>
      <w:pPr>
        <w:pStyle w:val="ListBullet"/>
        <w:outlineLvl w:val="9"/>
      </w:pPr>
      <w:r>
        <w:rPr/>
        <w:t xml:space="preserve">This document may be distributed through computer systems, printed or copied as long as the content remains unchanged and the document is not modified.</w:t>
      </w:r>
    </w:p>
    <w:p>
      <w:pPr>
        <w:pStyle w:val="ListBullet"/>
        <w:outlineLvl w:val="9"/>
      </w:pPr>
      <w:r>
        <w:rPr/>
        <w:t xml:space="preserve">OPC Foundation does not guarantee usability for any purpose and shall not be made liable for any case using the content of this document.</w:t>
      </w:r>
    </w:p>
    <w:p>
      <w:pPr>
        <w:pStyle w:val="ListBullet"/>
        <w:outlineLvl w:val="9"/>
      </w:pPr>
      <w:r>
        <w:rPr/>
        <w:t xml:space="preserve">The user of the document agrees to indemnify OPC Foundation and their officers, directors and agents harmless from all demands, claims, actions, losses, damages (including damages from personal injuries), costs and expenses (including attorneys' fees) which are in any way related to activities associated with its use of content from this specification.</w:t>
      </w:r>
    </w:p>
    <w:p>
      <w:pPr>
        <w:pStyle w:val="ListBullet"/>
        <w:outlineLvl w:val="9"/>
      </w:pPr>
      <w:r>
        <w:rPr/>
        <w:t xml:space="preserve">The document shall not be used in conjunction with company advertising, shall not be sold or licensed to any party.</w:t>
      </w:r>
    </w:p>
    <w:p>
      <w:pPr>
        <w:pStyle w:val="ListBullet"/>
        <w:outlineLvl w:val="9"/>
      </w:pPr>
      <w:r>
        <w:rPr/>
        <w:t xml:space="preserve">The intellectual property and copyright are solely owned by the OPC Foundation.</w:t>
      </w:r>
    </w:p>
    <w:p>
      <w:pPr>
        <w:pStyle w:val="HEADINGNonumber2"/>
        <w:outlineLvl w:val="9"/>
      </w:pPr>
      <w:r>
        <w:rPr/>
        <w:t xml:space="preserve">PATENTS</w:t>
      </w:r>
    </w:p>
    <w:p>
      <w:pPr>
        <w:pStyle w:val="PARAGRAPH"/>
        <w:outlineLvl w:val="9"/>
      </w:pPr>
      <w:r>
        <w:rPr/>
        <w:t xml:space="preserve">The attention of adopters is directed to the possibility that compliance with or adoption of OPC specifications may require use of an invention covered by patent rights. OPC Foundation shall not be responsible for identifying patents for which a license may be required by any OPC specification, or for conducting legal inquiries into the legal validity or scope of those patents that are brought to its attention. OPC specifications are prospective and advisory only. Prospective users are responsible for protecting themselves against liability for infringement of patents.</w:t>
      </w:r>
    </w:p>
    <w:p>
      <w:pPr>
        <w:pStyle w:val="HEADINGNonumber2"/>
        <w:outlineLvl w:val="9"/>
      </w:pPr>
      <w:r>
        <w:rPr/>
        <w:t xml:space="preserve">WARRANTY AND LIABILITY DISCLAIMERS</w:t>
      </w:r>
    </w:p>
    <w:p>
      <w:pPr>
        <w:pStyle w:val="PARAGRAPH"/>
        <w:outlineLvl w:val="9"/>
      </w:pPr>
      <w:r>
        <w:rPr/>
        <w:t xml:space="preserve">WHILE THIS PUBLICATION IS BELIEVED TO BE ACCURATE, IT IS PROVIDED "AS IS" AND MAY CONTAIN ERRORS OR MISPRINTS. THE OPC FOUNDATION MAKES NO WARRANTY OF ANY KIND, EXPRESSED OR IMPLIED, WITH REGARD TO THIS PUBLICATION, INCLUDING BUT NOT LIMITED TO ANY WARRANTY OF TITLE OR OWNERSHIP, IMPLIED WARRANTY OF MERCHANTABILITY OR WARRANTY OF FITNESS FOR A PARTICULAR PURPOSE OR USE. IN NO EVENT SHALL THE OPC FOUNDATION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pPr>
        <w:pStyle w:val="PARAGRAPH"/>
        <w:outlineLvl w:val="9"/>
      </w:pPr>
      <w:r>
        <w:rPr/>
        <w:t xml:space="preserve">The entire risk as to the quality and performance of software developed using this specification is borne by you.</w:t>
      </w:r>
    </w:p>
    <w:p>
      <w:pPr>
        <w:pStyle w:val="HEADINGNonumber2"/>
        <w:outlineLvl w:val="9"/>
      </w:pPr>
      <w:r>
        <w:rPr/>
        <w:t xml:space="preserve">RESTRICTED RIGHTS LEGEND</w:t>
      </w:r>
    </w:p>
    <w:p>
      <w:pPr>
        <w:pStyle w:val="PARAGRAPH"/>
        <w:outlineLvl w:val="9"/>
      </w:pPr>
      <w:r>
        <w:rPr/>
        <w:t xml:space="preserve">This Specification is provided with Restricted Rights. Use, duplication,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pPr>
        <w:pStyle w:val="HEADINGNonumber2"/>
        <w:outlineLvl w:val="9"/>
      </w:pPr>
      <w:r>
        <w:rPr/>
        <w:t xml:space="preserve">COMPLIANCE</w:t>
      </w:r>
    </w:p>
    <w:p>
      <w:pPr>
        <w:pStyle w:val="PARAGRAPH"/>
        <w:outlineLvl w:val="9"/>
      </w:pPr>
      <w:r>
        <w:rPr/>
        <w:t xml:space="preserve">The OPC Foundation shall at all times be the sole entities that may authorize developers, suppliers and sellers of hardware and software to use certification marks, trademarks,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the OPC Foundation. Products that do not meet these requirements may claim only that the product was based on this specification and must not claim compliance or conformance with this specification.</w:t>
      </w:r>
    </w:p>
    <w:p>
      <w:pPr>
        <w:pStyle w:val="HEADINGNonumber2"/>
        <w:outlineLvl w:val="9"/>
      </w:pPr>
      <w:r>
        <w:rPr/>
        <w:t xml:space="preserve">TRADEMARKS</w:t>
      </w:r>
    </w:p>
    <w:p>
      <w:pPr>
        <w:pStyle w:val="PARAGRAPH"/>
        <w:outlineLvl w:val="9"/>
      </w:pPr>
      <w:r>
        <w:rPr/>
        <w:t xml:space="preserve">Most computer and software brand names have trademarks or registered trademarks. The individual trademarks have not been listed here.</w:t>
      </w:r>
    </w:p>
    <w:p>
      <w:pPr>
        <w:pStyle w:val="HEADINGNonumber2"/>
        <w:outlineLvl w:val="9"/>
      </w:pPr>
      <w:r>
        <w:rPr/>
        <w:t xml:space="preserve">GENERAL PROVISIONS</w:t>
      </w:r>
    </w:p>
    <w:p>
      <w:pPr>
        <w:pStyle w:val="PARAGRAPH"/>
        <w:outlineLvl w:val="9"/>
      </w:pPr>
      <w:r>
        <w:rPr/>
        <w:t xml:space="preserve">Should any provision of this Agreement be held to be void, invalid, unenforceable, or illegal by a court, the validity and enforceability of the other provisions shall not be affected thereby.</w:t>
      </w:r>
    </w:p>
    <w:p>
      <w:pPr>
        <w:pStyle w:val="PARAGRAPH"/>
        <w:outlineLvl w:val="9"/>
      </w:pPr>
      <w:r>
        <w:rPr/>
        <w:t xml:space="preserve">This Agreement shall be governed by and construed under the laws of Germany.</w:t>
      </w:r>
    </w:p>
    <w:p>
      <w:pPr>
        <w:pStyle w:val="PARAGRAPH"/>
        <w:outlineLvl w:val="9"/>
      </w:pPr>
      <w:r>
        <w:rPr/>
        <w:t xml:space="preserve">This Agreement embodies the entire understanding between the parties with respect to, and supersedes any prior understanding or agreement (oral or written) relating to, this specification.</w:t>
      </w:r>
    </w:p>
    <w:p>
      <w:pPr>
        <w:pStyle w:val="HEADINGNonumber2"/>
        <w:outlineLvl w:val="9"/>
      </w:pPr>
      <w:r>
        <w:rPr/>
        <w:t xml:space="preserve">ISSUE REPORTING</w:t>
      </w:r>
    </w:p>
    <w:p>
      <w:pPr>
        <w:pStyle w:val="PARAGRAPH"/>
        <w:outlineLvl w:val="9"/>
      </w:pPr>
      <w:r>
        <w:rPr/>
        <w:t xml:space="preserve">If an error or problem is found in this specification, the UaNodeSet, or any associated supplementary files, it should be reported as an issue.</w:t>
      </w:r>
    </w:p>
    <w:p>
      <w:pPr>
        <w:pStyle w:val="PARAGRAPH"/>
        <w:outlineLvl w:val="9"/>
      </w:pPr>
      <w:r>
        <w:rPr/>
        <w:t xml:space="preserve">The reporting process can be found here: https://opcfoundation.org/resources/issue-tracking/</w:t>
      </w:r>
    </w:p>
    <w:p>
      <w:pPr>
        <w:pStyle w:val="spacer"/>
        <w:sectPr>
          <w:headerReference w:type="even" r:id="rIdHdrEven"/>
          <w:headerReference w:type="default" r:id="rIdHdrOdd"/>
          <w:pgSz w:w="11906" w:h="16838" w:code="9"/>
          <w:pgMar w:top="1418" w:right="1418" w:bottom="1134" w:left="1418" w:header="851" w:footer="850" w:gutter="0"/>
          <w:pgNumType w:fmt="lowerRoman" w:start="1"/>
          <w:cols w:space="720"/>
          <w:docGrid w:linePitch="272"/>
        </w:sectPr>
      </w:pPr>
    </w:p>
    <w:p>
      <w:pPr>
        <w:pStyle w:val="MAIN-TITLE"/>
      </w:pPr>
      <w:fldSimple w:instr=" TITLE \* MERGEFORMAT ">
        <w:r>
          <w:t xml:space="preserve">OPC UA for PackML</w:t>
        </w:r>
      </w:fldSimple>
    </w:p>
    <w:p>
      <w:pPr>
        <w:pStyle w:val="MAIN-TITLE"/>
      </w:pPr>
      <w:fldSimple w:instr=" DOCPROPERTY &quot;Part Number&quot; \* MERGEFORMAT ">
        <w:r>
          <w:t xml:space="preserve">OPC 30050</w:t>
        </w:r>
      </w:fldSimple>
      <w:r>
        <w:t xml:space="preserve">: </w:t>
      </w:r>
      <w:fldSimple w:instr=" DOCPROPERTY &quot;Part Name&quot; \* MERGEFORMAT ">
        <w:r>
          <w:t xml:space="preserve">OPC UA for PackML</w:t>
        </w:r>
      </w:fldSimple>
    </w:p>
    <w:p>
      <w:pPr>
        <w:pStyle w:val="spacer"/>
      </w:pPr>
    </w:p>
    <w:p>
      <w:pPr>
        <w:pStyle w:val="Heading1"/>
      </w:pPr>
      <w:bookmarkStart w:name="Sts_sec_1" w:id="4"/>
      <w:r>
        <w:rPr/>
        <w:t xml:space="preserve">Scope</w:t>
      </w:r>
      <w:bookmarkEnd w:id="4"/>
    </w:p>
    <w:p>
      <w:pPr>
        <w:pStyle w:val="PARAGRAPH"/>
      </w:pPr>
      <w:r>
        <w:rPr/>
        <w:t xml:space="preserve">This standard is an extension of the overall OPC Unified Architecture standards and defines an information model that conforms to the PackML object model defined in ISA-TR88.00.02-2015 Machine and Unit States: An Implementation Example of ISA-88, and in the OMAC (Organization for Machine and Automation Control) PackML Unit/Machine Implementation Guide, referred to collectively as PackML. The PackML object model describes a standard way to monitor and control a wide variety of production equipment, following the models defined in the ANSI/ISA 88 standard. ISA-TR88.00.02 has been implemented by manufacturers and machine builders worldwide on various control platforms to increase speed to production, ease line integration and improve reliability. PackML defines standard state models for external control of a piece of equipment, a standard mode model for determining which state model to follow, standard tag names and tag values to command the equipment, determine the status of the equipment, and perform administration of the equipment. The PackML goal is to provide an easy to use and easy to test method of integration of equipment control, into a production line.</w:t>
      </w:r>
    </w:p>
    <w:p>
      <w:pPr>
        <w:pStyle w:val="PARAGRAPH"/>
      </w:pPr>
      <w:r>
        <w:rPr/>
        <w:t xml:space="preserve">The modelling targets of this standard shall exist in an OPC UA </w:t>
      </w:r>
      <w:r>
        <w:rPr>
          <w:i/>
        </w:rPr>
        <w:t xml:space="preserve">AddressSpace</w:t>
      </w:r>
      <w:r>
        <w:rPr/>
        <w:t xml:space="preserve">. This standard does not consider the modelling targets that are identified in other standards or vendor specifications.</w:t>
      </w:r>
    </w:p>
    <w:p>
      <w:pPr>
        <w:pStyle w:val="PARAGRAPH"/>
      </w:pPr>
      <w:r>
        <w:rPr>
          <w:b/>
        </w:rPr>
        <w:t xml:space="preserve">OPC Foundation</w:t>
      </w:r>
    </w:p>
    <w:p>
      <w:pPr>
        <w:pStyle w:val="PARAGRAPH"/>
      </w:pPr>
      <w:r>
        <w:rPr/>
        <w:t xml:space="preserve">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pPr>
        <w:pStyle w:val="PARAGRAPH"/>
      </w:pPr>
      <w:r>
        <w:rPr/>
        <w:t xml:space="preserve">OPC UA is a platform independent service-oriented architecture that integrates all the functionality of the individual OPC Classic specifications into one extensible framework. This multi-layered approach accomplishes the original design specification goals of:</w:t>
      </w:r>
    </w:p>
    <w:p>
      <w:pPr>
        <w:pStyle w:val="ListBullet"/>
      </w:pPr>
      <w:r>
        <w:rPr/>
        <w:t xml:space="preserve">Platform independence: from an embedded microcontroller to cloud-based infrastructure</w:t>
      </w:r>
    </w:p>
    <w:p>
      <w:pPr>
        <w:pStyle w:val="ListBullet"/>
      </w:pPr>
      <w:r>
        <w:rPr/>
        <w:t xml:space="preserve">Secure: encryption, authentication, authorisation, and auditing</w:t>
      </w:r>
    </w:p>
    <w:p>
      <w:pPr>
        <w:pStyle w:val="ListBullet"/>
      </w:pPr>
      <w:r>
        <w:rPr/>
        <w:t xml:space="preserve">Extensible: ability to add new features including transports without affecting existing applications</w:t>
      </w:r>
    </w:p>
    <w:p>
      <w:pPr>
        <w:pStyle w:val="ListBullet"/>
      </w:pPr>
      <w:r>
        <w:rPr/>
        <w:t xml:space="preserve">Comprehensive information modelling capabilities: for defining any model from simple to complex</w:t>
      </w:r>
    </w:p>
    <w:p>
      <w:pPr>
        <w:pStyle w:val="PARAGRAPH"/>
      </w:pPr>
      <w:r>
        <w:rPr>
          <w:b/>
        </w:rPr>
        <w:t xml:space="preserve">Other Organization</w:t>
      </w:r>
    </w:p>
    <w:p>
      <w:pPr>
        <w:pStyle w:val="PARAGRAPH"/>
      </w:pPr>
      <w:r>
        <w:rPr/>
        <w:t xml:space="preserve">[INFORMATION ABOUT OTHER ORGANIZATION CONTRIBUTING TO THE SPECIFICATION]</w:t>
      </w:r>
    </w:p>
    <w:p>
      <w:pPr>
        <w:pStyle w:val="Heading1"/>
      </w:pPr>
      <w:bookmarkStart w:name="Sts_sec_2" w:id="5"/>
      <w:r>
        <w:rPr/>
        <w:t xml:space="preserve">Normative references</w:t>
      </w:r>
      <w:bookmarkEnd w:id="5"/>
    </w:p>
    <w:p>
      <w:pPr>
        <w:pStyle w:val="PARAGRAPH"/>
      </w:pPr>
      <w:r>
        <w:rPr/>
        <w:t xml:space="preserve">The following documents are referred to in the text in such a way that some or all of their content constitutes requirements of this document. For dated references, only the edition cited applies. For undated references, the latest edition of the referenced document (including any amendments and errata) applies.</w:t>
      </w:r>
    </w:p>
    <w:p>
      <w:pPr>
        <w:pStyle w:val="PARAGRAPH"/>
        <w:spacing w:after="0"/>
      </w:pPr>
      <w:bookmarkStart w:name="Sts_ref_uapart1" w:id="6"/>
      <w:r>
        <w:t xml:space="preserve">OPC 10000-1</w:t>
      </w:r>
      <w:bookmarkEnd w:id="6"/>
      <w:r>
        <w:t xml:space="preserve">, </w:t>
      </w:r>
      <w:r>
        <w:rPr>
          <w:i/>
        </w:rPr>
        <w:t xml:space="preserve">OPC Unified Architecture - Part 1: Overview and Concepts</w:t>
      </w:r>
    </w:p>
    <w:p>
      <w:pPr>
        <w:pStyle w:val="PARAGRAPH"/>
        <w:spacing w:before="60"/>
        <w:ind w:left="340"/>
      </w:pPr>
      <w:hyperlink r:id="R2bc927efd9e34e87">
        <w:r>
          <w:rPr>
            <w:rStyle w:val="Hyperlink"/>
          </w:rPr>
          <w:t xml:space="preserve">http://www.opcfoundation.org/documents/10000-1/</w:t>
        </w:r>
      </w:hyperlink>
    </w:p>
    <w:p>
      <w:pPr>
        <w:pStyle w:val="PARAGRAPH"/>
        <w:spacing w:after="0"/>
      </w:pPr>
      <w:bookmarkStart w:name="Sts_ref_uapart2" w:id="7"/>
      <w:r>
        <w:t xml:space="preserve">OPC 10000-2</w:t>
      </w:r>
      <w:bookmarkEnd w:id="7"/>
      <w:r>
        <w:t xml:space="preserve">, </w:t>
      </w:r>
      <w:r>
        <w:rPr>
          <w:i/>
        </w:rPr>
        <w:t xml:space="preserve">OPC Unified Architecture - Part 2: Security Model</w:t>
      </w:r>
    </w:p>
    <w:p>
      <w:pPr>
        <w:pStyle w:val="PARAGRAPH"/>
        <w:spacing w:before="60"/>
        <w:ind w:left="340"/>
      </w:pPr>
      <w:hyperlink r:id="R65679c08634841b1">
        <w:r>
          <w:rPr>
            <w:rStyle w:val="Hyperlink"/>
          </w:rPr>
          <w:t xml:space="preserve">http://www.opcfoundation.org/documents/10000-2/</w:t>
        </w:r>
      </w:hyperlink>
    </w:p>
    <w:p>
      <w:pPr>
        <w:pStyle w:val="PARAGRAPH"/>
        <w:spacing w:after="0"/>
      </w:pPr>
      <w:bookmarkStart w:name="Sts_ref_uapart3" w:id="8"/>
      <w:r>
        <w:t xml:space="preserve">OPC 10000-3</w:t>
      </w:r>
      <w:bookmarkEnd w:id="8"/>
      <w:r>
        <w:t xml:space="preserve">, </w:t>
      </w:r>
      <w:r>
        <w:rPr>
          <w:i/>
        </w:rPr>
        <w:t xml:space="preserve">OPC Unified Architecture - Part 3: Address Space Model</w:t>
      </w:r>
    </w:p>
    <w:p>
      <w:pPr>
        <w:pStyle w:val="PARAGRAPH"/>
        <w:spacing w:before="60"/>
        <w:ind w:left="340"/>
      </w:pPr>
      <w:hyperlink r:id="R89d2d5c7dcbb40bc">
        <w:r>
          <w:rPr>
            <w:rStyle w:val="Hyperlink"/>
          </w:rPr>
          <w:t xml:space="preserve">http://www.opcfoundation.org/documents/10000-3/</w:t>
        </w:r>
      </w:hyperlink>
    </w:p>
    <w:p>
      <w:pPr>
        <w:pStyle w:val="PARAGRAPH"/>
        <w:spacing w:after="0"/>
      </w:pPr>
      <w:bookmarkStart w:name="Sts_ref_uapart4" w:id="9"/>
      <w:r>
        <w:t xml:space="preserve">OPC 10000-4</w:t>
      </w:r>
      <w:bookmarkEnd w:id="9"/>
      <w:r>
        <w:t xml:space="preserve">, </w:t>
      </w:r>
      <w:r>
        <w:rPr>
          <w:i/>
        </w:rPr>
        <w:t xml:space="preserve">OPC Unified Architecture - Part 4: Services</w:t>
      </w:r>
    </w:p>
    <w:p>
      <w:pPr>
        <w:pStyle w:val="PARAGRAPH"/>
        <w:spacing w:before="60"/>
        <w:ind w:left="340"/>
      </w:pPr>
      <w:hyperlink r:id="R18eda28859554c87">
        <w:r>
          <w:rPr>
            <w:rStyle w:val="Hyperlink"/>
          </w:rPr>
          <w:t xml:space="preserve">http://www.opcfoundation.org/documents/10000-4/</w:t>
        </w:r>
      </w:hyperlink>
    </w:p>
    <w:p>
      <w:pPr>
        <w:pStyle w:val="PARAGRAPH"/>
        <w:spacing w:after="0"/>
      </w:pPr>
      <w:bookmarkStart w:name="Sts_ref_uapart5" w:id="10"/>
      <w:r>
        <w:t xml:space="preserve">OPC 10000-5</w:t>
      </w:r>
      <w:bookmarkEnd w:id="10"/>
      <w:r>
        <w:t xml:space="preserve">, </w:t>
      </w:r>
      <w:r>
        <w:rPr>
          <w:i/>
        </w:rPr>
        <w:t xml:space="preserve">OPC Unified Architecture - Part 5: Information Model</w:t>
      </w:r>
    </w:p>
    <w:p>
      <w:pPr>
        <w:pStyle w:val="PARAGRAPH"/>
        <w:spacing w:before="60"/>
        <w:ind w:left="340"/>
      </w:pPr>
      <w:hyperlink r:id="R943b407dfa9649d6">
        <w:r>
          <w:rPr>
            <w:rStyle w:val="Hyperlink"/>
          </w:rPr>
          <w:t xml:space="preserve">http://www.opcfoundation.org/documents/10000-5/</w:t>
        </w:r>
      </w:hyperlink>
    </w:p>
    <w:p>
      <w:pPr>
        <w:pStyle w:val="PARAGRAPH"/>
        <w:spacing w:after="0"/>
      </w:pPr>
      <w:bookmarkStart w:name="Sts_ref_uapart6" w:id="11"/>
      <w:r>
        <w:t xml:space="preserve">OPC 10000-6</w:t>
      </w:r>
      <w:bookmarkEnd w:id="11"/>
      <w:r>
        <w:t xml:space="preserve">, </w:t>
      </w:r>
      <w:r>
        <w:rPr>
          <w:i/>
        </w:rPr>
        <w:t xml:space="preserve">OPC Unified Architecture - Part 6: Mappings</w:t>
      </w:r>
    </w:p>
    <w:p>
      <w:pPr>
        <w:pStyle w:val="PARAGRAPH"/>
        <w:spacing w:before="60"/>
        <w:ind w:left="340"/>
      </w:pPr>
      <w:hyperlink r:id="R0d80e99d34534b7c">
        <w:r>
          <w:rPr>
            <w:rStyle w:val="Hyperlink"/>
          </w:rPr>
          <w:t xml:space="preserve">http://www.opcfoundation.org/documents/10000-6/</w:t>
        </w:r>
      </w:hyperlink>
    </w:p>
    <w:p>
      <w:pPr>
        <w:pStyle w:val="PARAGRAPH"/>
        <w:spacing w:after="0"/>
      </w:pPr>
      <w:bookmarkStart w:name="Sts_ref_uapart7" w:id="12"/>
      <w:r>
        <w:t xml:space="preserve">OPC 10000-7</w:t>
      </w:r>
      <w:bookmarkEnd w:id="12"/>
      <w:r>
        <w:t xml:space="preserve">, </w:t>
      </w:r>
      <w:r>
        <w:rPr>
          <w:i/>
        </w:rPr>
        <w:t xml:space="preserve">OPC Unified Architecture - Part 7: Profiles</w:t>
      </w:r>
    </w:p>
    <w:p>
      <w:pPr>
        <w:pStyle w:val="PARAGRAPH"/>
        <w:spacing w:before="60"/>
        <w:ind w:left="340"/>
      </w:pPr>
      <w:hyperlink r:id="R80fb01fca1c94cf3">
        <w:r>
          <w:rPr>
            <w:rStyle w:val="Hyperlink"/>
          </w:rPr>
          <w:t xml:space="preserve">http://www.opcfoundation.org/documents/10000-7/</w:t>
        </w:r>
      </w:hyperlink>
    </w:p>
    <w:p>
      <w:pPr>
        <w:pStyle w:val="PARAGRAPH"/>
        <w:spacing w:after="0"/>
      </w:pPr>
      <w:bookmarkStart w:name="Sts_ref_uapart8" w:id="13"/>
      <w:r>
        <w:t xml:space="preserve">OPC 10000-8</w:t>
      </w:r>
      <w:bookmarkEnd w:id="13"/>
      <w:r>
        <w:t xml:space="preserve">, </w:t>
      </w:r>
      <w:r>
        <w:rPr>
          <w:i/>
        </w:rPr>
        <w:t xml:space="preserve">OPC Unified Architecture - Part 8: Data Access</w:t>
      </w:r>
    </w:p>
    <w:p>
      <w:pPr>
        <w:pStyle w:val="PARAGRAPH"/>
        <w:spacing w:before="60"/>
        <w:ind w:left="340"/>
      </w:pPr>
      <w:hyperlink r:id="Rd792a4cdcec64067">
        <w:r>
          <w:rPr>
            <w:rStyle w:val="Hyperlink"/>
          </w:rPr>
          <w:t xml:space="preserve">http://www.opcfoundation.org/documents/10000-8/</w:t>
        </w:r>
      </w:hyperlink>
    </w:p>
    <w:p>
      <w:pPr>
        <w:pStyle w:val="PARAGRAPH"/>
        <w:spacing w:after="0"/>
      </w:pPr>
      <w:bookmarkStart w:name="Sts_ref_uapart9" w:id="14"/>
      <w:r>
        <w:t xml:space="preserve">OPC 10000-9</w:t>
      </w:r>
      <w:bookmarkEnd w:id="14"/>
      <w:r>
        <w:t xml:space="preserve">, </w:t>
      </w:r>
      <w:r>
        <w:rPr>
          <w:i/>
        </w:rPr>
        <w:t xml:space="preserve">OPC Unified Architecture - Part 9: Alarms &amp; Conditions</w:t>
      </w:r>
    </w:p>
    <w:p>
      <w:pPr>
        <w:pStyle w:val="PARAGRAPH"/>
        <w:spacing w:before="60"/>
        <w:ind w:left="340"/>
      </w:pPr>
      <w:hyperlink r:id="R1896e9a812d1488d">
        <w:r>
          <w:rPr>
            <w:rStyle w:val="Hyperlink"/>
          </w:rPr>
          <w:t xml:space="preserve">http://www.opcfoundation.org/documents/10000-9/</w:t>
        </w:r>
      </w:hyperlink>
    </w:p>
    <w:p>
      <w:pPr>
        <w:pStyle w:val="PARAGRAPH"/>
        <w:spacing w:after="0"/>
      </w:pPr>
      <w:bookmarkStart w:name="Sts_ref_uapart10" w:id="15"/>
      <w:r>
        <w:t xml:space="preserve">OPC 10000-10</w:t>
      </w:r>
      <w:bookmarkEnd w:id="15"/>
      <w:r>
        <w:t xml:space="preserve">, </w:t>
      </w:r>
      <w:r>
        <w:rPr>
          <w:i/>
        </w:rPr>
        <w:t xml:space="preserve">OPC Unified Architecture - Part 10: Programs</w:t>
      </w:r>
    </w:p>
    <w:p>
      <w:pPr>
        <w:pStyle w:val="PARAGRAPH"/>
        <w:spacing w:before="60"/>
        <w:ind w:left="340"/>
      </w:pPr>
      <w:hyperlink r:id="Ree71aa7773e84c3a">
        <w:r>
          <w:rPr>
            <w:rStyle w:val="Hyperlink"/>
          </w:rPr>
          <w:t xml:space="preserve">http://www.opcfoundation.org/documents/10000-10/</w:t>
        </w:r>
      </w:hyperlink>
    </w:p>
    <w:p>
      <w:pPr>
        <w:pStyle w:val="PARAGRAPH"/>
        <w:spacing w:after="0"/>
      </w:pPr>
      <w:bookmarkStart w:name="Sts_ref_uapart11" w:id="16"/>
      <w:r>
        <w:t xml:space="preserve">OPC 10000-11</w:t>
      </w:r>
      <w:bookmarkEnd w:id="16"/>
      <w:r>
        <w:t xml:space="preserve">, </w:t>
      </w:r>
      <w:r>
        <w:rPr>
          <w:i/>
        </w:rPr>
        <w:t xml:space="preserve">OPC Unified Architecture - Part 11: Historical Access</w:t>
      </w:r>
    </w:p>
    <w:p>
      <w:pPr>
        <w:pStyle w:val="PARAGRAPH"/>
        <w:spacing w:before="60"/>
        <w:ind w:left="340"/>
      </w:pPr>
      <w:hyperlink r:id="R445e9fdcb0314039">
        <w:r>
          <w:rPr>
            <w:rStyle w:val="Hyperlink"/>
          </w:rPr>
          <w:t xml:space="preserve">http://www.opcfoundation.org/documents/10000-11/</w:t>
        </w:r>
      </w:hyperlink>
    </w:p>
    <w:p>
      <w:pPr>
        <w:pStyle w:val="PARAGRAPH"/>
        <w:spacing w:after="0"/>
      </w:pPr>
      <w:bookmarkStart w:name="Sts_ref_uapart13" w:id="17"/>
      <w:r>
        <w:t xml:space="preserve">OPC 10000-13</w:t>
      </w:r>
      <w:bookmarkEnd w:id="17"/>
      <w:r>
        <w:t xml:space="preserve">, </w:t>
      </w:r>
      <w:r>
        <w:rPr>
          <w:i/>
        </w:rPr>
        <w:t xml:space="preserve">OPC Unified Architecture - Part 13: Aggregates</w:t>
      </w:r>
    </w:p>
    <w:p>
      <w:pPr>
        <w:pStyle w:val="PARAGRAPH"/>
        <w:spacing w:before="60"/>
        <w:ind w:left="340"/>
      </w:pPr>
      <w:hyperlink r:id="Rfd699fd8fddd4050">
        <w:r>
          <w:rPr>
            <w:rStyle w:val="Hyperlink"/>
          </w:rPr>
          <w:t xml:space="preserve">http://www.opcfoundation.org/documents/10000-13/</w:t>
        </w:r>
      </w:hyperlink>
    </w:p>
    <w:p>
      <w:pPr>
        <w:pStyle w:val="PARAGRAPH"/>
        <w:spacing w:after="0"/>
      </w:pPr>
      <w:bookmarkStart w:name="Sts_ref_uapart19" w:id="18"/>
      <w:r>
        <w:t xml:space="preserve">OPC 10000-19</w:t>
      </w:r>
      <w:bookmarkEnd w:id="18"/>
      <w:r>
        <w:t xml:space="preserve">, </w:t>
      </w:r>
      <w:r>
        <w:rPr>
          <w:i/>
        </w:rPr>
        <w:t xml:space="preserve">OPC Unified Architecture - Part 19: Dictionary Reference</w:t>
      </w:r>
    </w:p>
    <w:p>
      <w:pPr>
        <w:pStyle w:val="PARAGRAPH"/>
        <w:spacing w:before="60"/>
        <w:ind w:left="340"/>
      </w:pPr>
      <w:hyperlink r:id="R1431416726dc415c">
        <w:r>
          <w:rPr>
            <w:rStyle w:val="Hyperlink"/>
          </w:rPr>
          <w:t xml:space="preserve">http://www.opcfoundation.org/documents/10000-19/</w:t>
        </w:r>
      </w:hyperlink>
    </w:p>
    <w:p>
      <w:pPr>
        <w:pStyle w:val="PARAGRAPH"/>
        <w:spacing w:after="0"/>
      </w:pPr>
      <w:bookmarkStart w:name="Sts_ref_uapart100" w:id="19"/>
      <w:r>
        <w:t xml:space="preserve">OPC 10000-100</w:t>
      </w:r>
      <w:bookmarkEnd w:id="19"/>
      <w:r>
        <w:t xml:space="preserve">, </w:t>
      </w:r>
      <w:r>
        <w:rPr>
          <w:i/>
        </w:rPr>
        <w:t xml:space="preserve">OPC Unified Architecture - Part 100: Devices</w:t>
      </w:r>
    </w:p>
    <w:p>
      <w:pPr>
        <w:pStyle w:val="PARAGRAPH"/>
        <w:spacing w:before="60"/>
        <w:ind w:left="340"/>
      </w:pPr>
      <w:hyperlink r:id="R2ec7b9c3df364aed">
        <w:r>
          <w:rPr>
            <w:rStyle w:val="Hyperlink"/>
          </w:rPr>
          <w:t xml:space="preserve">http://www.opcfoundation.org/documents/10000-100/</w:t>
        </w:r>
      </w:hyperlink>
    </w:p>
    <w:p>
      <w:pPr>
        <w:pStyle w:val="PARAGRAPH"/>
        <w:spacing w:after="0"/>
      </w:pPr>
      <w:bookmarkStart w:name="Sts_ref_rfc5280" w:id="20"/>
      <w:r>
        <w:t xml:space="preserve">IETF RFC 5280</w:t>
      </w:r>
      <w:bookmarkEnd w:id="20"/>
      <w:r>
        <w:t xml:space="preserve">, </w:t>
      </w:r>
      <w:r>
        <w:rPr>
          <w:i/>
        </w:rPr>
        <w:t xml:space="preserve">Internet X.509 Public Key Infrastructure Certificate and Certificate Revocation List (CRL) Profile</w:t>
      </w:r>
    </w:p>
    <w:p>
      <w:pPr>
        <w:pStyle w:val="PARAGRAPH"/>
        <w:spacing w:before="60"/>
        <w:ind w:left="340"/>
      </w:pPr>
      <w:hyperlink r:id="R826cf0a5b5984de0">
        <w:r>
          <w:rPr>
            <w:rStyle w:val="Hyperlink"/>
          </w:rPr>
          <w:t xml:space="preserve">https://datatracker.ietf.org/doc/html/rfc5280</w:t>
        </w:r>
      </w:hyperlink>
    </w:p>
    <w:p>
      <w:pPr>
        <w:pStyle w:val="PARAGRAPH"/>
        <w:spacing w:after="0"/>
      </w:pPr>
      <w:bookmarkStart w:name="Sts_ref_tr88" w:id="21"/>
      <w:r>
        <w:t xml:space="preserve">ISA-TR88.00.02-2022</w:t>
      </w:r>
      <w:bookmarkEnd w:id="21"/>
      <w:r>
        <w:t xml:space="preserve">, </w:t>
      </w:r>
      <w:r>
        <w:rPr>
          <w:i/>
        </w:rPr>
        <w:t xml:space="preserve">Machine and Unit States: An implementation example of ANSI/ISA-88.00.01</w:t>
      </w:r>
    </w:p>
    <w:p>
      <w:pPr>
        <w:pStyle w:val="PARAGRAPH"/>
        <w:spacing w:before="60"/>
        <w:ind w:left="340"/>
      </w:pPr>
      <w:hyperlink r:id="Rc69591335d0b4b65">
        <w:r>
          <w:rPr>
            <w:rStyle w:val="Hyperlink"/>
          </w:rPr>
          <w:t xml:space="preserve">https://www.isa.org/products/isa-tr88-00-02-2022-machine-and-unit-states-an-imp</w:t>
        </w:r>
      </w:hyperlink>
    </w:p>
    <w:p>
      <w:pPr>
        <w:pStyle w:val="PARAGRAPH"/>
        <w:spacing w:after="0"/>
      </w:pPr>
      <w:bookmarkStart w:name="Sts_ref_s88" w:id="22"/>
      <w:r>
        <w:t xml:space="preserve">ANSI/ISA–88.01–1995</w:t>
      </w:r>
      <w:bookmarkEnd w:id="22"/>
      <w:r>
        <w:t xml:space="preserve">, </w:t>
      </w:r>
      <w:r>
        <w:rPr>
          <w:i/>
        </w:rPr>
        <w:t xml:space="preserve">ANSI/ISA-88.01-1995: Batch Control Part 1: Models and Terminology</w:t>
      </w:r>
    </w:p>
    <w:p>
      <w:pPr>
        <w:pStyle w:val="PARAGRAPH"/>
        <w:spacing w:before="60"/>
        <w:ind w:left="340"/>
      </w:pPr>
      <w:hyperlink r:id="R6008dc209b5348ba">
        <w:r>
          <w:rPr>
            <w:rStyle w:val="Hyperlink"/>
          </w:rPr>
          <w:t xml:space="preserve">https://www.isa.org/store/products/product-detail/?productId=116649</w:t>
        </w:r>
      </w:hyperlink>
    </w:p>
    <w:p>
      <w:pPr>
        <w:pStyle w:val="PARAGRAPH"/>
        <w:spacing w:after="0"/>
      </w:pPr>
      <w:bookmarkStart w:name="Sts_ref_opc30000" w:id="23"/>
      <w:r>
        <w:t xml:space="preserve">OPC 30000</w:t>
      </w:r>
      <w:bookmarkEnd w:id="23"/>
      <w:r>
        <w:t xml:space="preserve">, </w:t>
      </w:r>
      <w:r>
        <w:rPr>
          <w:i/>
        </w:rPr>
        <w:t xml:space="preserve">UA companion specification for IEC61131-3</w:t>
      </w:r>
    </w:p>
    <w:p>
      <w:pPr>
        <w:pStyle w:val="PARAGRAPH"/>
        <w:spacing w:before="60"/>
        <w:ind w:left="340"/>
      </w:pPr>
      <w:hyperlink r:id="Rad4a398c27dd4290">
        <w:r>
          <w:rPr>
            <w:rStyle w:val="Hyperlink"/>
          </w:rPr>
          <w:t xml:space="preserve">https://opcfoundation.org/developer-tools/specifications-unified-architecture/opc-unified-architecture-plcopen-information-model/</w:t>
        </w:r>
      </w:hyperlink>
    </w:p>
    <w:p>
      <w:pPr>
        <w:pStyle w:val="Heading1"/>
      </w:pPr>
      <w:bookmarkStart w:name="Sts_sec_3" w:id="24"/>
      <w:r>
        <w:rPr/>
        <w:t xml:space="preserve">Terms, definitions and abbreviations</w:t>
      </w:r>
      <w:bookmarkEnd w:id="24"/>
    </w:p>
    <w:p>
      <w:pPr>
        <w:pStyle w:val="Heading2"/>
      </w:pPr>
      <w:bookmarkStart w:name="Sts_sec_3_1" w:id="25"/>
      <w:r>
        <w:rPr/>
        <w:t xml:space="preserve">Overview</w:t>
      </w:r>
      <w:bookmarkEnd w:id="25"/>
    </w:p>
    <w:p>
      <w:pPr>
        <w:pStyle w:val="PARAGRAPH"/>
      </w:pPr>
      <w:r>
        <w:rPr/>
        <w:t xml:space="preserve">It is assumed that basic concepts of OPC UA information modelling are understood in this document. This document will use these concepts to describe the OPC UA for PackML Information Model. For the purposes of this document, the terms and definitions given in </w:t>
      </w:r>
      <w:r>
        <w:fldChar w:fldCharType="begin"/>
      </w:r>
      <w:r>
        <w:instrText xml:space="preserve"> REF Sts_ref_uapart1 \h \* MERGEFORMAT </w:instrText>
      </w:r>
      <w:r>
        <w:fldChar w:fldCharType="separate"/>
      </w:r>
      <w:r>
        <w:rPr/>
        <w:t xml:space="preserve">OPC 10000-1</w:t>
      </w:r>
      <w:r>
        <w:fldChar w:fldCharType="end"/>
      </w:r>
      <w:r>
        <w:rPr/>
        <w:t xml:space="preserve">, </w:t>
      </w:r>
      <w:r>
        <w:fldChar w:fldCharType="begin"/>
      </w:r>
      <w:r>
        <w:instrText xml:space="preserve"> REF Sts_ref_uapart2 \h \* MERGEFORMAT </w:instrText>
      </w:r>
      <w:r>
        <w:fldChar w:fldCharType="separate"/>
      </w:r>
      <w:r>
        <w:rPr/>
        <w:t xml:space="preserve">OPC 10000-2</w:t>
      </w:r>
      <w:r>
        <w:fldChar w:fldCharType="end"/>
      </w:r>
      <w:r>
        <w:rPr/>
        <w:t xml:space="preserve">, </w:t>
      </w:r>
      <w:r>
        <w:fldChar w:fldCharType="begin"/>
      </w:r>
      <w:r>
        <w:instrText xml:space="preserve"> REF Sts_ref_uapart3 \h \* MERGEFORMAT </w:instrText>
      </w:r>
      <w:r>
        <w:fldChar w:fldCharType="separate"/>
      </w:r>
      <w:r>
        <w:rPr/>
        <w:t xml:space="preserve">OPC 10000-3</w:t>
      </w:r>
      <w:r>
        <w:fldChar w:fldCharType="end"/>
      </w:r>
      <w:r>
        <w:rPr/>
        <w:t xml:space="preserve">, </w:t>
      </w:r>
      <w:r>
        <w:fldChar w:fldCharType="begin"/>
      </w:r>
      <w:r>
        <w:instrText xml:space="preserve"> REF Sts_ref_uapart4 \h \* MERGEFORMAT </w:instrText>
      </w:r>
      <w:r>
        <w:fldChar w:fldCharType="separate"/>
      </w:r>
      <w:r>
        <w:rPr/>
        <w:t xml:space="preserve">OPC 10000-4</w:t>
      </w:r>
      <w:r>
        <w:fldChar w:fldCharType="end"/>
      </w:r>
      <w:r>
        <w:rPr/>
        <w:t xml:space="preserve">, </w:t>
      </w:r>
      <w:r>
        <w:fldChar w:fldCharType="begin"/>
      </w:r>
      <w:r>
        <w:instrText xml:space="preserve"> REF Sts_ref_uapart5 \h \* MERGEFORMAT </w:instrText>
      </w:r>
      <w:r>
        <w:fldChar w:fldCharType="separate"/>
      </w:r>
      <w:r>
        <w:rPr/>
        <w:t xml:space="preserve">OPC 10000-5</w:t>
      </w:r>
      <w:r>
        <w:fldChar w:fldCharType="end"/>
      </w:r>
      <w:r>
        <w:rPr/>
        <w:t xml:space="preserve">, </w:t>
      </w:r>
      <w:r>
        <w:fldChar w:fldCharType="begin"/>
      </w:r>
      <w:r>
        <w:instrText xml:space="preserve"> REF Sts_ref_uapart6 \h \* MERGEFORMAT </w:instrText>
      </w:r>
      <w:r>
        <w:fldChar w:fldCharType="separate"/>
      </w:r>
      <w:r>
        <w:rPr/>
        <w:t xml:space="preserve">OPC 10000-6</w:t>
      </w:r>
      <w:r>
        <w:fldChar w:fldCharType="end"/>
      </w:r>
      <w:r>
        <w:rPr/>
        <w:t xml:space="preserve">, </w:t>
      </w:r>
      <w:r>
        <w:fldChar w:fldCharType="begin"/>
      </w:r>
      <w:r>
        <w:instrText xml:space="preserve"> REF Sts_ref_uapart7 \h \* MERGEFORMAT </w:instrText>
      </w:r>
      <w:r>
        <w:fldChar w:fldCharType="separate"/>
      </w:r>
      <w:r>
        <w:rPr/>
        <w:t xml:space="preserve">OPC 10000-7</w:t>
      </w:r>
      <w:r>
        <w:fldChar w:fldCharType="end"/>
      </w:r>
      <w:r>
        <w:rPr/>
        <w:t xml:space="preserve">, </w:t>
      </w:r>
      <w:r>
        <w:fldChar w:fldCharType="begin"/>
      </w:r>
      <w:r>
        <w:instrText xml:space="preserve"> REF Sts_ref_uapart8 \h \* MERGEFORMAT </w:instrText>
      </w:r>
      <w:r>
        <w:fldChar w:fldCharType="separate"/>
      </w:r>
      <w:r>
        <w:rPr/>
        <w:t xml:space="preserve">OPC 10000-8</w:t>
      </w:r>
      <w:r>
        <w:fldChar w:fldCharType="end"/>
      </w:r>
      <w:r>
        <w:rPr/>
        <w:t xml:space="preserve">, </w:t>
      </w:r>
      <w:r>
        <w:fldChar w:fldCharType="begin"/>
      </w:r>
      <w:r>
        <w:instrText xml:space="preserve"> REF Sts_ref_uapart9 \h \* MERGEFORMAT </w:instrText>
      </w:r>
      <w:r>
        <w:fldChar w:fldCharType="separate"/>
      </w:r>
      <w:r>
        <w:rPr/>
        <w:t xml:space="preserve">OPC 10000-9</w:t>
      </w:r>
      <w:r>
        <w:fldChar w:fldCharType="end"/>
      </w:r>
      <w:r>
        <w:rPr/>
        <w:t xml:space="preserve">, </w:t>
      </w:r>
      <w:r>
        <w:fldChar w:fldCharType="begin"/>
      </w:r>
      <w:r>
        <w:instrText xml:space="preserve"> REF Sts_ref_uapart10 \h \* MERGEFORMAT </w:instrText>
      </w:r>
      <w:r>
        <w:fldChar w:fldCharType="separate"/>
      </w:r>
      <w:r>
        <w:rPr/>
        <w:t xml:space="preserve">OPC 10000-10</w:t>
      </w:r>
      <w:r>
        <w:fldChar w:fldCharType="end"/>
      </w:r>
      <w:r>
        <w:rPr/>
        <w:t xml:space="preserve">, </w:t>
      </w:r>
      <w:r>
        <w:fldChar w:fldCharType="begin"/>
      </w:r>
      <w:r>
        <w:instrText xml:space="preserve"> REF Sts_ref_uapart11 \h \* MERGEFORMAT </w:instrText>
      </w:r>
      <w:r>
        <w:fldChar w:fldCharType="separate"/>
      </w:r>
      <w:r>
        <w:rPr/>
        <w:t xml:space="preserve">OPC 10000-11</w:t>
      </w:r>
      <w:r>
        <w:fldChar w:fldCharType="end"/>
      </w:r>
      <w:r>
        <w:rPr/>
        <w:t xml:space="preserve">, </w:t>
      </w:r>
      <w:r>
        <w:fldChar w:fldCharType="begin"/>
      </w:r>
      <w:r>
        <w:instrText xml:space="preserve"> REF Sts_ref_uapart13 \h \* MERGEFORMAT </w:instrText>
      </w:r>
      <w:r>
        <w:fldChar w:fldCharType="separate"/>
      </w:r>
      <w:r>
        <w:rPr/>
        <w:t xml:space="preserve">OPC 10000-13</w:t>
      </w:r>
      <w:r>
        <w:fldChar w:fldCharType="end"/>
      </w:r>
      <w:r>
        <w:rPr/>
        <w:t xml:space="preserve">, </w:t>
      </w:r>
      <w:r>
        <w:fldChar w:fldCharType="begin"/>
      </w:r>
      <w:r>
        <w:instrText xml:space="preserve"> REF Sts_ref_uapart19 \h \* MERGEFORMAT </w:instrText>
      </w:r>
      <w:r>
        <w:fldChar w:fldCharType="separate"/>
      </w:r>
      <w:r>
        <w:rPr/>
        <w:t xml:space="preserve">OPC 10000-19</w:t>
      </w:r>
      <w:r>
        <w:fldChar w:fldCharType="end"/>
      </w:r>
      <w:r>
        <w:rPr/>
        <w:t xml:space="preserve">, </w:t>
      </w:r>
      <w:r>
        <w:fldChar w:fldCharType="begin"/>
      </w:r>
      <w:r>
        <w:instrText xml:space="preserve"> REF Sts_ref_uapart100 \h \* MERGEFORMAT </w:instrText>
      </w:r>
      <w:r>
        <w:fldChar w:fldCharType="separate"/>
      </w:r>
      <w:r>
        <w:rPr/>
        <w:t xml:space="preserve">OPC 10000-100</w:t>
      </w:r>
      <w:r>
        <w:fldChar w:fldCharType="end"/>
      </w:r>
      <w:r>
        <w:rPr/>
        <w:t xml:space="preserve">, </w:t>
      </w:r>
      <w:r>
        <w:fldChar w:fldCharType="begin"/>
      </w:r>
      <w:r>
        <w:instrText xml:space="preserve"> REF Sts_ref_rfc5280 \h \* MERGEFORMAT </w:instrText>
      </w:r>
      <w:r>
        <w:fldChar w:fldCharType="separate"/>
      </w:r>
      <w:r>
        <w:rPr/>
        <w:t xml:space="preserve">IETF RFC 5280</w:t>
      </w:r>
      <w:r>
        <w:fldChar w:fldCharType="end"/>
      </w:r>
      <w:r>
        <w:rPr/>
        <w:t xml:space="preserve">, </w:t>
      </w:r>
      <w:r>
        <w:fldChar w:fldCharType="begin"/>
      </w:r>
      <w:r>
        <w:instrText xml:space="preserve"> REF Sts_ref_tr88 \h \* MERGEFORMAT </w:instrText>
      </w:r>
      <w:r>
        <w:fldChar w:fldCharType="separate"/>
      </w:r>
      <w:r>
        <w:rPr/>
        <w:t xml:space="preserve">ISA-TR88.00.02-2022</w:t>
      </w:r>
      <w:r>
        <w:fldChar w:fldCharType="end"/>
      </w:r>
      <w:r>
        <w:rPr/>
        <w:t xml:space="preserve">, </w:t>
      </w:r>
      <w:r>
        <w:fldChar w:fldCharType="begin"/>
      </w:r>
      <w:r>
        <w:instrText xml:space="preserve"> REF Sts_ref_s88 \h \* MERGEFORMAT </w:instrText>
      </w:r>
      <w:r>
        <w:fldChar w:fldCharType="separate"/>
      </w:r>
      <w:r>
        <w:rPr/>
        <w:t xml:space="preserve">ANSI/ISA-88.01-1995</w:t>
      </w:r>
      <w:r>
        <w:fldChar w:fldCharType="end"/>
      </w:r>
      <w:r>
        <w:rPr/>
        <w:t xml:space="preserve"> and </w:t>
      </w:r>
      <w:r>
        <w:fldChar w:fldCharType="begin"/>
      </w:r>
      <w:r>
        <w:instrText xml:space="preserve"> REF Sts_ref_opc30000 \h \* MERGEFORMAT </w:instrText>
      </w:r>
      <w:r>
        <w:fldChar w:fldCharType="separate"/>
      </w:r>
      <w:r>
        <w:rPr/>
        <w:t xml:space="preserve">OPC 30000</w:t>
      </w:r>
      <w:r>
        <w:fldChar w:fldCharType="end"/>
      </w:r>
      <w:r>
        <w:rPr/>
        <w:t xml:space="preserve"> as well as the following apply.</w:t>
      </w:r>
    </w:p>
    <w:p>
      <w:pPr>
        <w:pStyle w:val="NOTE"/>
      </w:pPr>
      <w:r>
        <w:t xml:space="preserve">NOTE</w:t>
      </w:r>
      <w:r>
        <w:tab/>
      </w:r>
      <w:r>
        <w:rPr/>
        <w:t xml:space="preserve">Note that OPC UA terms and terms defined in this document are </w:t>
      </w:r>
      <w:r>
        <w:rPr>
          <w:i/>
        </w:rPr>
        <w:t xml:space="preserve">italicized</w:t>
      </w:r>
      <w:r>
        <w:rPr/>
        <w:t xml:space="preserve"> in the document.</w:t>
      </w:r>
    </w:p>
    <w:p>
      <w:pPr>
        <w:pStyle w:val="Heading2"/>
      </w:pPr>
      <w:bookmarkStart w:name="Sts_sec_3_2" w:id="26"/>
      <w:r>
        <w:rPr/>
        <w:t xml:space="preserve">Terms and definitions</w:t>
      </w:r>
      <w:bookmarkEnd w:id="26"/>
    </w:p>
    <w:p>
      <w:pPr>
        <w:pStyle w:val="TERM-number3"/>
      </w:pPr>
    </w:p>
    <w:p>
      <w:pPr>
        <w:pStyle w:val="TERM"/>
      </w:pPr>
      <w:r>
        <w:rPr/>
        <w:t xml:space="preserve">PackML&lt;Term&gt;</w:t>
      </w:r>
    </w:p>
    <w:p>
      <w:pPr>
        <w:pStyle w:val="TERM-definition"/>
      </w:pPr>
      <w:r>
        <w:rPr/>
        <w:t xml:space="preserve">General</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This standard adopts adding a PackML prefix to all PackML defined terms that are used in this standard that are also defined by OPC. The &lt;Term&gt; is the terminology defined by PackML. This allows the terminology used in PackML to be easily distinguished from terminology defined in OPC UA.</w:t>
      </w:r>
    </w:p>
    <w:p>
      <w:pPr>
        <w:pStyle w:val="TERM-number3"/>
      </w:pPr>
    </w:p>
    <w:p>
      <w:pPr>
        <w:pStyle w:val="TERM"/>
      </w:pPr>
      <w:r>
        <w:rPr/>
        <w:t xml:space="preserve">PackMLUnit</w:t>
      </w:r>
    </w:p>
    <w:p>
      <w:pPr>
        <w:pStyle w:val="TERM-definition"/>
      </w:pPr>
      <w:r>
        <w:rPr/>
        <w:t xml:space="preserve">a concept that defines a collection of associated modules that can carry out one or more major processing activities.</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In PackML Unit and Machine are used to define the same thing and can at times be interchanged.</w:t>
      </w:r>
    </w:p>
    <w:p>
      <w:pPr>
        <w:pStyle w:val="TERM-number3"/>
      </w:pPr>
    </w:p>
    <w:p>
      <w:pPr>
        <w:pStyle w:val="TERM"/>
      </w:pPr>
      <w:r>
        <w:rPr/>
        <w:t xml:space="preserve">PackMLTag</w:t>
      </w:r>
    </w:p>
    <w:p>
      <w:pPr>
        <w:pStyle w:val="TERM-definition"/>
      </w:pPr>
      <w:r>
        <w:rPr/>
        <w:t xml:space="preserve">a concept that represents named data element that is used to command, read status, or provide administration of a unit.</w:t>
      </w:r>
    </w:p>
    <w:p>
      <w:pPr>
        <w:pStyle w:val="TERM-number3"/>
      </w:pPr>
    </w:p>
    <w:p>
      <w:pPr>
        <w:pStyle w:val="TERM"/>
      </w:pPr>
      <w:r>
        <w:rPr/>
        <w:t xml:space="preserve">PackMLStateModel</w:t>
      </w:r>
    </w:p>
    <w:p>
      <w:pPr>
        <w:pStyle w:val="TERM-definition"/>
      </w:pPr>
      <w:r>
        <w:rPr/>
        <w:t xml:space="preserve">a concept that represents a state model of the operational state of a unit.</w:t>
      </w:r>
    </w:p>
    <w:p>
      <w:pPr>
        <w:pStyle w:val="TERM-number3"/>
      </w:pPr>
    </w:p>
    <w:p>
      <w:pPr>
        <w:pStyle w:val="TERM"/>
      </w:pPr>
      <w:r>
        <w:rPr/>
        <w:t xml:space="preserve">PackMLMode</w:t>
      </w:r>
    </w:p>
    <w:p>
      <w:pPr>
        <w:pStyle w:val="TERM-definition"/>
      </w:pPr>
      <w:r>
        <w:rPr/>
        <w:t xml:space="preserve">a concept that represents the mode of operation of a unit, indicating which state model is currently active.</w:t>
      </w:r>
    </w:p>
    <w:p>
      <w:pPr>
        <w:pStyle w:val="Heading2"/>
      </w:pPr>
      <w:bookmarkStart w:name="Sts_sec_3_3" w:id="27"/>
      <w:r>
        <w:rPr/>
        <w:t xml:space="preserve">Abbreviations</w:t>
      </w:r>
      <w:bookmarkEnd w:id="27"/>
    </w:p>
    <w:tbl>
      <w:tblPr>
        <w:tblStyle w:val="TableGrid"/>
        <w:tblW w:w="9070" w:type="dxa"/>
        <w:tblLayout w:type="fixed"/>
      </w:tblPr>
      <w:tblGrid>
        <w:gridCol w:w="1511"/>
        <w:gridCol w:w="7559"/>
      </w:tblGrid>
      <w:tr>
        <w:tc>
          <w:tcPr>
            <w:tcW w:w="1511" w:type="dxa"/>
            <w:vAlign w:val="center"/>
          </w:tcPr>
          <w:p>
            <w:pPr>
              <w:pStyle w:val="TABLE-cell"/>
            </w:pPr>
            <w:r>
              <w:rPr/>
              <w:t xml:space="preserve">AC</w:t>
            </w:r>
          </w:p>
        </w:tc>
        <w:tc>
          <w:tcPr>
            <w:tcW w:w="7559" w:type="dxa"/>
            <w:vAlign w:val="center"/>
          </w:tcPr>
          <w:p>
            <w:pPr>
              <w:pStyle w:val="TABLE-cell"/>
            </w:pPr>
            <w:r>
              <w:rPr/>
              <w:t xml:space="preserve">Alarm and Condition</w:t>
            </w:r>
          </w:p>
        </w:tc>
      </w:tr>
      <w:tr>
        <w:tc>
          <w:tcPr>
            <w:tcW w:w="1511" w:type="dxa"/>
            <w:vAlign w:val="center"/>
          </w:tcPr>
          <w:p>
            <w:pPr>
              <w:pStyle w:val="TABLE-cell"/>
            </w:pPr>
            <w:r>
              <w:rPr/>
              <w:t xml:space="preserve">DA</w:t>
            </w:r>
          </w:p>
        </w:tc>
        <w:tc>
          <w:tcPr>
            <w:tcW w:w="7559" w:type="dxa"/>
            <w:vAlign w:val="center"/>
          </w:tcPr>
          <w:p>
            <w:pPr>
              <w:pStyle w:val="TABLE-cell"/>
            </w:pPr>
            <w:r>
              <w:rPr/>
              <w:t xml:space="preserve">Data Access</w:t>
            </w:r>
          </w:p>
        </w:tc>
      </w:tr>
      <w:tr>
        <w:tc>
          <w:tcPr>
            <w:tcW w:w="1511" w:type="dxa"/>
            <w:vAlign w:val="center"/>
          </w:tcPr>
          <w:p>
            <w:pPr>
              <w:pStyle w:val="TABLE-cell"/>
            </w:pPr>
            <w:r>
              <w:rPr/>
              <w:t xml:space="preserve">DCS</w:t>
            </w:r>
          </w:p>
        </w:tc>
        <w:tc>
          <w:tcPr>
            <w:tcW w:w="7559" w:type="dxa"/>
            <w:vAlign w:val="center"/>
          </w:tcPr>
          <w:p>
            <w:pPr>
              <w:pStyle w:val="TABLE-cell"/>
            </w:pPr>
            <w:r>
              <w:rPr/>
              <w:t xml:space="preserve">Distributed Control System</w:t>
            </w:r>
          </w:p>
        </w:tc>
      </w:tr>
      <w:tr>
        <w:tc>
          <w:tcPr>
            <w:tcW w:w="1511" w:type="dxa"/>
            <w:vAlign w:val="center"/>
          </w:tcPr>
          <w:p>
            <w:pPr>
              <w:pStyle w:val="TABLE-cell"/>
            </w:pPr>
            <w:r>
              <w:rPr/>
              <w:t xml:space="preserve">HA</w:t>
            </w:r>
          </w:p>
        </w:tc>
        <w:tc>
          <w:tcPr>
            <w:tcW w:w="7559" w:type="dxa"/>
            <w:vAlign w:val="center"/>
          </w:tcPr>
          <w:p>
            <w:pPr>
              <w:pStyle w:val="TABLE-cell"/>
            </w:pPr>
            <w:r>
              <w:rPr/>
              <w:t xml:space="preserve">Historical Access</w:t>
            </w:r>
          </w:p>
        </w:tc>
      </w:tr>
      <w:tr>
        <w:tc>
          <w:tcPr>
            <w:tcW w:w="1511" w:type="dxa"/>
            <w:vAlign w:val="center"/>
          </w:tcPr>
          <w:p>
            <w:pPr>
              <w:pStyle w:val="TABLE-cell"/>
            </w:pPr>
            <w:r>
              <w:rPr/>
              <w:t xml:space="preserve">HMI</w:t>
            </w:r>
          </w:p>
        </w:tc>
        <w:tc>
          <w:tcPr>
            <w:tcW w:w="7559" w:type="dxa"/>
            <w:vAlign w:val="center"/>
          </w:tcPr>
          <w:p>
            <w:pPr>
              <w:pStyle w:val="TABLE-cell"/>
            </w:pPr>
            <w:r>
              <w:rPr/>
              <w:t xml:space="preserve">Human Machine Interface</w:t>
            </w:r>
          </w:p>
        </w:tc>
      </w:tr>
      <w:tr>
        <w:tc>
          <w:tcPr>
            <w:tcW w:w="1511" w:type="dxa"/>
            <w:vAlign w:val="center"/>
          </w:tcPr>
          <w:p>
            <w:pPr>
              <w:pStyle w:val="TABLE-cell"/>
            </w:pPr>
            <w:r>
              <w:rPr/>
              <w:t xml:space="preserve">MES</w:t>
            </w:r>
          </w:p>
        </w:tc>
        <w:tc>
          <w:tcPr>
            <w:tcW w:w="7559" w:type="dxa"/>
            <w:vAlign w:val="center"/>
          </w:tcPr>
          <w:p>
            <w:pPr>
              <w:pStyle w:val="TABLE-cell"/>
            </w:pPr>
            <w:r>
              <w:rPr/>
              <w:t xml:space="preserve">Manufacturing Execution System</w:t>
            </w:r>
          </w:p>
        </w:tc>
      </w:tr>
      <w:tr>
        <w:tc>
          <w:tcPr>
            <w:tcW w:w="1511" w:type="dxa"/>
            <w:vAlign w:val="center"/>
          </w:tcPr>
          <w:p>
            <w:pPr>
              <w:pStyle w:val="TABLE-cell"/>
            </w:pPr>
            <w:r>
              <w:rPr/>
              <w:t xml:space="preserve">OCS</w:t>
            </w:r>
          </w:p>
        </w:tc>
        <w:tc>
          <w:tcPr>
            <w:tcW w:w="7559" w:type="dxa"/>
            <w:vAlign w:val="center"/>
          </w:tcPr>
          <w:p>
            <w:pPr>
              <w:pStyle w:val="TABLE-cell"/>
            </w:pPr>
            <w:r>
              <w:rPr/>
              <w:t xml:space="preserve">Open Control System</w:t>
            </w:r>
          </w:p>
        </w:tc>
      </w:tr>
      <w:tr>
        <w:tc>
          <w:tcPr>
            <w:tcW w:w="1511" w:type="dxa"/>
            <w:vAlign w:val="center"/>
          </w:tcPr>
          <w:p>
            <w:pPr>
              <w:pStyle w:val="TABLE-cell"/>
            </w:pPr>
            <w:r>
              <w:rPr/>
              <w:t xml:space="preserve">PLC</w:t>
            </w:r>
          </w:p>
        </w:tc>
        <w:tc>
          <w:tcPr>
            <w:tcW w:w="7559" w:type="dxa"/>
            <w:vAlign w:val="center"/>
          </w:tcPr>
          <w:p>
            <w:pPr>
              <w:pStyle w:val="TABLE-cell"/>
            </w:pPr>
            <w:r>
              <w:rPr/>
              <w:t xml:space="preserve">Programmable Logic Controller</w:t>
            </w:r>
          </w:p>
        </w:tc>
      </w:tr>
      <w:tr>
        <w:tc>
          <w:tcPr>
            <w:tcW w:w="1511" w:type="dxa"/>
            <w:vAlign w:val="center"/>
          </w:tcPr>
          <w:p>
            <w:pPr>
              <w:pStyle w:val="TABLE-cell"/>
            </w:pPr>
            <w:r>
              <w:rPr/>
              <w:t xml:space="preserve">UML</w:t>
            </w:r>
          </w:p>
        </w:tc>
        <w:tc>
          <w:tcPr>
            <w:tcW w:w="7559" w:type="dxa"/>
            <w:vAlign w:val="center"/>
          </w:tcPr>
          <w:p>
            <w:pPr>
              <w:pStyle w:val="TABLE-cell"/>
            </w:pPr>
            <w:r>
              <w:rPr/>
              <w:t xml:space="preserve">Unified Modelling Language</w:t>
            </w:r>
          </w:p>
        </w:tc>
      </w:tr>
      <w:tr>
        <w:tc>
          <w:tcPr>
            <w:tcW w:w="1511" w:type="dxa"/>
            <w:vAlign w:val="center"/>
          </w:tcPr>
          <w:p>
            <w:pPr>
              <w:pStyle w:val="TABLE-cell"/>
            </w:pPr>
            <w:r>
              <w:rPr/>
              <w:t xml:space="preserve">URI</w:t>
            </w:r>
          </w:p>
        </w:tc>
        <w:tc>
          <w:tcPr>
            <w:tcW w:w="7559" w:type="dxa"/>
            <w:vAlign w:val="center"/>
          </w:tcPr>
          <w:p>
            <w:pPr>
              <w:pStyle w:val="TABLE-cell"/>
            </w:pPr>
            <w:r>
              <w:rPr/>
              <w:t xml:space="preserve">Uniform Resource Identifier</w:t>
            </w:r>
          </w:p>
        </w:tc>
      </w:tr>
      <w:tr>
        <w:tc>
          <w:tcPr>
            <w:tcW w:w="1511" w:type="dxa"/>
            <w:vAlign w:val="center"/>
          </w:tcPr>
          <w:p>
            <w:pPr>
              <w:pStyle w:val="TABLE-cell"/>
            </w:pPr>
            <w:r>
              <w:rPr/>
              <w:t xml:space="preserve">XML</w:t>
            </w:r>
          </w:p>
        </w:tc>
        <w:tc>
          <w:tcPr>
            <w:tcW w:w="7559" w:type="dxa"/>
            <w:vAlign w:val="center"/>
          </w:tcPr>
          <w:p>
            <w:pPr>
              <w:pStyle w:val="TABLE-cell"/>
            </w:pPr>
            <w:r>
              <w:rPr/>
              <w:t xml:space="preserve">Extensible Markup Language</w:t>
            </w:r>
          </w:p>
        </w:tc>
      </w:tr>
    </w:tbl>
    <w:p>
      <w:pPr>
        <w:pStyle w:val="spacer"/>
      </w:pPr>
    </w:p>
    <w:p>
      <w:pPr>
        <w:pStyle w:val="Heading1"/>
      </w:pPr>
      <w:bookmarkStart w:name="Sts_sec_4" w:id="28"/>
      <w:r>
        <w:rPr/>
        <w:t xml:space="preserve">Concept</w:t>
      </w:r>
      <w:bookmarkEnd w:id="28"/>
    </w:p>
    <w:p>
      <w:pPr>
        <w:pStyle w:val="Heading2"/>
      </w:pPr>
      <w:bookmarkStart w:name="Sts_sec_4_1" w:id="29"/>
      <w:r>
        <w:rPr/>
        <w:t xml:space="preserve">Overview</w:t>
      </w:r>
      <w:bookmarkEnd w:id="29"/>
    </w:p>
    <w:p>
      <w:pPr>
        <w:pStyle w:val="PARAGRAPH"/>
      </w:pPr>
      <w:r>
        <w:rPr/>
        <w:t xml:space="preserve">When the </w:t>
      </w:r>
      <w:r>
        <w:fldChar w:fldCharType="begin"/>
      </w:r>
      <w:r>
        <w:instrText xml:space="preserve"> REF Sts_ref_s88 \h \* MERGEFORMAT </w:instrText>
      </w:r>
      <w:r>
        <w:fldChar w:fldCharType="separate"/>
      </w:r>
      <w:r>
        <w:rPr/>
        <w:t xml:space="preserve">ANSI/ISA-88.01-1995</w:t>
      </w:r>
      <w:r>
        <w:fldChar w:fldCharType="end"/>
      </w:r>
      <w:r>
        <w:rPr/>
        <w:t xml:space="preserve"> standard was applied to applications across a plant, there was a need to align the terminologies, models and key definitions between different process types: continuous, batch, and discrete processes. Discrete processes involve machines found in the packaging, converting, and material handling applications. The operation of these machines is typically defined by the OEM, system integrator, end user, or is industry specific.</w:t>
      </w:r>
    </w:p>
    <w:p>
      <w:pPr>
        <w:pStyle w:val="PARAGRAPH"/>
      </w:pPr>
      <w:r>
        <w:rPr/>
        <w:t xml:space="preserve">OMAC (Organization for Machine Automation and Control) created a task group with members from technology providers, OEMs, system integrators, and end users to generate the PackML guidelines as a method to show how the </w:t>
      </w:r>
      <w:r>
        <w:fldChar w:fldCharType="begin"/>
      </w:r>
      <w:r>
        <w:instrText xml:space="preserve"> REF Sts_ref_s88 \h \* MERGEFORMAT </w:instrText>
      </w:r>
      <w:r>
        <w:fldChar w:fldCharType="separate"/>
      </w:r>
      <w:r>
        <w:rPr/>
        <w:t xml:space="preserve">ANSI/ISA-88.01-1995</w:t>
      </w:r>
      <w:r>
        <w:fldChar w:fldCharType="end"/>
      </w:r>
      <w:r>
        <w:rPr/>
        <w:t xml:space="preserve"> concepts could be extended into packaging machinery and other types of machines typically used in assembly lines, filling lines, and other production lines.</w:t>
      </w:r>
    </w:p>
    <w:p>
      <w:pPr>
        <w:pStyle w:val="PARAGRAPH"/>
      </w:pPr>
      <w:r>
        <w:rPr/>
        <w:t xml:space="preserve">The purpose of PackML is to:</w:t>
      </w:r>
    </w:p>
    <w:p>
      <w:pPr>
        <w:pStyle w:val="ListBullet"/>
      </w:pPr>
      <w:r>
        <w:rPr/>
        <w:t xml:space="preserve">Define a standard state-based model for automated machines.</w:t>
      </w:r>
    </w:p>
    <w:p>
      <w:pPr>
        <w:pStyle w:val="ListBullet"/>
      </w:pPr>
      <w:r>
        <w:rPr/>
        <w:t xml:space="preserve">Identify definitions for common terminology.</w:t>
      </w:r>
    </w:p>
    <w:p>
      <w:pPr>
        <w:pStyle w:val="ListBullet"/>
      </w:pPr>
      <w:r>
        <w:rPr/>
        <w:t xml:space="preserve">Explain to practitioners how to use state programming for automated machines.</w:t>
      </w:r>
    </w:p>
    <w:p>
      <w:pPr>
        <w:pStyle w:val="ListBullet"/>
      </w:pPr>
      <w:r>
        <w:rPr/>
        <w:t xml:space="preserve">Provide references to actual implementation examples and templates from automation and control vendors.</w:t>
      </w:r>
    </w:p>
    <w:p>
      <w:pPr>
        <w:pStyle w:val="ListBullet"/>
      </w:pPr>
      <w:r>
        <w:rPr/>
        <w:t xml:space="preserve">Identify a common tag structure for automated machines in order to:</w:t>
      </w:r>
    </w:p>
    <w:p>
      <w:pPr>
        <w:pStyle w:val="ListBullet"/>
      </w:pPr>
      <w:r>
        <w:rPr/>
        <w:t xml:space="preserve">Provide for "connect &amp; pack" functionality</w:t>
      </w:r>
    </w:p>
    <w:p>
      <w:pPr>
        <w:pStyle w:val="ListBullet"/>
      </w:pPr>
      <w:r>
        <w:rPr/>
        <w:t xml:space="preserve">Provide functional interoperability and a consistent look and feel across the plant floor.</w:t>
      </w:r>
    </w:p>
    <w:p>
      <w:pPr>
        <w:pStyle w:val="ListBullet"/>
      </w:pPr>
      <w:r>
        <w:rPr/>
        <w:t xml:space="preserve">Provide consistent tag structure for connection to plant MES and enterprise systems.</w:t>
      </w:r>
    </w:p>
    <w:p>
      <w:pPr>
        <w:pStyle w:val="PARAGRAPH"/>
      </w:pPr>
      <w:r>
        <w:rPr/>
        <w:t xml:space="preserve">If automated machinery is modelled in an </w:t>
      </w:r>
      <w:r>
        <w:fldChar w:fldCharType="begin"/>
      </w:r>
      <w:r>
        <w:instrText xml:space="preserve"> REF Sts_ref_s88 \h \* MERGEFORMAT </w:instrText>
      </w:r>
      <w:r>
        <w:fldChar w:fldCharType="separate"/>
      </w:r>
      <w:r>
        <w:rPr/>
        <w:t xml:space="preserve">ANSI/ISA-88.01-1995</w:t>
      </w:r>
      <w:r>
        <w:fldChar w:fldCharType="end"/>
      </w:r>
      <w:r>
        <w:rPr/>
        <w:t xml:space="preserve"> physical hierarchy, the example mapping shown in </w:t>
      </w:r>
      <w:r>
        <w:fldChar w:fldCharType="begin"/>
      </w:r>
      <w:r>
        <w:instrText xml:space="preserve"> REF Sts_fig_1 \h \* MERGEFORMAT </w:instrText>
      </w:r>
      <w:r>
        <w:fldChar w:fldCharType="separate"/>
      </w:r>
      <w:r>
        <w:rPr/>
        <w:t xml:space="preserve">Figure 1</w:t>
      </w:r>
      <w:r>
        <w:fldChar w:fldCharType="end"/>
      </w:r>
      <w:r>
        <w:rPr/>
        <w:t xml:space="preserve"> is possible, from </w:t>
      </w:r>
      <w:r>
        <w:fldChar w:fldCharType="begin"/>
      </w:r>
      <w:r>
        <w:instrText xml:space="preserve"> REF Sts_ref_tr88 \h \* MERGEFORMAT </w:instrText>
      </w:r>
      <w:r>
        <w:fldChar w:fldCharType="separate"/>
      </w:r>
      <w:r>
        <w:rPr/>
        <w:t xml:space="preserve">ISA-TR88.00.02-2022</w:t>
      </w:r>
      <w:r>
        <w:fldChar w:fldCharType="end"/>
      </w:r>
      <w:r>
        <w:rPr/>
        <w:t xml:space="preserve">. The example in this document will assume that a machine can represent the unit level in the ISA88 hierarchy.</w:t>
      </w:r>
    </w:p>
    <w:p>
      <w:pPr>
        <w:pStyle w:val="FIGURE"/>
      </w:pPr>
      <w:r>
        <w:drawing>
          <wp:inline xmlns:wp="http://schemas.openxmlformats.org/drawingml/2006/wordprocessingDrawing" distT="0" distB="0" distL="0" distR="0">
            <wp:extent cx="5759450" cy="5759450"/>
            <wp:effectExtent l="0" t="0" r="0" b="0"/>
            <wp:docPr id="3" name="Figure 3" descr="Automated Machines using the ISA 88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pic:nvPicPr>
                  <pic:blipFill>
                    <a:blip r:embed="R7d3f1d2df71441c9"/>
                    <a:stretch>
                      <a:fillRect/>
                    </a:stretch>
                  </pic:blipFill>
                  <pic:spPr>
                    <a:xfrm>
                      <a:off x="0" y="0"/>
                      <a:ext cx="5759450" cy="5759450"/>
                    </a:xfrm>
                    <a:prstGeom prst="rect">
                      <a:avLst/>
                    </a:prstGeom>
                  </pic:spPr>
                </pic:pic>
              </a:graphicData>
            </a:graphic>
          </wp:inline>
        </w:drawing>
      </w:r>
    </w:p>
    <w:p>
      <w:pPr>
        <w:pStyle w:val="FIGURE-title"/>
      </w:pPr>
      <w:bookmarkStart w:name="Sts_fig_1" w:id="30"/>
      <w:r>
        <w:t xml:space="preserve">Figure </w:t>
      </w:r>
      <w:r>
        <w:fldChar w:fldCharType="begin"/>
      </w:r>
      <w:r>
        <w:instrText xml:space="preserve"> SEQ Figure \* ARABIC </w:instrText>
      </w:r>
      <w:r>
        <w:fldChar w:fldCharType="separate"/>
      </w:r>
      <w:r>
        <w:rPr/>
        <w:t xml:space="preserve">1</w:t>
      </w:r>
      <w:r>
        <w:fldChar w:fldCharType="end"/>
      </w:r>
      <w:bookmarkEnd w:id="30"/>
      <w:r>
        <w:t xml:space="preserve"> – </w:t>
      </w:r>
      <w:r>
        <w:rPr/>
        <w:t xml:space="preserve">Automated Machines using the ISA 88 Models</w:t>
      </w:r>
    </w:p>
    <w:p>
      <w:pPr>
        <w:pStyle w:val="PARAGRAPH"/>
      </w:pPr>
      <w:r>
        <w:rPr/>
        <w:t xml:space="preserve">In the figure, the OPC UA interface and the PackML model might exist at the machine level. The communication and interactions below this level are machine specific. Some machines might have multiple Units which communicate using OPC UA / PackML, but they might also only expose the Machine using the OPC UA PackML interface to other Machines in packaging line or to the Packaging line controller.</w:t>
      </w:r>
    </w:p>
    <w:p>
      <w:pPr>
        <w:pStyle w:val="Heading2"/>
      </w:pPr>
      <w:bookmarkStart w:name="Sts_sec_4_2" w:id="31"/>
      <w:r>
        <w:rPr/>
        <w:t xml:space="preserve">PackML Overview</w:t>
      </w:r>
      <w:bookmarkEnd w:id="31"/>
    </w:p>
    <w:p>
      <w:pPr>
        <w:pStyle w:val="Heading3"/>
      </w:pPr>
      <w:bookmarkStart w:name="Sts_sec_4_2_1" w:id="32"/>
      <w:r>
        <w:rPr/>
        <w:t xml:space="preserve">Introduction</w:t>
      </w:r>
      <w:bookmarkEnd w:id="32"/>
    </w:p>
    <w:p>
      <w:pPr>
        <w:pStyle w:val="PARAGRAPH"/>
      </w:pPr>
      <w:r>
        <w:rPr/>
        <w:t xml:space="preserve">For an OPC UA user that may not be familiar with PackML, the following section provides a brief overview of key features that PackML provides along with a little background related to PackML and the concepts behind it.</w:t>
      </w:r>
    </w:p>
    <w:p>
      <w:pPr>
        <w:pStyle w:val="Heading3"/>
      </w:pPr>
      <w:bookmarkStart w:name="Sts_sec_4_2_2" w:id="33"/>
      <w:r>
        <w:rPr/>
        <w:t xml:space="preserve">Why PackML?</w:t>
      </w:r>
      <w:bookmarkEnd w:id="33"/>
    </w:p>
    <w:p>
      <w:pPr>
        <w:pStyle w:val="PARAGRAPH"/>
      </w:pPr>
      <w:r>
        <w:rPr/>
        <w:t xml:space="preserve">The Organization for Machine Automation and Control (OMAC) was formed to help manufacturers work together to find new and innovative ways to be successful in their production operations. OMAC brought together leading manufacturers representing End-User Manufacturers, OEM Machine Builders, System Integrators, Technology Providers, and Non-Profit / Government Agency organizations to address issues that confront global manufacturing today. OMAC aims to collectively derive common solutions for both technical and non-technical issues in the development, implementation, and commercialization of open, modular architecture control technologies.</w:t>
      </w:r>
    </w:p>
    <w:p>
      <w:pPr>
        <w:pStyle w:val="PARAGRAPH"/>
      </w:pPr>
      <w:r>
        <w:rPr/>
        <w:t xml:space="preserve">Manufacturing systems are made of collections of equipment, often from multiple suppliers, usually each with its own specific and custom interface. In order to make this collection of equipment operate together as a complete system, there is an integration effort required, and it is often time consuming and custom for each supplier.</w:t>
      </w:r>
    </w:p>
    <w:p>
      <w:pPr>
        <w:pStyle w:val="PARAGRAPH"/>
      </w:pPr>
      <w:r>
        <w:rPr/>
        <w:t xml:space="preserve">PackML stands for Packaging Machine Language and is an interface standard originally used in batch manufacturing in the packaging industry but which is now used in multiple different types of production and assembly lines. The primary objective of PackML is to bring a common "look and feel" and operational consistency to all machines that make up a production line. PackML provides:</w:t>
      </w:r>
    </w:p>
    <w:p>
      <w:pPr>
        <w:pStyle w:val="ListBullet"/>
      </w:pPr>
      <w:r>
        <w:rPr/>
        <w:t xml:space="preserve">Standard defined machine states and operational flow</w:t>
      </w:r>
    </w:p>
    <w:p>
      <w:pPr>
        <w:pStyle w:val="ListBullet"/>
      </w:pPr>
      <w:r>
        <w:rPr/>
        <w:t xml:space="preserve">Overall Equipment Effectiveness (OEE) data</w:t>
      </w:r>
    </w:p>
    <w:p>
      <w:pPr>
        <w:pStyle w:val="ListBullet"/>
      </w:pPr>
      <w:r>
        <w:rPr/>
        <w:t xml:space="preserve">Root Cause Analysis (RCA) data</w:t>
      </w:r>
    </w:p>
    <w:p>
      <w:pPr>
        <w:pStyle w:val="ListBullet"/>
      </w:pPr>
      <w:r>
        <w:rPr/>
        <w:t xml:space="preserve">Flexible recipe schemes and common SCADA or MES inputs</w:t>
      </w:r>
    </w:p>
    <w:p>
      <w:pPr>
        <w:pStyle w:val="PARAGRAPH"/>
      </w:pPr>
      <w:r>
        <w:rPr/>
        <w:t xml:space="preserve">PackML has been implemented in multiple formats for different industrial networks, with a proven benefit of reducing the integration time for adding new equipment to existing lines, or installing new lines.</w:t>
      </w:r>
    </w:p>
    <w:p>
      <w:pPr>
        <w:pStyle w:val="Heading3"/>
      </w:pPr>
      <w:bookmarkStart w:name="Sts_sec_4_2_3" w:id="34"/>
      <w:r>
        <w:rPr/>
        <w:t xml:space="preserve">PackML Elements</w:t>
      </w:r>
      <w:bookmarkEnd w:id="34"/>
    </w:p>
    <w:p>
      <w:pPr>
        <w:pStyle w:val="PARAGRAPH"/>
      </w:pPr>
      <w:r>
        <w:rPr/>
        <w:t xml:space="preserve">In order to provide a standard interface PackML defines three elements:</w:t>
      </w:r>
    </w:p>
    <w:p>
      <w:pPr>
        <w:pStyle w:val="PARAGRAPH"/>
      </w:pPr>
      <w:r>
        <w:rPr/>
        <w:t xml:space="preserve">1. PackML Unit Modes - A standard model that is used to control which state is being used (Producing, Maintenance, Manual, ….).</w:t>
      </w:r>
    </w:p>
    <w:p>
      <w:pPr>
        <w:pStyle w:val="PARAGRAPH"/>
      </w:pPr>
      <w:r>
        <w:rPr/>
        <w:t xml:space="preserve">2. PackML StateMachine - Standard state machine models that are used to represent the internal operational state of the machine/unit. (Note: StateMachine may change for Units and for the Mode of the unit.)</w:t>
      </w:r>
    </w:p>
    <w:p>
      <w:pPr>
        <w:pStyle w:val="PARAGRAPH"/>
      </w:pPr>
      <w:r>
        <w:rPr/>
        <w:t xml:space="preserve">3. PackTags -A standard set of tag names and extension used to control the mode and state, send commands to the machine/unit, and monitor the status of the machine/unit.</w:t>
      </w:r>
    </w:p>
    <w:p>
      <w:pPr>
        <w:pStyle w:val="PARAGRAPH"/>
      </w:pPr>
      <w:r>
        <w:rPr/>
        <w:t xml:space="preserve">These three aspects will be translated to OPC UA models.</w:t>
      </w:r>
    </w:p>
    <w:p>
      <w:pPr>
        <w:pStyle w:val="Heading3"/>
      </w:pPr>
      <w:bookmarkStart w:name="Sts_sec_4_2_4" w:id="35"/>
      <w:r>
        <w:rPr/>
        <w:t xml:space="preserve">Standard Modes</w:t>
      </w:r>
      <w:bookmarkEnd w:id="35"/>
    </w:p>
    <w:p>
      <w:pPr>
        <w:pStyle w:val="PARAGRAPH"/>
      </w:pPr>
      <w:r>
        <w:rPr/>
        <w:t xml:space="preserve">A Unit can be in different modes, for example Producing, Maintenance, Manual, Clean, Calibration, etc. A Unit control mode is an ordered subset of states and commands that determines the strategy carried out by the Unit process, as shown in </w:t>
      </w:r>
      <w:r>
        <w:fldChar w:fldCharType="begin"/>
      </w:r>
      <w:r>
        <w:instrText xml:space="preserve"> REF Sts_fig_2 \h \* MERGEFORMAT </w:instrText>
      </w:r>
      <w:r>
        <w:fldChar w:fldCharType="separate"/>
      </w:r>
      <w:r>
        <w:rPr/>
        <w:t xml:space="preserve">Figure 2</w:t>
      </w:r>
      <w:r>
        <w:fldChar w:fldCharType="end"/>
      </w:r>
      <w:r>
        <w:rPr/>
        <w:t xml:space="preserve">. For example, the producing mode is used when the unit is producing, a manual mode may be used when the unit is being manually controlled for troubleshooting.</w:t>
      </w:r>
    </w:p>
    <w:p>
      <w:pPr>
        <w:pStyle w:val="PARAGRAPH"/>
      </w:pPr>
      <w:r>
        <w:rPr/>
        <w:t xml:space="preserve">The states that a unit can be in depends on the mode. In the producing mode there is a state called SUSPENDED, where the equipment is not running due to an external event, but this state is not available in maintenance mode, neither is the COMPLETE state.</w:t>
      </w:r>
    </w:p>
    <w:p>
      <w:pPr>
        <w:pStyle w:val="FIGURE"/>
      </w:pPr>
      <w:r>
        <w:drawing>
          <wp:inline xmlns:wp="http://schemas.openxmlformats.org/drawingml/2006/wordprocessingDrawing" distT="0" distB="0" distL="0" distR="0">
            <wp:extent cx="5759450" cy="1992019"/>
            <wp:effectExtent l="0" t="0" r="0" b="0"/>
            <wp:docPr id="4" name="Figure 4" descr="Mode Management of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pic:nvPicPr>
                  <pic:blipFill>
                    <a:blip r:embed="Rb14b7e2239f841ca"/>
                    <a:stretch>
                      <a:fillRect/>
                    </a:stretch>
                  </pic:blipFill>
                  <pic:spPr>
                    <a:xfrm>
                      <a:off x="0" y="0"/>
                      <a:ext cx="5759450" cy="1992019"/>
                    </a:xfrm>
                    <a:prstGeom prst="rect">
                      <a:avLst/>
                    </a:prstGeom>
                  </pic:spPr>
                </pic:pic>
              </a:graphicData>
            </a:graphic>
          </wp:inline>
        </w:drawing>
      </w:r>
    </w:p>
    <w:p>
      <w:pPr>
        <w:pStyle w:val="FIGURE-title"/>
      </w:pPr>
      <w:bookmarkStart w:name="Sts_fig_2" w:id="36"/>
      <w:r>
        <w:t xml:space="preserve">Figure </w:t>
      </w:r>
      <w:r>
        <w:fldChar w:fldCharType="begin"/>
      </w:r>
      <w:r>
        <w:instrText xml:space="preserve"> SEQ Figure \* ARABIC </w:instrText>
      </w:r>
      <w:r>
        <w:fldChar w:fldCharType="separate"/>
      </w:r>
      <w:r>
        <w:rPr/>
        <w:t xml:space="preserve">2</w:t>
      </w:r>
      <w:r>
        <w:fldChar w:fldCharType="end"/>
      </w:r>
      <w:bookmarkEnd w:id="36"/>
      <w:r>
        <w:t xml:space="preserve"> – </w:t>
      </w:r>
      <w:r>
        <w:rPr/>
        <w:t xml:space="preserve">Mode Management of States</w:t>
      </w:r>
    </w:p>
    <w:p>
      <w:pPr>
        <w:pStyle w:val="PARAGRAPH"/>
      </w:pPr>
      <w:r>
        <w:rPr/>
        <w:t xml:space="preserve">PackML includes a standard manner of changing modes as well as displaying the current mode.  For additional information please see the ISA-TR88.00.02-2015.</w:t>
      </w:r>
    </w:p>
    <w:p>
      <w:pPr>
        <w:pStyle w:val="Heading3"/>
      </w:pPr>
      <w:bookmarkStart w:name="Sts_sec_4_2_5" w:id="37"/>
      <w:r>
        <w:rPr/>
        <w:t xml:space="preserve">Standard States</w:t>
      </w:r>
      <w:bookmarkEnd w:id="37"/>
    </w:p>
    <w:p>
      <w:pPr>
        <w:pStyle w:val="PARAGRAPH"/>
      </w:pPr>
      <w:r>
        <w:rPr/>
        <w:t xml:space="preserve">PackML Interface State Model is used to visualize and control the state of a unit/machine. The PackML Interface State Model is a state model that represents the Unit/Machine State in a standardized manner. The interface description is based on a state model, a state description and related control commands. For additional information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6" w:id="38"/>
      <w:r>
        <w:rPr/>
        <w:t xml:space="preserve">Standard Tag Names</w:t>
      </w:r>
      <w:bookmarkEnd w:id="38"/>
    </w:p>
    <w:p>
      <w:pPr>
        <w:pStyle w:val="PARAGRAPH"/>
      </w:pPr>
      <w:r>
        <w:rPr/>
        <w:t xml:space="preserve">At its core, PackML is the definition of standard tag names and standard values for the tags. These are used to control the state model of the unit (command tags), determine the state and status of the equipment (status tags), and administer the equipment (admin tags).</w:t>
      </w:r>
    </w:p>
    <w:p>
      <w:pPr>
        <w:pStyle w:val="Heading3"/>
      </w:pPr>
      <w:bookmarkStart w:name="Sts_sec_4_2_7" w:id="39"/>
      <w:r>
        <w:rPr/>
        <w:t xml:space="preserve">PackML Object Model</w:t>
      </w:r>
      <w:bookmarkEnd w:id="39"/>
    </w:p>
    <w:p>
      <w:pPr>
        <w:pStyle w:val="Heading4"/>
      </w:pPr>
      <w:bookmarkStart w:name="Sts_sec_4_2_7_1" w:id="40"/>
      <w:r>
        <w:rPr/>
        <w:t xml:space="preserve">Overview</w:t>
      </w:r>
      <w:bookmarkEnd w:id="40"/>
    </w:p>
    <w:p>
      <w:pPr>
        <w:pStyle w:val="PARAGRAPH"/>
      </w:pPr>
      <w:r>
        <w:rPr/>
        <w:t xml:space="preserve">The PackML object model is composed of a series of tags. These tags can be one of three general type of tags Command Tags, Status Tags and Administrative Tags.</w:t>
      </w:r>
    </w:p>
    <w:p>
      <w:pPr>
        <w:pStyle w:val="Heading4"/>
      </w:pPr>
      <w:bookmarkStart w:name="Sts_sec_4_2_7_2" w:id="41"/>
      <w:r>
        <w:rPr/>
        <w:t xml:space="preserve">Command Tags</w:t>
      </w:r>
      <w:bookmarkEnd w:id="41"/>
    </w:p>
    <w:p>
      <w:pPr>
        <w:pStyle w:val="PARAGRAPH"/>
      </w:pPr>
      <w:r>
        <w:rPr/>
        <w:t xml:space="preserve">Command tags allow interaction with the state machine and general functionality of the server.  Command tags include changing units, changing state machines.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 In OPC UA command tags are generally mapped to </w:t>
      </w:r>
      <w:r>
        <w:rPr>
          <w:i/>
        </w:rPr>
        <w:t xml:space="preserve">Methods</w:t>
      </w:r>
      <w:r>
        <w:rPr/>
        <w:t xml:space="preserve">.</w:t>
      </w:r>
    </w:p>
    <w:p>
      <w:pPr>
        <w:pStyle w:val="Heading4"/>
      </w:pPr>
      <w:bookmarkStart w:name="Sts_sec_4_2_7_3" w:id="42"/>
      <w:r>
        <w:rPr/>
        <w:t xml:space="preserve">Status Tags</w:t>
      </w:r>
      <w:bookmarkEnd w:id="42"/>
    </w:p>
    <w:p>
      <w:pPr>
        <w:pStyle w:val="PARAGRAPH"/>
      </w:pPr>
      <w:r>
        <w:rPr/>
        <w:t xml:space="preserve">Status tags provide information about the state of the machine or device. This includes feedback from the commands issued and the general status.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4"/>
      </w:pPr>
      <w:bookmarkStart w:name="Sts_sec_4_2_7_4" w:id="43"/>
      <w:r>
        <w:rPr/>
        <w:t xml:space="preserve">Admin Tags</w:t>
      </w:r>
      <w:bookmarkEnd w:id="43"/>
    </w:p>
    <w:p>
      <w:pPr>
        <w:pStyle w:val="PARAGRAPH"/>
      </w:pPr>
      <w:r>
        <w:rPr/>
        <w:t xml:space="preserve">Admin tags provide information about alarming in the machines or device. This include Alarm history and some summary statistics about the machine or device.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8" w:id="44"/>
      <w:r>
        <w:rPr/>
        <w:t xml:space="preserve">Standard Tag Values</w:t>
      </w:r>
      <w:bookmarkEnd w:id="44"/>
    </w:p>
    <w:p>
      <w:pPr>
        <w:pStyle w:val="Heading4"/>
      </w:pPr>
      <w:bookmarkStart w:name="Sts_sec_4_2_8_1" w:id="45"/>
      <w:r>
        <w:rPr/>
        <w:t xml:space="preserve">Overview</w:t>
      </w:r>
      <w:bookmarkEnd w:id="45"/>
    </w:p>
    <w:p>
      <w:pPr>
        <w:pStyle w:val="PARAGRAPH"/>
      </w:pPr>
      <w:r>
        <w:rPr/>
        <w:t xml:space="preserve">Several PackTags have specific values defined.</w:t>
      </w:r>
    </w:p>
    <w:p>
      <w:pPr>
        <w:pStyle w:val="Heading4"/>
      </w:pPr>
      <w:bookmarkStart w:name="Sts_sec_4_2_8_2" w:id="46"/>
      <w:r>
        <w:rPr/>
        <w:t xml:space="preserve">Machine Speed</w:t>
      </w:r>
      <w:bookmarkEnd w:id="46"/>
    </w:p>
    <w:p>
      <w:pPr>
        <w:pStyle w:val="PARAGRAPH"/>
      </w:pPr>
      <w:r>
        <w:rPr/>
        <w:t xml:space="preserve">This describes the set point for the current speed of the unit/machine in primary packages per minute. Keeping speed in a primary package unit of measure (UOM) allows for easier control integration. The primary package UOM is the normalized rate for the machine, normalized to a value chosen on the line.</w:t>
      </w:r>
    </w:p>
    <w:p>
      <w:pPr>
        <w:pStyle w:val="PARAGRAPH"/>
      </w:pPr>
      <w:r>
        <w:rPr/>
        <w:t xml:space="preserve">The following example is for a bottle line running at balance line speed of 1000 packages/minute. The UOM chosen is equivalent to be the actual count of the Filler, or Labeler.</w:t>
      </w:r>
    </w:p>
    <w:tbl>
      <w:tblPr>
        <w:tblStyle w:val="TableGrid"/>
        <w:tblW w:w="9070" w:type="dxa"/>
        <w:tblLayout w:type="fixed"/>
      </w:tblPr>
      <w:tblGrid>
        <w:gridCol w:w="2112"/>
        <w:gridCol w:w="4225"/>
        <w:gridCol w:w="2733"/>
      </w:tblGrid>
      <w:tr>
        <w:trPr>
          <w:tblHeader/>
        </w:trPr>
        <w:tc>
          <w:tcPr>
            <w:tcW w:w="2112" w:type="dxa"/>
            <w:vAlign w:val="center"/>
          </w:tcPr>
          <w:p>
            <w:pPr>
              <w:pStyle w:val="TABLE-col-heading"/>
              <w:jc w:val="left"/>
            </w:pPr>
            <w:r>
              <w:rPr>
                <w:b/>
              </w:rPr>
              <w:t xml:space="preserve">Machine</w:t>
            </w:r>
          </w:p>
        </w:tc>
        <w:tc>
          <w:tcPr>
            <w:tcW w:w="4225" w:type="dxa"/>
            <w:vAlign w:val="center"/>
          </w:tcPr>
          <w:p>
            <w:pPr>
              <w:pStyle w:val="TABLE-col-heading"/>
              <w:jc w:val="left"/>
            </w:pPr>
            <w:r>
              <w:rPr>
                <w:b/>
              </w:rPr>
              <w:t xml:space="preserve">Actual Pack Counts</w:t>
            </w:r>
          </w:p>
        </w:tc>
        <w:tc>
          <w:tcPr>
            <w:tcW w:w="2733" w:type="dxa"/>
            <w:vAlign w:val="center"/>
          </w:tcPr>
          <w:p>
            <w:pPr>
              <w:pStyle w:val="TABLE-col-heading"/>
              <w:jc w:val="left"/>
            </w:pPr>
            <w:r>
              <w:rPr>
                <w:b/>
              </w:rPr>
              <w:t xml:space="preserve">Primary Packages (UOM)</w:t>
            </w:r>
          </w:p>
        </w:tc>
      </w:tr>
      <w:tr>
        <w:tc>
          <w:tcPr>
            <w:tcW w:w="2112" w:type="dxa"/>
            <w:vAlign w:val="center"/>
          </w:tcPr>
          <w:p>
            <w:pPr>
              <w:pStyle w:val="TABLE-cell"/>
            </w:pPr>
            <w:r>
              <w:rPr/>
              <w:t xml:space="preserve">Bulk depalletizer</w:t>
            </w:r>
          </w:p>
        </w:tc>
        <w:tc>
          <w:tcPr>
            <w:tcW w:w="4225" w:type="dxa"/>
            <w:vAlign w:val="center"/>
          </w:tcPr>
          <w:p>
            <w:pPr>
              <w:pStyle w:val="TABLE-cell"/>
            </w:pPr>
            <w:r>
              <w:rPr/>
              <w:t xml:space="preserve">41.667 (24 pack -&gt; 1000/24=41.667)</w:t>
            </w:r>
          </w:p>
        </w:tc>
        <w:tc>
          <w:tcPr>
            <w:tcW w:w="2733" w:type="dxa"/>
            <w:vAlign w:val="center"/>
          </w:tcPr>
          <w:p>
            <w:pPr>
              <w:pStyle w:val="TABLE-cell"/>
            </w:pPr>
            <w:r>
              <w:rPr/>
              <w:t xml:space="preserve">1.000</w:t>
            </w:r>
          </w:p>
        </w:tc>
      </w:tr>
      <w:tr>
        <w:tc>
          <w:tcPr>
            <w:tcW w:w="2112" w:type="dxa"/>
            <w:vAlign w:val="center"/>
          </w:tcPr>
          <w:p>
            <w:pPr>
              <w:pStyle w:val="TABLE-cell"/>
            </w:pPr>
            <w:r>
              <w:rPr/>
              <w:t xml:space="preserve">Filler</w:t>
            </w:r>
          </w:p>
        </w:tc>
        <w:tc>
          <w:tcPr>
            <w:tcW w:w="4225" w:type="dxa"/>
            <w:vAlign w:val="center"/>
          </w:tcPr>
          <w:p>
            <w:pPr>
              <w:pStyle w:val="TABLE-cell"/>
            </w:pPr>
            <w:r>
              <w:rPr/>
              <w:t xml:space="preserve">1.000</w:t>
            </w:r>
          </w:p>
        </w:tc>
        <w:tc>
          <w:tcPr>
            <w:tcW w:w="2733" w:type="dxa"/>
            <w:vAlign w:val="center"/>
          </w:tcPr>
          <w:p>
            <w:pPr>
              <w:pStyle w:val="TABLE-cell"/>
            </w:pPr>
            <w:r>
              <w:rPr/>
              <w:t xml:space="preserve">1.000</w:t>
            </w:r>
          </w:p>
        </w:tc>
      </w:tr>
      <w:tr>
        <w:tc>
          <w:tcPr>
            <w:tcW w:w="2112" w:type="dxa"/>
            <w:vAlign w:val="center"/>
          </w:tcPr>
          <w:p>
            <w:pPr>
              <w:pStyle w:val="TABLE-cell"/>
            </w:pPr>
            <w:r>
              <w:rPr/>
              <w:t xml:space="preserve">Labeler</w:t>
            </w:r>
          </w:p>
        </w:tc>
        <w:tc>
          <w:tcPr>
            <w:tcW w:w="4225" w:type="dxa"/>
            <w:vAlign w:val="center"/>
          </w:tcPr>
          <w:p>
            <w:pPr>
              <w:pStyle w:val="TABLE-cell"/>
            </w:pPr>
            <w:r>
              <w:rPr/>
              <w:t xml:space="preserve">1.000</w:t>
            </w:r>
          </w:p>
        </w:tc>
        <w:tc>
          <w:tcPr>
            <w:tcW w:w="2733" w:type="dxa"/>
            <w:vAlign w:val="center"/>
          </w:tcPr>
          <w:p>
            <w:pPr>
              <w:pStyle w:val="TABLE-cell"/>
            </w:pPr>
            <w:r>
              <w:rPr/>
              <w:t xml:space="preserve">1.000</w:t>
            </w:r>
          </w:p>
        </w:tc>
      </w:tr>
      <w:tr>
        <w:tc>
          <w:tcPr>
            <w:tcW w:w="2112" w:type="dxa"/>
            <w:vAlign w:val="center"/>
          </w:tcPr>
          <w:p>
            <w:pPr>
              <w:pStyle w:val="TABLE-cell"/>
            </w:pPr>
            <w:r>
              <w:rPr/>
              <w:t xml:space="preserve">Packer</w:t>
            </w:r>
          </w:p>
        </w:tc>
        <w:tc>
          <w:tcPr>
            <w:tcW w:w="4225" w:type="dxa"/>
            <w:vAlign w:val="center"/>
          </w:tcPr>
          <w:p>
            <w:pPr>
              <w:pStyle w:val="TABLE-cell"/>
            </w:pPr>
            <w:r>
              <w:rPr/>
              <w:t xml:space="preserve">66.667 (15 pack -&gt; 1000/15=66.667)</w:t>
            </w:r>
          </w:p>
        </w:tc>
        <w:tc>
          <w:tcPr>
            <w:tcW w:w="2733" w:type="dxa"/>
            <w:vAlign w:val="center"/>
          </w:tcPr>
          <w:p>
            <w:pPr>
              <w:pStyle w:val="TABLE-cell"/>
            </w:pPr>
            <w:r>
              <w:rPr/>
              <w:t xml:space="preserve">1.000</w:t>
            </w:r>
          </w:p>
        </w:tc>
      </w:tr>
    </w:tbl>
    <w:p>
      <w:pPr>
        <w:pStyle w:val="spacer"/>
      </w:pPr>
    </w:p>
    <w:p>
      <w:pPr>
        <w:pStyle w:val="Heading4"/>
      </w:pPr>
      <w:bookmarkStart w:name="Sts_sec_4_2_8_3" w:id="47"/>
      <w:r>
        <w:rPr/>
        <w:t xml:space="preserve">Material Interlock</w:t>
      </w:r>
      <w:bookmarkEnd w:id="47"/>
    </w:p>
    <w:p>
      <w:pPr>
        <w:pStyle w:val="PARAGRAPH"/>
      </w:pPr>
      <w:r>
        <w:rPr/>
        <w:t xml:space="preserve">Indicates materials are ready for processing. It is comprised of a series of bits with 1 equalling ready or not low, 0 equalling not ready, or low. Each bit represents a different user material. The word contains bits that indicate when a critical material or process parameter is ready for use. It can also be used for production, and/or indication of low condition. This information may be sent to the unit machine at any time as the interlock information changes.</w:t>
      </w:r>
    </w:p>
    <w:p>
      <w:pPr>
        <w:pStyle w:val="PARAGRAPH"/>
      </w:pPr>
      <w:r>
        <w:rPr/>
        <w:t xml:space="preserve">The format and meaning of the material interlock bits are determined by the machine/unit supplier, as shown in the example below:</w:t>
      </w:r>
    </w:p>
    <w:tbl>
      <w:tblPr>
        <w:tblStyle w:val="TableGrid"/>
        <w:tblW w:w="9070" w:type="dxa"/>
        <w:tblLayout w:type="fixed"/>
      </w:tblPr>
      <w:tblGrid>
        <w:gridCol w:w="1909"/>
        <w:gridCol w:w="3979"/>
        <w:gridCol w:w="3182"/>
      </w:tblGrid>
      <w:tr>
        <w:trPr>
          <w:tblHeader/>
        </w:trPr>
        <w:tc>
          <w:tcPr>
            <w:tcW w:w="1909" w:type="dxa"/>
            <w:vAlign w:val="center"/>
          </w:tcPr>
          <w:p>
            <w:pPr>
              <w:pStyle w:val="TABLE-col-heading"/>
              <w:jc w:val="left"/>
            </w:pPr>
            <w:r>
              <w:rPr>
                <w:b/>
              </w:rPr>
              <w:t xml:space="preserve">Machine/Unit</w:t>
            </w:r>
          </w:p>
        </w:tc>
        <w:tc>
          <w:tcPr>
            <w:tcW w:w="3979" w:type="dxa"/>
            <w:vAlign w:val="center"/>
          </w:tcPr>
          <w:p>
            <w:pPr>
              <w:pStyle w:val="TABLE-col-heading"/>
              <w:jc w:val="left"/>
            </w:pPr>
            <w:r>
              <w:rPr>
                <w:b/>
              </w:rPr>
              <w:t xml:space="preserve">Material Interlock, bit #</w:t>
            </w:r>
          </w:p>
        </w:tc>
        <w:tc>
          <w:tcPr>
            <w:tcW w:w="3182" w:type="dxa"/>
            <w:vAlign w:val="center"/>
          </w:tcPr>
          <w:p>
            <w:pPr>
              <w:pStyle w:val="TABLE-col-heading"/>
              <w:jc w:val="left"/>
            </w:pPr>
            <w:r>
              <w:rPr>
                <w:b/>
              </w:rPr>
              <w:t xml:space="preserve">Material Description</w:t>
            </w:r>
          </w:p>
        </w:tc>
      </w:tr>
      <w:tr>
        <w:tc>
          <w:tcPr>
            <w:tcW w:w="1909" w:type="dxa"/>
            <w:vAlign w:val="center"/>
          </w:tcPr>
          <w:p>
            <w:pPr>
              <w:pStyle w:val="TABLE-cell"/>
            </w:pPr>
            <w:r>
              <w:rPr/>
              <w:t xml:space="preserve">Filler</w:t>
            </w:r>
          </w:p>
        </w:tc>
        <w:tc>
          <w:tcPr>
            <w:tcW w:w="3979" w:type="dxa"/>
            <w:vAlign w:val="center"/>
          </w:tcPr>
          <w:p>
            <w:pPr>
              <w:pStyle w:val="TABLE-cell"/>
            </w:pPr>
            <w:r>
              <w:rPr/>
              <w:t xml:space="preserve">0</w:t>
            </w:r>
          </w:p>
        </w:tc>
        <w:tc>
          <w:tcPr>
            <w:tcW w:w="3182" w:type="dxa"/>
            <w:vAlign w:val="center"/>
          </w:tcPr>
          <w:p>
            <w:pPr>
              <w:pStyle w:val="TABLE-cell"/>
            </w:pPr>
            <w:r>
              <w:rPr/>
              <w:t xml:space="preserve">500 ml Bag</w:t>
            </w:r>
          </w:p>
        </w:tc>
      </w:tr>
      <w:tr>
        <w:tc>
          <w:tcPr>
            <w:tcW w:w="1909" w:type="dxa"/>
            <w:vAlign w:val="center"/>
          </w:tcPr>
          <w:p>
            <w:pPr>
              <w:pStyle w:val="TABLE-cell"/>
            </w:pPr>
            <w:r>
              <w:rPr/>
              <w:t xml:space="preserve">Filler</w:t>
            </w:r>
          </w:p>
        </w:tc>
        <w:tc>
          <w:tcPr>
            <w:tcW w:w="3979" w:type="dxa"/>
            <w:vAlign w:val="center"/>
          </w:tcPr>
          <w:p>
            <w:pPr>
              <w:pStyle w:val="TABLE-cell"/>
            </w:pPr>
            <w:r>
              <w:rPr/>
              <w:t xml:space="preserve">1</w:t>
            </w:r>
          </w:p>
        </w:tc>
        <w:tc>
          <w:tcPr>
            <w:tcW w:w="3182" w:type="dxa"/>
            <w:vAlign w:val="center"/>
          </w:tcPr>
          <w:p>
            <w:pPr>
              <w:pStyle w:val="TABLE-cell"/>
            </w:pPr>
            <w:r>
              <w:rPr/>
              <w:t xml:space="preserve">Flaked Cereal</w:t>
            </w:r>
          </w:p>
        </w:tc>
      </w:tr>
      <w:tr>
        <w:tc>
          <w:tcPr>
            <w:tcW w:w="1909" w:type="dxa"/>
            <w:vAlign w:val="center"/>
          </w:tcPr>
          <w:p>
            <w:pPr>
              <w:pStyle w:val="TABLE-cell"/>
            </w:pPr>
            <w:r>
              <w:rPr/>
              <w:t xml:space="preserve">Labeler</w:t>
            </w:r>
          </w:p>
        </w:tc>
        <w:tc>
          <w:tcPr>
            <w:tcW w:w="3979" w:type="dxa"/>
            <w:vAlign w:val="center"/>
          </w:tcPr>
          <w:p>
            <w:pPr>
              <w:pStyle w:val="TABLE-cell"/>
            </w:pPr>
            <w:r>
              <w:rPr/>
              <w:t xml:space="preserve">0</w:t>
            </w:r>
          </w:p>
        </w:tc>
        <w:tc>
          <w:tcPr>
            <w:tcW w:w="3182" w:type="dxa"/>
            <w:vAlign w:val="center"/>
          </w:tcPr>
          <w:p>
            <w:pPr>
              <w:pStyle w:val="TABLE-cell"/>
            </w:pPr>
            <w:r>
              <w:rPr/>
              <w:t xml:space="preserve">Small Box</w:t>
            </w:r>
          </w:p>
        </w:tc>
      </w:tr>
      <w:tr>
        <w:tc>
          <w:tcPr>
            <w:tcW w:w="1909" w:type="dxa"/>
            <w:vAlign w:val="center"/>
          </w:tcPr>
          <w:p>
            <w:pPr>
              <w:pStyle w:val="TABLE-cell"/>
            </w:pPr>
            <w:r>
              <w:rPr/>
              <w:t xml:space="preserve">Labeler</w:t>
            </w:r>
          </w:p>
        </w:tc>
        <w:tc>
          <w:tcPr>
            <w:tcW w:w="3979" w:type="dxa"/>
            <w:vAlign w:val="center"/>
          </w:tcPr>
          <w:p>
            <w:pPr>
              <w:pStyle w:val="TABLE-cell"/>
            </w:pPr>
            <w:r>
              <w:rPr/>
              <w:t xml:space="preserve">1</w:t>
            </w:r>
          </w:p>
        </w:tc>
        <w:tc>
          <w:tcPr>
            <w:tcW w:w="3182" w:type="dxa"/>
            <w:vAlign w:val="center"/>
          </w:tcPr>
          <w:p>
            <w:pPr>
              <w:pStyle w:val="TABLE-cell"/>
            </w:pPr>
            <w:r>
              <w:rPr/>
              <w:t xml:space="preserve">500 ml Bag</w:t>
            </w:r>
          </w:p>
        </w:tc>
      </w:tr>
      <w:tr>
        <w:tc>
          <w:tcPr>
            <w:tcW w:w="1909" w:type="dxa"/>
            <w:vAlign w:val="center"/>
          </w:tcPr>
          <w:p>
            <w:pPr>
              <w:pStyle w:val="TABLE-cell"/>
            </w:pPr>
            <w:r>
              <w:rPr/>
              <w:t xml:space="preserve">Labeler</w:t>
            </w:r>
          </w:p>
        </w:tc>
        <w:tc>
          <w:tcPr>
            <w:tcW w:w="3979" w:type="dxa"/>
            <w:vAlign w:val="center"/>
          </w:tcPr>
          <w:p>
            <w:pPr>
              <w:pStyle w:val="TABLE-cell"/>
            </w:pPr>
            <w:r>
              <w:rPr/>
              <w:t xml:space="preserve">2</w:t>
            </w:r>
          </w:p>
        </w:tc>
        <w:tc>
          <w:tcPr>
            <w:tcW w:w="3182" w:type="dxa"/>
            <w:vAlign w:val="center"/>
          </w:tcPr>
          <w:p>
            <w:pPr>
              <w:pStyle w:val="TABLE-cell"/>
            </w:pPr>
            <w:r>
              <w:rPr/>
              <w:t xml:space="preserve">Small Box Label</w:t>
            </w:r>
          </w:p>
        </w:tc>
      </w:tr>
    </w:tbl>
    <w:p>
      <w:pPr>
        <w:pStyle w:val="spacer"/>
      </w:pPr>
    </w:p>
    <w:p>
      <w:pPr>
        <w:pStyle w:val="Heading4"/>
      </w:pPr>
      <w:bookmarkStart w:name="Sts_sec_4_2_8_4" w:id="48"/>
      <w:r>
        <w:rPr/>
        <w:t xml:space="preserve">Remote Interface Structure</w:t>
      </w:r>
      <w:bookmarkEnd w:id="48"/>
    </w:p>
    <w:p>
      <w:pPr>
        <w:pStyle w:val="PARAGRAPH"/>
      </w:pPr>
      <w:r>
        <w:rPr/>
        <w:t xml:space="preserve">An array of structure elements used for coordinating upstream or downstream machines in a cell with multiple unit machines.</w:t>
      </w:r>
    </w:p>
    <w:p>
      <w:pPr>
        <w:pStyle w:val="PARAGRAPH"/>
      </w:pPr>
      <w:r>
        <w:rPr/>
        <w:t xml:space="preserve">The array is a length that is equal to the number of machines that will be sending commands. This could be expanded if a machine is capable of receiving material from multiple upstream and/or downstream machines, thereby receiving multiple commands and parameters.</w:t>
      </w:r>
    </w:p>
    <w:p>
      <w:pPr>
        <w:pStyle w:val="PARAGRAPH"/>
      </w:pPr>
      <w:r>
        <w:rPr/>
        <w:t xml:space="preserve">This can be used for machine to machine coordination without supervisory control, or for tightly controlled units under supervisory control. These tags are typically used for consumption within the unit machine procedure. Specifically, if a remote controller was issuing commands, the commands would be read by this tag and used in the unit machine.</w:t>
      </w:r>
    </w:p>
    <w:p>
      <w:pPr>
        <w:pStyle w:val="Heading2"/>
      </w:pPr>
      <w:bookmarkStart w:name="Sts_sec_4_3" w:id="49"/>
      <w:r>
        <w:rPr/>
        <w:t xml:space="preserve">OPC UA Overview</w:t>
      </w:r>
      <w:bookmarkEnd w:id="49"/>
    </w:p>
    <w:p>
      <w:pPr>
        <w:pStyle w:val="Heading3"/>
      </w:pPr>
      <w:bookmarkStart w:name="Sts_sec_4_3_1" w:id="50"/>
      <w:r>
        <w:rPr/>
        <w:t xml:space="preserve">Introduction</w:t>
      </w:r>
      <w:bookmarkEnd w:id="50"/>
    </w:p>
    <w:p>
      <w:pPr>
        <w:pStyle w:val="PARAGRAPH"/>
      </w:pPr>
      <w:r>
        <w:rPr/>
        <w:t xml:space="preserve">For PackML users that may not be familiar with OPC UA the following section provides a brief overview of key features that OPC UA provides.</w:t>
      </w:r>
    </w:p>
    <w:p>
      <w:pPr>
        <w:pStyle w:val="Heading3"/>
      </w:pPr>
      <w:bookmarkStart w:name="Sts_sec_4_3_2" w:id="51"/>
      <w:r>
        <w:rPr/>
        <w:t xml:space="preserve">What is OPC UA?</w:t>
      </w:r>
      <w:bookmarkEnd w:id="51"/>
    </w:p>
    <w:p>
      <w:pPr>
        <w:pStyle w:val="PARAGRAPH"/>
      </w:pPr>
      <w:r>
        <w:rPr/>
        <w:t xml:space="preserve">OPC UA is an open and royalty free set of standards designed as a universal communications protocol. While there are numerous communication solutions available, OPC UA has several advantages:</w:t>
      </w:r>
    </w:p>
    <w:p>
      <w:pPr>
        <w:pStyle w:val="ListBullet"/>
      </w:pPr>
      <w:r>
        <w:rPr/>
        <w:t xml:space="preserve">A state of art security model (see </w:t>
      </w:r>
      <w:r>
        <w:fldChar w:fldCharType="begin"/>
      </w:r>
      <w:r>
        <w:instrText xml:space="preserve"> REF Sts_ref_uapart2 \h \* MERGEFORMAT </w:instrText>
      </w:r>
      <w:r>
        <w:fldChar w:fldCharType="separate"/>
      </w:r>
      <w:r>
        <w:rPr/>
        <w:t xml:space="preserve">OPC 10000-2</w:t>
      </w:r>
      <w:r>
        <w:fldChar w:fldCharType="end"/>
      </w:r>
      <w:r>
        <w:rPr/>
        <w:t xml:space="preserve">).</w:t>
      </w:r>
    </w:p>
    <w:p>
      <w:pPr>
        <w:pStyle w:val="ListBullet"/>
      </w:pPr>
      <w:r>
        <w:rPr/>
        <w:t xml:space="preserve">A fault tolerant communication protocol.</w:t>
      </w:r>
    </w:p>
    <w:p>
      <w:pPr>
        <w:pStyle w:val="ListBullet"/>
      </w:pPr>
      <w:r>
        <w:rPr/>
        <w:t xml:space="preserve">An information modelling framework that allows application developers to represent their data in a way that makes sense to them.</w:t>
      </w:r>
    </w:p>
    <w:p>
      <w:pPr>
        <w:pStyle w:val="PARAGRAPH"/>
      </w:pPr>
      <w:r>
        <w:rPr/>
        <w:t xml:space="preserve">OPC UA has a broad scope which delivers for economies of scale for application developers. This means that a larger number of high quality applications at a reasonable cost are available. When combined with powerful semantic models such as PackML, OPC UA makes it easier for end users to access data via generic commercial application.</w:t>
      </w:r>
    </w:p>
    <w:p>
      <w:pPr>
        <w:pStyle w:val="PARAGRAPH"/>
      </w:pPr>
      <w:r>
        <w:rPr/>
        <w:t xml:space="preserve">The OPC UA model is scalable from small devices to ERP systems. OPC UA devices process information locally and then provide that data in a consistent format to any application requesting data - ERP, MES, PMS, Maintenance Systems, HMI, Smartphone or a standard Browser, for examples. For a more complete overview see </w:t>
      </w:r>
      <w:r>
        <w:fldChar w:fldCharType="begin"/>
      </w:r>
      <w:r>
        <w:instrText xml:space="preserve"> REF Sts_ref_uapart1 \h \* MERGEFORMAT </w:instrText>
      </w:r>
      <w:r>
        <w:fldChar w:fldCharType="separate"/>
      </w:r>
      <w:r>
        <w:rPr/>
        <w:t xml:space="preserve">OPC 10000-1</w:t>
      </w:r>
      <w:r>
        <w:fldChar w:fldCharType="end"/>
      </w:r>
      <w:r>
        <w:rPr/>
        <w:t xml:space="preserve">.</w:t>
      </w:r>
    </w:p>
    <w:p>
      <w:pPr>
        <w:pStyle w:val="Heading3"/>
      </w:pPr>
      <w:bookmarkStart w:name="Sts_sec_4_3_3" w:id="52"/>
      <w:r>
        <w:rPr/>
        <w:t xml:space="preserve">Basics of OPC UA</w:t>
      </w:r>
      <w:bookmarkEnd w:id="52"/>
    </w:p>
    <w:p>
      <w:pPr>
        <w:pStyle w:val="PARAGRAPH"/>
      </w:pPr>
      <w:r>
        <w:rPr/>
        <w:t xml:space="preserve">As an Open Standard, OPC UA is based on standard Internet technologies - TCP/IP, HTTPS, Ethernet, and XML.</w:t>
      </w:r>
    </w:p>
    <w:p>
      <w:pPr>
        <w:pStyle w:val="PARAGRAPH"/>
      </w:pPr>
      <w:r>
        <w:rPr/>
        <w:t xml:space="preserve">As an Extensible Standard, OPC UA provides a set of services (</w:t>
      </w:r>
      <w:r>
        <w:fldChar w:fldCharType="begin"/>
      </w:r>
      <w:r>
        <w:instrText xml:space="preserve"> REF Sts_ref_uapart4 \h \* MERGEFORMAT </w:instrText>
      </w:r>
      <w:r>
        <w:fldChar w:fldCharType="separate"/>
      </w:r>
      <w:r>
        <w:rPr/>
        <w:t xml:space="preserve">OPC 10000-4</w:t>
      </w:r>
      <w:r>
        <w:fldChar w:fldCharType="end"/>
      </w:r>
      <w:r>
        <w:rPr/>
        <w:t xml:space="preserve">) and a basic information model framework. This framework provides an easy manner for creating and exposing vendor defined information in a standard way. More importantly all OPC UA </w:t>
      </w:r>
      <w:r>
        <w:rPr>
          <w:i/>
        </w:rPr>
        <w:t xml:space="preserve">Clients</w:t>
      </w:r>
      <w:r>
        <w:rPr/>
        <w:t xml:space="preserve"> are expected to be able to discover and use vendor defined information. This means OPC UA users can benefit from the economies of scale that come with generic visualization and historian applications. This specification is an example of an OPC UA Information Model designed to meet the needs of developers and users.</w:t>
      </w:r>
    </w:p>
    <w:p>
      <w:pPr>
        <w:pStyle w:val="PARAGRAPH"/>
      </w:pPr>
      <w:r>
        <w:rPr/>
        <w:t xml:space="preserve">OPC UA </w:t>
      </w:r>
      <w:r>
        <w:rPr>
          <w:i/>
        </w:rPr>
        <w:t xml:space="preserve">Clients</w:t>
      </w:r>
      <w:r>
        <w:rPr/>
        <w:t xml:space="preserve"> can be any consumer of data from another device on the network to browser based thin clients and ERP systems. The full scope of OPC UA applications are shown in </w:t>
      </w:r>
      <w:r>
        <w:fldChar w:fldCharType="begin"/>
      </w:r>
      <w:r>
        <w:instrText xml:space="preserve"> REF Sts_fig_3 \h \* MERGEFORMAT </w:instrText>
      </w:r>
      <w:r>
        <w:fldChar w:fldCharType="separate"/>
      </w:r>
      <w:r>
        <w:rPr/>
        <w:t xml:space="preserve">Figure 3</w:t>
      </w:r>
      <w:r>
        <w:fldChar w:fldCharType="end"/>
      </w:r>
      <w:r>
        <w:rPr/>
        <w:t xml:space="preserve">.</w:t>
      </w:r>
    </w:p>
    <w:p>
      <w:pPr>
        <w:pStyle w:val="FIGURE"/>
      </w:pPr>
      <w:r>
        <w:drawing>
          <wp:inline xmlns:wp="http://schemas.openxmlformats.org/drawingml/2006/wordprocessingDrawing" distT="0" distB="0" distL="0" distR="0">
            <wp:extent cx="5759450" cy="4319587"/>
            <wp:effectExtent l="0" t="0" r="0" b="0"/>
            <wp:docPr id="5" name="Figure 5" descr="The Scope of OPC UA within an Enterpr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
                    <pic:cNvPicPr/>
                  </pic:nvPicPr>
                  <pic:blipFill>
                    <a:blip r:embed="R02f087b3734249ae"/>
                    <a:stretch>
                      <a:fillRect/>
                    </a:stretch>
                  </pic:blipFill>
                  <pic:spPr>
                    <a:xfrm>
                      <a:off x="0" y="0"/>
                      <a:ext cx="5759450" cy="4319587"/>
                    </a:xfrm>
                    <a:prstGeom prst="rect">
                      <a:avLst/>
                    </a:prstGeom>
                  </pic:spPr>
                </pic:pic>
              </a:graphicData>
            </a:graphic>
          </wp:inline>
        </w:drawing>
      </w:r>
    </w:p>
    <w:p>
      <w:pPr>
        <w:pStyle w:val="FIGURE-title"/>
      </w:pPr>
      <w:bookmarkStart w:name="Sts_fig_3" w:id="53"/>
      <w:r>
        <w:t xml:space="preserve">Figure </w:t>
      </w:r>
      <w:r>
        <w:fldChar w:fldCharType="begin"/>
      </w:r>
      <w:r>
        <w:instrText xml:space="preserve"> SEQ Figure \* ARABIC </w:instrText>
      </w:r>
      <w:r>
        <w:fldChar w:fldCharType="separate"/>
      </w:r>
      <w:r>
        <w:rPr/>
        <w:t xml:space="preserve">3</w:t>
      </w:r>
      <w:r>
        <w:fldChar w:fldCharType="end"/>
      </w:r>
      <w:bookmarkEnd w:id="53"/>
      <w:r>
        <w:t xml:space="preserve"> – </w:t>
      </w:r>
      <w:r>
        <w:rPr/>
        <w:t xml:space="preserve">The Scope of OPC UA within an Enterprise</w:t>
      </w:r>
    </w:p>
    <w:p>
      <w:pPr>
        <w:pStyle w:val="PARAGRAPH"/>
      </w:pPr>
      <w:r>
        <w:rPr/>
        <w:t xml:space="preserve">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pPr>
        <w:pStyle w:val="Heading3"/>
      </w:pPr>
      <w:bookmarkStart w:name="Sts_sec_4_3_4" w:id="54"/>
      <w:r>
        <w:rPr/>
        <w:t xml:space="preserve">Information Modelling in OPC UA</w:t>
      </w:r>
      <w:bookmarkEnd w:id="54"/>
    </w:p>
    <w:p>
      <w:pPr>
        <w:pStyle w:val="Heading4"/>
      </w:pPr>
      <w:bookmarkStart w:name="Sts_sec_4_3_4_1" w:id="55"/>
      <w:r>
        <w:rPr/>
        <w:t xml:space="preserve">Concepts</w:t>
      </w:r>
      <w:bookmarkEnd w:id="55"/>
    </w:p>
    <w:p>
      <w:pPr>
        <w:pStyle w:val="PARAGRAPH"/>
      </w:pPr>
      <w:r>
        <w:rPr/>
        <w:t xml:space="preserve">OPC UA provides a framework that can be used to represent complex information as </w:t>
      </w:r>
      <w:r>
        <w:rPr>
          <w:i/>
        </w:rPr>
        <w:t xml:space="preserve">Objects</w:t>
      </w:r>
      <w:r>
        <w:rPr/>
        <w:t xml:space="preserve"> in an address space which can be accessed with standard web services. These </w:t>
      </w:r>
      <w:r>
        <w:rPr>
          <w:i/>
        </w:rPr>
        <w:t xml:space="preserve">Objects</w:t>
      </w:r>
      <w:r>
        <w:rPr/>
        <w:t xml:space="preserve"> consist of </w:t>
      </w:r>
      <w:r>
        <w:rPr>
          <w:i/>
        </w:rPr>
        <w:t xml:space="preserve">Nodes</w:t>
      </w:r>
      <w:r>
        <w:rPr/>
        <w:t xml:space="preserve"> connected by </w:t>
      </w:r>
      <w:r>
        <w:rPr>
          <w:i/>
        </w:rPr>
        <w:t xml:space="preserve">References</w:t>
      </w:r>
      <w:r>
        <w:rPr/>
        <w:t xml:space="preserve">. Different classes of </w:t>
      </w:r>
      <w:r>
        <w:rPr>
          <w:i/>
        </w:rPr>
        <w:t xml:space="preserve">Nodes</w:t>
      </w:r>
      <w:r>
        <w:rPr/>
        <w:t xml:space="preserve"> convey different semantics. For example, a </w:t>
      </w:r>
      <w:r>
        <w:rPr>
          <w:i/>
        </w:rPr>
        <w:t xml:space="preserve">Variable</w:t>
      </w:r>
      <w:r>
        <w:rPr/>
        <w:t xml:space="preserve"> </w:t>
      </w:r>
      <w:r>
        <w:rPr>
          <w:i/>
        </w:rPr>
        <w:t xml:space="preserve">Node</w:t>
      </w:r>
      <w:r>
        <w:rPr/>
        <w:t xml:space="preserve"> represents a value that can be read or written. The </w:t>
      </w:r>
      <w:r>
        <w:rPr>
          <w:i/>
        </w:rPr>
        <w:t xml:space="preserve">Variable</w:t>
      </w:r>
      <w:r>
        <w:rPr/>
        <w:t xml:space="preserve"> </w:t>
      </w:r>
      <w:r>
        <w:rPr>
          <w:i/>
        </w:rPr>
        <w:t xml:space="preserve">Node</w:t>
      </w:r>
      <w:r>
        <w:rPr/>
        <w:t xml:space="preserve"> has an associated </w:t>
      </w:r>
      <w:r>
        <w:rPr>
          <w:i/>
        </w:rPr>
        <w:t xml:space="preserve">DataType</w:t>
      </w:r>
      <w:r>
        <w:rPr/>
        <w:t xml:space="preserve"> that can define the actual value, such as a string, float, structure etc. It can also describe the variable value as a variant. A </w:t>
      </w:r>
      <w:r>
        <w:rPr>
          <w:i/>
        </w:rPr>
        <w:t xml:space="preserve">Method</w:t>
      </w:r>
      <w:r>
        <w:rPr/>
        <w:t xml:space="preserve"> </w:t>
      </w:r>
      <w:r>
        <w:rPr>
          <w:i/>
        </w:rPr>
        <w:t xml:space="preserve">Node</w:t>
      </w:r>
      <w:r>
        <w:rPr/>
        <w:t xml:space="preserve"> represents a function that can be called. Every </w:t>
      </w:r>
      <w:r>
        <w:rPr>
          <w:i/>
        </w:rPr>
        <w:t xml:space="preserve">Node</w:t>
      </w:r>
      <w:r>
        <w:rPr/>
        <w:t xml:space="preserve"> has a number of </w:t>
      </w:r>
      <w:r>
        <w:rPr>
          <w:i/>
        </w:rPr>
        <w:t xml:space="preserve">Attributes</w:t>
      </w:r>
      <w:r>
        <w:rPr/>
        <w:t xml:space="preserve"> including a unique identifier called a </w:t>
      </w:r>
      <w:r>
        <w:rPr>
          <w:i/>
        </w:rPr>
        <w:t xml:space="preserve">NodeId</w:t>
      </w:r>
      <w:r>
        <w:rPr/>
        <w:t xml:space="preserve"> and non-localized name called as </w:t>
      </w:r>
      <w:r>
        <w:rPr>
          <w:i/>
        </w:rPr>
        <w:t xml:space="preserve">BrowseName</w:t>
      </w:r>
      <w:r>
        <w:rPr/>
        <w:t xml:space="preserve">. An </w:t>
      </w:r>
      <w:r>
        <w:rPr>
          <w:i/>
        </w:rPr>
        <w:t xml:space="preserve">Object</w:t>
      </w:r>
      <w:r>
        <w:rPr/>
        <w:t xml:space="preserve"> representing a 'Reservation' is shown in </w:t>
      </w:r>
      <w:r>
        <w:fldChar w:fldCharType="begin"/>
      </w:r>
      <w:r>
        <w:instrText xml:space="preserve"> REF Sts_fig_4 \h \* MERGEFORMAT </w:instrText>
      </w:r>
      <w:r>
        <w:fldChar w:fldCharType="separate"/>
      </w:r>
      <w:r>
        <w:rPr/>
        <w:t xml:space="preserve">Figure 4</w:t>
      </w:r>
      <w:r>
        <w:fldChar w:fldCharType="end"/>
      </w:r>
      <w:r>
        <w:rPr/>
        <w:t xml:space="preserve">.</w:t>
      </w:r>
    </w:p>
    <w:p>
      <w:pPr>
        <w:pStyle w:val="FIGURE"/>
      </w:pPr>
      <w:r>
        <w:drawing>
          <wp:inline xmlns:wp="http://schemas.openxmlformats.org/drawingml/2006/wordprocessingDrawing" distT="0" distB="0" distL="0" distR="0">
            <wp:extent cx="5759450" cy="3973196"/>
            <wp:effectExtent l="0" t="0" r="0" b="0"/>
            <wp:docPr id="6" name="Figure 6" descr="A Basic Object in an OPC UA Address 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pic:nvPicPr>
                  <pic:blipFill>
                    <a:blip r:embed="R86372ae0d1984ea9"/>
                    <a:stretch>
                      <a:fillRect/>
                    </a:stretch>
                  </pic:blipFill>
                  <pic:spPr>
                    <a:xfrm>
                      <a:off x="0" y="0"/>
                      <a:ext cx="5759450" cy="3973196"/>
                    </a:xfrm>
                    <a:prstGeom prst="rect">
                      <a:avLst/>
                    </a:prstGeom>
                  </pic:spPr>
                </pic:pic>
              </a:graphicData>
            </a:graphic>
          </wp:inline>
        </w:drawing>
      </w:r>
    </w:p>
    <w:p>
      <w:pPr>
        <w:pStyle w:val="FIGURE-title"/>
      </w:pPr>
      <w:bookmarkStart w:name="Sts_fig_4" w:id="56"/>
      <w:r>
        <w:t xml:space="preserve">Figure </w:t>
      </w:r>
      <w:r>
        <w:fldChar w:fldCharType="begin"/>
      </w:r>
      <w:r>
        <w:instrText xml:space="preserve"> SEQ Figure \* ARABIC </w:instrText>
      </w:r>
      <w:r>
        <w:fldChar w:fldCharType="separate"/>
      </w:r>
      <w:r>
        <w:rPr/>
        <w:t xml:space="preserve">4</w:t>
      </w:r>
      <w:r>
        <w:fldChar w:fldCharType="end"/>
      </w:r>
      <w:bookmarkEnd w:id="56"/>
      <w:r>
        <w:t xml:space="preserve"> – </w:t>
      </w:r>
      <w:r>
        <w:rPr/>
        <w:t xml:space="preserve">A Basic Object in an OPC UA Address Space</w:t>
      </w:r>
    </w:p>
    <w:p>
      <w:pPr>
        <w:pStyle w:val="PARAGRAPH"/>
      </w:pPr>
      <w:r>
        <w:rPr>
          <w:i/>
        </w:rPr>
        <w:t xml:space="preserve">Object</w:t>
      </w:r>
      <w:r>
        <w:rPr/>
        <w:t xml:space="preserve"> and </w:t>
      </w:r>
      <w:r>
        <w:rPr>
          <w:i/>
        </w:rPr>
        <w:t xml:space="preserve">Variable</w:t>
      </w:r>
      <w:r>
        <w:rPr/>
        <w:t xml:space="preserve"> </w:t>
      </w:r>
      <w:r>
        <w:rPr>
          <w:i/>
        </w:rPr>
        <w:t xml:space="preserve">Nodes</w:t>
      </w:r>
      <w:r>
        <w:rPr/>
        <w:t xml:space="preserve"> are called </w:t>
      </w:r>
      <w:r>
        <w:rPr>
          <w:i/>
        </w:rPr>
        <w:t xml:space="preserve">Instance</w:t>
      </w:r>
      <w:r>
        <w:rPr/>
        <w:t xml:space="preserve"> </w:t>
      </w:r>
      <w:r>
        <w:rPr>
          <w:i/>
        </w:rPr>
        <w:t xml:space="preserve">Nodes</w:t>
      </w:r>
      <w:r>
        <w:rPr/>
        <w:t xml:space="preserve"> and they always reference a </w:t>
      </w:r>
      <w:r>
        <w:rPr>
          <w:i/>
        </w:rPr>
        <w:t xml:space="preserve">TypeDefinition</w:t>
      </w:r>
      <w:r>
        <w:rPr/>
        <w:t xml:space="preserve"> (</w:t>
      </w:r>
      <w:r>
        <w:rPr>
          <w:i/>
        </w:rPr>
        <w:t xml:space="preserve">ObjectType</w:t>
      </w:r>
      <w:r>
        <w:rPr/>
        <w:t xml:space="preserve"> or </w:t>
      </w:r>
      <w:r>
        <w:rPr>
          <w:i/>
        </w:rPr>
        <w:t xml:space="preserve">VariableType</w:t>
      </w:r>
      <w:r>
        <w:rPr/>
        <w:t xml:space="preserve">) Node which describes their semantics and structure. </w:t>
      </w:r>
      <w:r>
        <w:fldChar w:fldCharType="begin"/>
      </w:r>
      <w:r>
        <w:instrText xml:space="preserve"> REF Sts_fig_5 \h \* MERGEFORMAT </w:instrText>
      </w:r>
      <w:r>
        <w:fldChar w:fldCharType="separate"/>
      </w:r>
      <w:r>
        <w:rPr/>
        <w:t xml:space="preserve">Figure 5</w:t>
      </w:r>
      <w:r>
        <w:fldChar w:fldCharType="end"/>
      </w:r>
      <w:r>
        <w:rPr/>
        <w:t xml:space="preserve"> illustrates the relationship between an Instance and its Type Definition.</w:t>
      </w:r>
    </w:p>
    <w:p>
      <w:pPr>
        <w:pStyle w:val="PARAGRAPH"/>
      </w:pPr>
      <w:r>
        <w:rPr/>
        <w:t xml:space="preserve">The </w:t>
      </w:r>
      <w:r>
        <w:rPr>
          <w:i/>
        </w:rPr>
        <w:t xml:space="preserve">Type</w:t>
      </w:r>
      <w:r>
        <w:rPr/>
        <w:t xml:space="preserve"> </w:t>
      </w:r>
      <w:r>
        <w:rPr>
          <w:i/>
        </w:rPr>
        <w:t xml:space="preserve">Nodes</w:t>
      </w:r>
      <w:r>
        <w:rPr/>
        <w:t xml:space="preserve"> are templates that define all of the children that can be present in an </w:t>
      </w:r>
      <w:r>
        <w:rPr>
          <w:i/>
        </w:rPr>
        <w:t xml:space="preserve">Instance</w:t>
      </w:r>
      <w:r>
        <w:rPr/>
        <w:t xml:space="preserve"> of the </w:t>
      </w:r>
      <w:r>
        <w:rPr>
          <w:i/>
        </w:rPr>
        <w:t xml:space="preserve">Type</w:t>
      </w:r>
      <w:r>
        <w:rPr/>
        <w:t xml:space="preserve">. In the example in </w:t>
      </w:r>
      <w:r>
        <w:fldChar w:fldCharType="begin"/>
      </w:r>
      <w:r>
        <w:instrText xml:space="preserve"> REF Sts_fig_5 \h \* MERGEFORMAT </w:instrText>
      </w:r>
      <w:r>
        <w:fldChar w:fldCharType="separate"/>
      </w:r>
      <w:r>
        <w:rPr/>
        <w:t xml:space="preserve">Figure 5</w:t>
      </w:r>
      <w:r>
        <w:fldChar w:fldCharType="end"/>
      </w:r>
      <w:r>
        <w:rPr/>
        <w:t xml:space="preserve"> the PersonType </w:t>
      </w:r>
      <w:r>
        <w:rPr>
          <w:i/>
        </w:rPr>
        <w:t xml:space="preserve">ObjectType</w:t>
      </w:r>
      <w:r>
        <w:rPr/>
        <w:t xml:space="preserve"> defines two children: First Name and Last Name. All instances of PersonType are expected to have the same children with the same </w:t>
      </w:r>
      <w:r>
        <w:rPr>
          <w:i/>
        </w:rPr>
        <w:t xml:space="preserve">BrowseNames</w:t>
      </w:r>
      <w:r>
        <w:rPr/>
        <w:t xml:space="preserve">. Within a Type the </w:t>
      </w:r>
      <w:r>
        <w:rPr>
          <w:i/>
        </w:rPr>
        <w:t xml:space="preserve">BrowseNames</w:t>
      </w:r>
      <w:r>
        <w:rPr/>
        <w:t xml:space="preserve"> uniquely identify the child. This means </w:t>
      </w:r>
      <w:r>
        <w:rPr>
          <w:i/>
        </w:rPr>
        <w:t xml:space="preserve">Client</w:t>
      </w:r>
      <w:r>
        <w:rPr/>
        <w:t xml:space="preserve"> applications can be designed to search for children based on the BrowseNames from the Type instead of </w:t>
      </w:r>
      <w:r>
        <w:rPr>
          <w:i/>
        </w:rPr>
        <w:t xml:space="preserve">NodeIds</w:t>
      </w:r>
      <w:r>
        <w:rPr/>
        <w:t xml:space="preserve">. This eliminates the need for manual reconfiguration of systems if a </w:t>
      </w:r>
      <w:r>
        <w:rPr>
          <w:i/>
        </w:rPr>
        <w:t xml:space="preserve">Client</w:t>
      </w:r>
      <w:r>
        <w:rPr/>
        <w:t xml:space="preserve"> uses </w:t>
      </w:r>
      <w:r>
        <w:rPr>
          <w:i/>
        </w:rPr>
        <w:t xml:space="preserve">Types</w:t>
      </w:r>
      <w:r>
        <w:rPr/>
        <w:t xml:space="preserve"> that multiple devices implement.</w:t>
      </w:r>
    </w:p>
    <w:p>
      <w:pPr>
        <w:pStyle w:val="PARAGRAPH"/>
      </w:pPr>
      <w:r>
        <w:rPr/>
        <w:t xml:space="preserve">OPC UA also supports the concept of sub typing. This allows a modeller to take an existing </w:t>
      </w:r>
      <w:r>
        <w:rPr>
          <w:i/>
        </w:rPr>
        <w:t xml:space="preserve">Type</w:t>
      </w:r>
      <w:r>
        <w:rPr/>
        <w:t xml:space="preserve"> and extend it. There are rules regarding sub typing defined in </w:t>
      </w:r>
      <w:r>
        <w:fldChar w:fldCharType="begin"/>
      </w:r>
      <w:r>
        <w:instrText xml:space="preserve"> REF Sts_ref_uapart3 \h \* MERGEFORMAT </w:instrText>
      </w:r>
      <w:r>
        <w:fldChar w:fldCharType="separate"/>
      </w:r>
      <w:r>
        <w:rPr/>
        <w:t xml:space="preserve">OPC 10000-3</w:t>
      </w:r>
      <w:r>
        <w:fldChar w:fldCharType="end"/>
      </w:r>
      <w:r>
        <w:rPr/>
        <w:t xml:space="preserve">, but in general they allow the extension of a given type or the restriction of a </w:t>
      </w:r>
      <w:r>
        <w:rPr>
          <w:i/>
        </w:rPr>
        <w:t xml:space="preserve">DataType</w:t>
      </w:r>
      <w:r>
        <w:rPr/>
        <w:t xml:space="preserve">. For example, the modeller may decide that the existing </w:t>
      </w:r>
      <w:r>
        <w:rPr>
          <w:i/>
        </w:rPr>
        <w:t xml:space="preserve">&lt;underline&gt;ObjectType&lt;/underline&gt;</w:t>
      </w:r>
      <w:r>
        <w:rPr/>
        <w:t xml:space="preserve"> in some cases needs an additional variable. The modeller can create a Subtype of the object and add the variable. A </w:t>
      </w:r>
      <w:r>
        <w:rPr>
          <w:i/>
        </w:rPr>
        <w:t xml:space="preserve">Client</w:t>
      </w:r>
      <w:r>
        <w:rPr/>
        <w:t xml:space="preserve"> that is expecting the parent type can treat the new </w:t>
      </w:r>
      <w:r>
        <w:rPr>
          <w:i/>
        </w:rPr>
        <w:t xml:space="preserve">Type</w:t>
      </w:r>
      <w:r>
        <w:rPr/>
        <w:t xml:space="preserve"> as if it was of the parent Type. With regard to DataTypes, if a </w:t>
      </w:r>
      <w:r>
        <w:rPr>
          <w:i/>
        </w:rPr>
        <w:t xml:space="preserve">Variable</w:t>
      </w:r>
      <w:r>
        <w:rPr/>
        <w:t xml:space="preserve"> is defined to have a numeric value, a sub type could restrict the value to a float.</w:t>
      </w:r>
    </w:p>
    <w:p>
      <w:pPr>
        <w:pStyle w:val="FIGURE"/>
      </w:pPr>
      <w:r>
        <w:drawing>
          <wp:inline xmlns:wp="http://schemas.openxmlformats.org/drawingml/2006/wordprocessingDrawing" distT="0" distB="0" distL="0" distR="0">
            <wp:extent cx="5759450" cy="5976951"/>
            <wp:effectExtent l="0" t="0" r="0" b="0"/>
            <wp:docPr id="7" name="Figure 7" descr="The Relationship between Type Definitions and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
                    <pic:cNvPicPr/>
                  </pic:nvPicPr>
                  <pic:blipFill>
                    <a:blip r:embed="Rbe9d98fc95a04882"/>
                    <a:stretch>
                      <a:fillRect/>
                    </a:stretch>
                  </pic:blipFill>
                  <pic:spPr>
                    <a:xfrm>
                      <a:off x="0" y="0"/>
                      <a:ext cx="5759450" cy="5976951"/>
                    </a:xfrm>
                    <a:prstGeom prst="rect">
                      <a:avLst/>
                    </a:prstGeom>
                  </pic:spPr>
                </pic:pic>
              </a:graphicData>
            </a:graphic>
          </wp:inline>
        </w:drawing>
      </w:r>
    </w:p>
    <w:p>
      <w:pPr>
        <w:pStyle w:val="FIGURE-title"/>
      </w:pPr>
      <w:bookmarkStart w:name="Sts_fig_5" w:id="57"/>
      <w:r>
        <w:t xml:space="preserve">Figure </w:t>
      </w:r>
      <w:r>
        <w:fldChar w:fldCharType="begin"/>
      </w:r>
      <w:r>
        <w:instrText xml:space="preserve"> SEQ Figure \* ARABIC </w:instrText>
      </w:r>
      <w:r>
        <w:fldChar w:fldCharType="separate"/>
      </w:r>
      <w:r>
        <w:rPr/>
        <w:t xml:space="preserve">5</w:t>
      </w:r>
      <w:r>
        <w:fldChar w:fldCharType="end"/>
      </w:r>
      <w:bookmarkEnd w:id="57"/>
      <w:r>
        <w:t xml:space="preserve"> – </w:t>
      </w:r>
      <w:r>
        <w:rPr/>
        <w:t xml:space="preserve">The Relationship between Type Definitions and Instances</w:t>
      </w:r>
    </w:p>
    <w:p>
      <w:pPr>
        <w:pStyle w:val="PARAGRAPH"/>
      </w:pPr>
      <w:r>
        <w:rPr>
          <w:i/>
        </w:rPr>
        <w:t xml:space="preserve">References</w:t>
      </w:r>
      <w:r>
        <w:rPr/>
        <w:t xml:space="preserve"> allow Nodes to be connected together in ways that describe their relationships. All </w:t>
      </w:r>
      <w:r>
        <w:rPr>
          <w:i/>
        </w:rPr>
        <w:t xml:space="preserve">References</w:t>
      </w:r>
      <w:r>
        <w:rPr/>
        <w:t xml:space="preserve"> have a </w:t>
      </w:r>
      <w:r>
        <w:rPr>
          <w:i/>
        </w:rPr>
        <w:t xml:space="preserve">ReferenceType</w:t>
      </w:r>
      <w:r>
        <w:rPr/>
        <w:t xml:space="preserve"> that specifies the semantics of the relationship. </w:t>
      </w:r>
      <w:r>
        <w:rPr>
          <w:i/>
        </w:rPr>
        <w:t xml:space="preserve">References</w:t>
      </w:r>
      <w:r>
        <w:rPr/>
        <w:t xml:space="preserve"> can be hierarchical or non-hierarchical. </w:t>
      </w:r>
      <w:r>
        <w:rPr>
          <w:i/>
        </w:rPr>
        <w:t xml:space="preserve">Hierarchical</w:t>
      </w:r>
      <w:r>
        <w:rPr/>
        <w:t xml:space="preserve"> </w:t>
      </w:r>
      <w:r>
        <w:rPr>
          <w:i/>
        </w:rPr>
        <w:t xml:space="preserve">References</w:t>
      </w:r>
      <w:r>
        <w:rPr/>
        <w:t xml:space="preserve"> are used to create the structure of </w:t>
      </w:r>
      <w:r>
        <w:rPr>
          <w:i/>
        </w:rPr>
        <w:t xml:space="preserve">Objects</w:t>
      </w:r>
      <w:r>
        <w:rPr/>
        <w:t xml:space="preserve"> and </w:t>
      </w:r>
      <w:r>
        <w:rPr>
          <w:i/>
        </w:rPr>
        <w:t xml:space="preserve">Variables</w:t>
      </w:r>
      <w:r>
        <w:rPr/>
        <w:t xml:space="preserve">. </w:t>
      </w:r>
      <w:r>
        <w:rPr>
          <w:i/>
        </w:rPr>
        <w:t xml:space="preserve">Non</w:t>
      </w:r>
      <w:r>
        <w:rPr/>
        <w:t xml:space="preserve">-</w:t>
      </w:r>
      <w:r>
        <w:rPr>
          <w:i/>
        </w:rPr>
        <w:t xml:space="preserve">Hierarchical</w:t>
      </w:r>
      <w:r>
        <w:rPr/>
        <w:t xml:space="preserve"> are used to create arbitrary associations. Applications can define their own </w:t>
      </w:r>
      <w:r>
        <w:rPr>
          <w:i/>
        </w:rPr>
        <w:t xml:space="preserve">ReferenceType</w:t>
      </w:r>
      <w:r>
        <w:rPr/>
        <w:t xml:space="preserve"> by creating Subtypes of the existing </w:t>
      </w:r>
      <w:r>
        <w:rPr>
          <w:i/>
        </w:rPr>
        <w:t xml:space="preserve">ReferenceType</w:t>
      </w:r>
      <w:r>
        <w:rPr/>
        <w:t xml:space="preserve">. Subtypes inherit the semantics of the parent but may add additional restrictions. </w:t>
      </w:r>
      <w:r>
        <w:fldChar w:fldCharType="begin"/>
      </w:r>
      <w:r>
        <w:instrText xml:space="preserve"> REF Sts_fig_6 \h \* MERGEFORMAT </w:instrText>
      </w:r>
      <w:r>
        <w:fldChar w:fldCharType="separate"/>
      </w:r>
      <w:r>
        <w:rPr/>
        <w:t xml:space="preserve">Figure 6</w:t>
      </w:r>
      <w:r>
        <w:fldChar w:fldCharType="end"/>
      </w:r>
      <w:r>
        <w:rPr/>
        <w:t xml:space="preserve"> depicts several references connecting different </w:t>
      </w:r>
      <w:r>
        <w:rPr>
          <w:i/>
        </w:rPr>
        <w:t xml:space="preserve">Objects</w:t>
      </w:r>
      <w:r>
        <w:rPr/>
        <w:t xml:space="preserve">.</w:t>
      </w:r>
    </w:p>
    <w:p>
      <w:pPr>
        <w:pStyle w:val="FIGURE"/>
      </w:pPr>
      <w:r>
        <w:drawing>
          <wp:inline xmlns:wp="http://schemas.openxmlformats.org/drawingml/2006/wordprocessingDrawing" distT="0" distB="0" distL="0" distR="0">
            <wp:extent cx="5759450" cy="4437609"/>
            <wp:effectExtent l="0" t="0" r="0" b="0"/>
            <wp:docPr id="8" name="Figure 8" descr="Examples of References between O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pic:nvPicPr>
                  <pic:blipFill>
                    <a:blip r:embed="R968a8dcf919e4fc8"/>
                    <a:stretch>
                      <a:fillRect/>
                    </a:stretch>
                  </pic:blipFill>
                  <pic:spPr>
                    <a:xfrm>
                      <a:off x="0" y="0"/>
                      <a:ext cx="5759450" cy="4437609"/>
                    </a:xfrm>
                    <a:prstGeom prst="rect">
                      <a:avLst/>
                    </a:prstGeom>
                  </pic:spPr>
                </pic:pic>
              </a:graphicData>
            </a:graphic>
          </wp:inline>
        </w:drawing>
      </w:r>
    </w:p>
    <w:p>
      <w:pPr>
        <w:pStyle w:val="FIGURE-title"/>
      </w:pPr>
      <w:bookmarkStart w:name="Sts_fig_6" w:id="58"/>
      <w:r>
        <w:t xml:space="preserve">Figure </w:t>
      </w:r>
      <w:r>
        <w:fldChar w:fldCharType="begin"/>
      </w:r>
      <w:r>
        <w:instrText xml:space="preserve"> SEQ Figure \* ARABIC </w:instrText>
      </w:r>
      <w:r>
        <w:fldChar w:fldCharType="separate"/>
      </w:r>
      <w:r>
        <w:rPr/>
        <w:t xml:space="preserve">6</w:t>
      </w:r>
      <w:r>
        <w:fldChar w:fldCharType="end"/>
      </w:r>
      <w:bookmarkEnd w:id="58"/>
      <w:r>
        <w:t xml:space="preserve"> – </w:t>
      </w:r>
      <w:r>
        <w:rPr/>
        <w:t xml:space="preserve">Examples of References between Objects</w:t>
      </w:r>
    </w:p>
    <w:p>
      <w:pPr>
        <w:pStyle w:val="PARAGRAPH"/>
      </w:pPr>
      <w:r>
        <w:rPr/>
        <w:t xml:space="preserve">The figures above use a notation that was developed for the OPC UA specification. The notation is summarized in </w:t>
      </w:r>
      <w:r>
        <w:fldChar w:fldCharType="begin"/>
      </w:r>
      <w:r>
        <w:instrText xml:space="preserve"> REF Sts_fig_7 \h \* MERGEFORMAT </w:instrText>
      </w:r>
      <w:r>
        <w:fldChar w:fldCharType="separate"/>
      </w:r>
      <w:r>
        <w:rPr/>
        <w:t xml:space="preserve">Figure 7</w:t>
      </w:r>
      <w:r>
        <w:fldChar w:fldCharType="end"/>
      </w:r>
      <w:r>
        <w:rPr/>
        <w:t xml:space="preserve">. UML representations can also be used; however, the OPC UA notation is less ambiguous because there is a direct mapping from the elements in the figures to Nodes in the address space of an OPC UA server.</w:t>
      </w:r>
    </w:p>
    <w:p>
      <w:pPr>
        <w:pStyle w:val="FIGURE"/>
      </w:pPr>
      <w:r>
        <w:drawing>
          <wp:inline xmlns:wp="http://schemas.openxmlformats.org/drawingml/2006/wordprocessingDrawing" distT="0" distB="0" distL="0" distR="0">
            <wp:extent cx="5759450" cy="2450189"/>
            <wp:effectExtent l="0" t="0" r="0" b="0"/>
            <wp:docPr id="9" name="Figure 9" descr="The OPC UA Information Model N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pic:nvPicPr>
                  <pic:blipFill>
                    <a:blip r:embed="R9627df5a187b49c4"/>
                    <a:stretch>
                      <a:fillRect/>
                    </a:stretch>
                  </pic:blipFill>
                  <pic:spPr>
                    <a:xfrm>
                      <a:off x="0" y="0"/>
                      <a:ext cx="5759450" cy="2450189"/>
                    </a:xfrm>
                    <a:prstGeom prst="rect">
                      <a:avLst/>
                    </a:prstGeom>
                  </pic:spPr>
                </pic:pic>
              </a:graphicData>
            </a:graphic>
          </wp:inline>
        </w:drawing>
      </w:r>
    </w:p>
    <w:p>
      <w:pPr>
        <w:pStyle w:val="FIGURE-title"/>
      </w:pPr>
      <w:bookmarkStart w:name="Sts_fig_7" w:id="59"/>
      <w:r>
        <w:t xml:space="preserve">Figure </w:t>
      </w:r>
      <w:r>
        <w:fldChar w:fldCharType="begin"/>
      </w:r>
      <w:r>
        <w:instrText xml:space="preserve"> SEQ Figure \* ARABIC </w:instrText>
      </w:r>
      <w:r>
        <w:fldChar w:fldCharType="separate"/>
      </w:r>
      <w:r>
        <w:rPr/>
        <w:t xml:space="preserve">7</w:t>
      </w:r>
      <w:r>
        <w:fldChar w:fldCharType="end"/>
      </w:r>
      <w:bookmarkEnd w:id="59"/>
      <w:r>
        <w:t xml:space="preserve"> – </w:t>
      </w:r>
      <w:r>
        <w:rPr/>
        <w:t xml:space="preserve">The OPC UA Information Model Notation</w:t>
      </w:r>
    </w:p>
    <w:p>
      <w:pPr>
        <w:pStyle w:val="PARAGRAPH"/>
      </w:pPr>
      <w:r>
        <w:rPr/>
        <w:t xml:space="preserve">A complete description of the different types of </w:t>
      </w:r>
      <w:r>
        <w:rPr>
          <w:i/>
        </w:rPr>
        <w:t xml:space="preserve">Nodes</w:t>
      </w:r>
      <w:r>
        <w:rPr/>
        <w:t xml:space="preserve"> and </w:t>
      </w:r>
      <w:r>
        <w:rPr>
          <w:i/>
        </w:rPr>
        <w:t xml:space="preserve">References</w:t>
      </w:r>
      <w:r>
        <w:rPr/>
        <w:t xml:space="preserve"> can be found in </w:t>
      </w:r>
      <w:r>
        <w:fldChar w:fldCharType="begin"/>
      </w:r>
      <w:r>
        <w:instrText xml:space="preserve"> REF Sts_ref_uapart3 \h \* MERGEFORMAT </w:instrText>
      </w:r>
      <w:r>
        <w:fldChar w:fldCharType="separate"/>
      </w:r>
      <w:r>
        <w:rPr/>
        <w:t xml:space="preserve">OPC 10000-3</w:t>
      </w:r>
      <w:r>
        <w:fldChar w:fldCharType="end"/>
      </w:r>
      <w:r>
        <w:rPr/>
        <w:t xml:space="preserve"> and the base OPC UA Address space is described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OPC UA specification defines a very wide range of functionality in its basic information model. It is not expected that all </w:t>
      </w:r>
      <w:r>
        <w:rPr>
          <w:i/>
        </w:rPr>
        <w:t xml:space="preserve">Clients</w:t>
      </w:r>
      <w:r>
        <w:rPr/>
        <w:t xml:space="preserve"> or </w:t>
      </w:r>
      <w:r>
        <w:rPr>
          <w:i/>
        </w:rPr>
        <w:t xml:space="preserve">Servers</w:t>
      </w:r>
      <w:r>
        <w:rPr/>
        <w:t xml:space="preserve"> support all functionality in the OPC UA specifications. OPC UA includes the concept of profiles, which segment the functionality into testable certifiable units. This allows the development of companion specification (such as OPC UA for ISA-95) that can describe the subset of functionality that is expected to be implemented. The profiles do not restrict functionality, but generate requirements for a minimum set of functionality (see </w:t>
      </w:r>
      <w:r>
        <w:fldChar w:fldCharType="begin"/>
      </w:r>
      <w:r>
        <w:instrText xml:space="preserve"> REF Sts_ref_uapart7 \h \* MERGEFORMAT </w:instrText>
      </w:r>
      <w:r>
        <w:fldChar w:fldCharType="separate"/>
      </w:r>
      <w:r>
        <w:rPr/>
        <w:t xml:space="preserve">OPC 10000-7</w:t>
      </w:r>
      <w:r>
        <w:fldChar w:fldCharType="end"/>
      </w:r>
      <w:r>
        <w:rPr/>
        <w:t xml:space="preserve">).</w:t>
      </w:r>
    </w:p>
    <w:p>
      <w:pPr>
        <w:pStyle w:val="PARAGRAPH"/>
      </w:pPr>
      <w:r>
        <w:rPr/>
        <w:t xml:space="preserve">The OPC Foundation also defines a set of information models that provide a basic set of functionality. The Data Access specification (see </w:t>
      </w:r>
      <w:r>
        <w:fldChar w:fldCharType="begin"/>
      </w:r>
      <w:r>
        <w:instrText xml:space="preserve"> REF Sts_ref_uapart8 \h \* MERGEFORMAT </w:instrText>
      </w:r>
      <w:r>
        <w:fldChar w:fldCharType="separate"/>
      </w:r>
      <w:r>
        <w:rPr/>
        <w:t xml:space="preserve">OPC 10000-8</w:t>
      </w:r>
      <w:r>
        <w:fldChar w:fldCharType="end"/>
      </w:r>
      <w:r>
        <w:rPr/>
        <w:t xml:space="preserve">) provides a basic information model for typical data. The Alarm and Condition specification (see </w:t>
      </w:r>
      <w:r>
        <w:fldChar w:fldCharType="begin"/>
      </w:r>
      <w:r>
        <w:instrText xml:space="preserve"> REF Sts_ref_uapart9 \h \* MERGEFORMAT </w:instrText>
      </w:r>
      <w:r>
        <w:fldChar w:fldCharType="separate"/>
      </w:r>
      <w:r>
        <w:rPr/>
        <w:t xml:space="preserve">OPC 10000-9</w:t>
      </w:r>
      <w:r>
        <w:fldChar w:fldCharType="end"/>
      </w:r>
      <w:r>
        <w:rPr/>
        <w:t xml:space="preserve">) defines a standard information model for Alarms and Conditions. The Programs specification (see </w:t>
      </w:r>
      <w:r>
        <w:fldChar w:fldCharType="begin"/>
      </w:r>
      <w:r>
        <w:instrText xml:space="preserve"> REF Sts_ref_uapart10 \h \* MERGEFORMAT </w:instrText>
      </w:r>
      <w:r>
        <w:fldChar w:fldCharType="separate"/>
      </w:r>
      <w:r>
        <w:rPr/>
        <w:t xml:space="preserve">OPC 10000-10</w:t>
      </w:r>
      <w:r>
        <w:fldChar w:fldCharType="end"/>
      </w:r>
      <w:r>
        <w:rPr/>
        <w:t xml:space="preserve">) defines a standard information model for extending the functionality available via method calls and state machines. The Historical Access specification (see </w:t>
      </w:r>
      <w:r>
        <w:fldChar w:fldCharType="begin"/>
      </w:r>
      <w:r>
        <w:instrText xml:space="preserve"> REF Sts_ref_uapart11 \h \* MERGEFORMAT </w:instrText>
      </w:r>
      <w:r>
        <w:fldChar w:fldCharType="separate"/>
      </w:r>
      <w:r>
        <w:rPr/>
        <w:t xml:space="preserve">OPC 10000-11</w:t>
      </w:r>
      <w:r>
        <w:fldChar w:fldCharType="end"/>
      </w:r>
      <w:r>
        <w:rPr/>
        <w:t xml:space="preserve">) defines the information model associated with Historical Data and Historical Events. The aggregates specification (see </w:t>
      </w:r>
      <w:r>
        <w:fldChar w:fldCharType="begin"/>
      </w:r>
      <w:r>
        <w:instrText xml:space="preserve"> REF Sts_ref_uapart13 \h \* MERGEFORMAT </w:instrText>
      </w:r>
      <w:r>
        <w:fldChar w:fldCharType="separate"/>
      </w:r>
      <w:r>
        <w:rPr/>
        <w:t xml:space="preserve">OPC 10000-13</w:t>
      </w:r>
      <w:r>
        <w:fldChar w:fldCharType="end"/>
      </w:r>
      <w:r>
        <w:rPr/>
        <w:t xml:space="preserve">) defines a series of standard aggregate functions that allow a </w:t>
      </w:r>
      <w:r>
        <w:rPr>
          <w:i/>
        </w:rPr>
        <w:t xml:space="preserve">Client</w:t>
      </w:r>
      <w:r>
        <w:rPr/>
        <w:t xml:space="preserve"> to request summary data. Examples of aggregates include averages, minimums, time in state, standard deviation, etc.</w:t>
      </w:r>
    </w:p>
    <w:p>
      <w:pPr>
        <w:pStyle w:val="Heading4"/>
      </w:pPr>
      <w:bookmarkStart w:name="Sts_sec_4_3_4_2" w:id="60"/>
      <w:r>
        <w:rPr/>
        <w:t xml:space="preserve">Namespaces</w:t>
      </w:r>
      <w:bookmarkEnd w:id="60"/>
    </w:p>
    <w:p>
      <w:pPr>
        <w:pStyle w:val="PARAGRAPH"/>
      </w:pPr>
      <w:r>
        <w:rPr/>
        <w:t xml:space="preserve">OPC UA allows information from many different sources to be combined into a single coherent address space. Namespaces are used to make this possible by eliminating naming and id conflicts between information from different sources. Namespaces in OPC UA have a globally unique string called a </w:t>
      </w:r>
      <w:r>
        <w:rPr>
          <w:i/>
        </w:rPr>
        <w:t xml:space="preserve">NamespaceUri</w:t>
      </w:r>
      <w:r>
        <w:rPr/>
        <w:t xml:space="preserve"> and a locally unique integer called a </w:t>
      </w:r>
      <w:r>
        <w:rPr>
          <w:i/>
        </w:rPr>
        <w:t xml:space="preserve">NamespaceIndex</w:t>
      </w:r>
      <w:r>
        <w:rPr/>
        <w:t xml:space="preserve">. The </w:t>
      </w:r>
      <w:r>
        <w:rPr>
          <w:i/>
        </w:rPr>
        <w:t xml:space="preserve">NamespaceIndex</w:t>
      </w:r>
      <w:r>
        <w:rPr/>
        <w:t xml:space="preserve"> is only unique within the context of a </w:t>
      </w:r>
      <w:r>
        <w:rPr>
          <w:i/>
        </w:rPr>
        <w:t xml:space="preserve">Session</w:t>
      </w:r>
      <w:r>
        <w:rPr/>
        <w:t xml:space="preserve"> between an OPC UA </w:t>
      </w:r>
      <w:r>
        <w:rPr>
          <w:i/>
        </w:rPr>
        <w:t xml:space="preserve">Client</w:t>
      </w:r>
      <w:r>
        <w:rPr/>
        <w:t xml:space="preserve"> and an OPC UA </w:t>
      </w:r>
      <w:r>
        <w:rPr>
          <w:i/>
        </w:rPr>
        <w:t xml:space="preserve">Server</w:t>
      </w:r>
      <w:r>
        <w:rPr/>
        <w:t xml:space="preserve">. All of the web services defined for OPC UA use the </w:t>
      </w:r>
      <w:r>
        <w:rPr>
          <w:i/>
        </w:rPr>
        <w:t xml:space="preserve">NamespaceIndex</w:t>
      </w:r>
      <w:r>
        <w:rPr/>
        <w:t xml:space="preserve"> to specify the </w:t>
      </w:r>
      <w:r>
        <w:rPr>
          <w:i/>
        </w:rPr>
        <w:t xml:space="preserve">Namespace</w:t>
      </w:r>
      <w:r>
        <w:rPr/>
        <w:t xml:space="preserve"> for qualified values.</w:t>
      </w:r>
    </w:p>
    <w:p>
      <w:pPr>
        <w:pStyle w:val="PARAGRAPH"/>
      </w:pPr>
      <w:r>
        <w:rPr/>
        <w:t xml:space="preserve">There are two types of values in OPC UA that are qualified with </w:t>
      </w:r>
      <w:r>
        <w:rPr>
          <w:i/>
        </w:rPr>
        <w:t xml:space="preserve">Namespaces</w:t>
      </w:r>
      <w:r>
        <w:rPr/>
        <w:t xml:space="preserve">: </w:t>
      </w:r>
      <w:r>
        <w:rPr>
          <w:i/>
        </w:rPr>
        <w:t xml:space="preserve">NodeIds</w:t>
      </w:r>
      <w:r>
        <w:rPr/>
        <w:t xml:space="preserve"> and </w:t>
      </w:r>
      <w:r>
        <w:rPr>
          <w:i/>
        </w:rPr>
        <w:t xml:space="preserve">QualifiedNames</w:t>
      </w:r>
      <w:r>
        <w:rPr/>
        <w:t xml:space="preserve">. </w:t>
      </w:r>
      <w:r>
        <w:rPr>
          <w:i/>
        </w:rPr>
        <w:t xml:space="preserve">NodeIds</w:t>
      </w:r>
      <w:r>
        <w:rPr/>
        <w:t xml:space="preserve"> are globally unique identifiers for </w:t>
      </w:r>
      <w:r>
        <w:rPr>
          <w:i/>
        </w:rPr>
        <w:t xml:space="preserve">Nodes</w:t>
      </w:r>
      <w:r>
        <w:rPr/>
        <w:t xml:space="preserve">. This means the same </w:t>
      </w:r>
      <w:r>
        <w:rPr>
          <w:i/>
        </w:rPr>
        <w:t xml:space="preserve">Node</w:t>
      </w:r>
      <w:r>
        <w:rPr/>
        <w:t xml:space="preserve"> with the same </w:t>
      </w:r>
      <w:r>
        <w:rPr>
          <w:i/>
        </w:rPr>
        <w:t xml:space="preserve">NodeId</w:t>
      </w:r>
      <w:r>
        <w:rPr/>
        <w:t xml:space="preserve"> can appear in many </w:t>
      </w:r>
      <w:r>
        <w:rPr>
          <w:i/>
        </w:rPr>
        <w:t xml:space="preserve">Servers</w:t>
      </w:r>
      <w:r>
        <w:rPr/>
        <w:t xml:space="preserve">. This, in turn, means </w:t>
      </w:r>
      <w:r>
        <w:rPr>
          <w:i/>
        </w:rPr>
        <w:t xml:space="preserve">Clients</w:t>
      </w:r>
      <w:r>
        <w:rPr/>
        <w:t xml:space="preserve"> can have built in knowledge of some Nodes. OPC UA information models generally define globally unique </w:t>
      </w:r>
      <w:r>
        <w:rPr>
          <w:i/>
        </w:rPr>
        <w:t xml:space="preserve">NodeIds</w:t>
      </w:r>
      <w:r>
        <w:rPr/>
        <w:t xml:space="preserve"> for the </w:t>
      </w:r>
      <w:r>
        <w:rPr>
          <w:i/>
        </w:rPr>
        <w:t xml:space="preserve">TypeDefinitions</w:t>
      </w:r>
      <w:r>
        <w:rPr/>
        <w:t xml:space="preserve"> defined by the information model.</w:t>
      </w:r>
    </w:p>
    <w:p>
      <w:pPr>
        <w:pStyle w:val="PARAGRAPH"/>
      </w:pPr>
      <w:r>
        <w:rPr>
          <w:i/>
        </w:rPr>
        <w:t xml:space="preserve">QualifiedNames</w:t>
      </w:r>
      <w:r>
        <w:rPr/>
        <w:t xml:space="preserve"> are non-localized names qualified with a </w:t>
      </w:r>
      <w:r>
        <w:rPr>
          <w:i/>
        </w:rPr>
        <w:t xml:space="preserve">Namespace</w:t>
      </w:r>
      <w:r>
        <w:rPr/>
        <w:t xml:space="preserve">. They are used for the </w:t>
      </w:r>
      <w:r>
        <w:rPr>
          <w:i/>
        </w:rPr>
        <w:t xml:space="preserve">BrowseNames</w:t>
      </w:r>
      <w:r>
        <w:rPr/>
        <w:t xml:space="preserve"> of Nodes and allow the same names to be used by different information models without conflict. The </w:t>
      </w:r>
      <w:r>
        <w:rPr>
          <w:i/>
        </w:rPr>
        <w:t xml:space="preserve">BrowseName</w:t>
      </w:r>
      <w:r>
        <w:rPr/>
        <w:t xml:space="preserve"> is used to identify the children within a </w:t>
      </w:r>
      <w:r>
        <w:rPr>
          <w:i/>
        </w:rPr>
        <w:t xml:space="preserve">TypeDefinitions</w:t>
      </w:r>
      <w:r>
        <w:rPr/>
        <w:t xml:space="preserve">. Instances of a </w:t>
      </w:r>
      <w:r>
        <w:rPr>
          <w:i/>
        </w:rPr>
        <w:t xml:space="preserve">TypeDefinition</w:t>
      </w:r>
      <w:r>
        <w:rPr/>
        <w:t xml:space="preserve"> are expected to have children with the same </w:t>
      </w:r>
      <w:r>
        <w:rPr>
          <w:i/>
        </w:rPr>
        <w:t xml:space="preserve">BrowseNames</w:t>
      </w:r>
      <w:r>
        <w:rPr/>
        <w:t xml:space="preserve">. </w:t>
      </w:r>
      <w:r>
        <w:rPr>
          <w:i/>
        </w:rPr>
        <w:t xml:space="preserve">TypeDefinitions</w:t>
      </w:r>
      <w:r>
        <w:rPr/>
        <w:t xml:space="preserve"> are not allowed to have children with duplicate </w:t>
      </w:r>
      <w:r>
        <w:rPr>
          <w:i/>
        </w:rPr>
        <w:t xml:space="preserve">BrowseNames</w:t>
      </w:r>
      <w:r>
        <w:rPr/>
        <w:t xml:space="preserve">; however, instances do not have that restriction.</w:t>
      </w:r>
    </w:p>
    <w:p>
      <w:pPr>
        <w:pStyle w:val="Heading4"/>
      </w:pPr>
      <w:bookmarkStart w:name="Sts_sec_4_3_4_3" w:id="61"/>
      <w:r>
        <w:rPr/>
        <w:t xml:space="preserve">Companion Specifications</w:t>
      </w:r>
      <w:bookmarkEnd w:id="61"/>
    </w:p>
    <w:p>
      <w:pPr>
        <w:pStyle w:val="PARAGRAPH"/>
      </w:pPr>
      <w:r>
        <w:rPr/>
        <w:t xml:space="preserve">An OPC UA companion specification for an industry specific vertical market describes an information model by defining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 that represent the concepts used in the vertical market. </w:t>
      </w:r>
      <w:r>
        <w:fldChar w:fldCharType="begin"/>
      </w:r>
      <w:r>
        <w:instrText xml:space="preserve"> REF Sts_tbl_1 \h \* MERGEFORMAT </w:instrText>
      </w:r>
      <w:r>
        <w:fldChar w:fldCharType="separate"/>
      </w:r>
      <w:r>
        <w:rPr/>
        <w:t xml:space="preserve">Table 1</w:t>
      </w:r>
      <w:r>
        <w:fldChar w:fldCharType="end"/>
      </w:r>
      <w:r>
        <w:rPr/>
        <w:t xml:space="preserve"> contains an example of an </w:t>
      </w:r>
      <w:r>
        <w:rPr>
          <w:i/>
        </w:rPr>
        <w:t xml:space="preserve">ObjectType</w:t>
      </w:r>
      <w:r>
        <w:rPr/>
        <w:t xml:space="preserve"> definition.</w:t>
      </w:r>
    </w:p>
    <w:p>
      <w:pPr>
        <w:pStyle w:val="TABLE-title"/>
      </w:pPr>
      <w:bookmarkStart w:name="Sts_tbl_1" w:id="62"/>
      <w:r>
        <w:t xml:space="preserve">Table </w:t>
      </w:r>
      <w:r>
        <w:fldChar w:fldCharType="begin"/>
      </w:r>
      <w:r>
        <w:instrText xml:space="preserve"> SEQ Table \* ARABIC </w:instrText>
      </w:r>
      <w:r>
        <w:fldChar w:fldCharType="separate"/>
      </w:r>
      <w:r>
        <w:rPr/>
        <w:t xml:space="preserve">1</w:t>
      </w:r>
      <w:r>
        <w:fldChar w:fldCharType="end"/>
      </w:r>
      <w:bookmarkEnd w:id="62"/>
      <w:r>
        <w:t xml:space="preserve"> – </w:t>
      </w:r>
      <w:r>
        <w:rPr/>
        <w:t xml:space="preserve">Example ObjectType Definition</w:t>
      </w:r>
    </w:p>
    <w:tbl>
      <w:tblPr>
        <w:tblStyle w:val="TableGrid"/>
        <w:tblW w:w="9070" w:type="dxa"/>
        <w:tblLayout w:type="fixed"/>
      </w:tblPr>
      <w:tblGrid>
        <w:gridCol w:w="2270"/>
        <w:gridCol w:w="1360"/>
        <w:gridCol w:w="1360"/>
        <w:gridCol w:w="1360"/>
        <w:gridCol w:w="1360"/>
        <w:gridCol w:w="1360"/>
      </w:tblGrid>
      <w:tr>
        <w:trPr>
          <w:tblHeader/>
        </w:trPr>
        <w:tc>
          <w:tcPr>
            <w:tcW w:w="2270" w:type="dxa"/>
            <w:vAlign w:val="center"/>
          </w:tcPr>
          <w:p>
            <w:pPr>
              <w:pStyle w:val="TABLE-col-heading"/>
              <w:jc w:val="left"/>
            </w:pPr>
            <w:r>
              <w:rPr>
                <w:b/>
              </w:rPr>
              <w:t xml:space="preserve">Attribute</w:t>
            </w:r>
          </w:p>
        </w:tc>
        <w:tc>
          <w:tcPr>
            <w:tcW w:w="6800" w:type="dxa"/>
            <w:gridSpan w:val="5"/>
            <w:vAlign w:val="center"/>
          </w:tcPr>
          <w:p>
            <w:pPr>
              <w:pStyle w:val="TABLE-col-heading"/>
              <w:jc w:val="left"/>
            </w:pPr>
            <w:r>
              <w:rPr>
                <w:b/>
              </w:rPr>
              <w:t xml:space="preserve">Value</w:t>
            </w:r>
          </w:p>
        </w:tc>
      </w:tr>
      <w:tr>
        <w:tc>
          <w:tcPr>
            <w:tcW w:w="2270" w:type="dxa"/>
            <w:vAlign w:val="center"/>
          </w:tcPr>
          <w:p>
            <w:pPr>
              <w:pStyle w:val="TABLE-cell"/>
            </w:pPr>
            <w:r>
              <w:rPr/>
              <w:t xml:space="preserve">BrowseName</w:t>
            </w:r>
          </w:p>
        </w:tc>
        <w:tc>
          <w:tcPr>
            <w:tcW w:w="6800" w:type="dxa"/>
            <w:gridSpan w:val="5"/>
            <w:vAlign w:val="center"/>
          </w:tcPr>
          <w:p>
            <w:pPr>
              <w:pStyle w:val="TABLE-cell"/>
            </w:pPr>
            <w:r>
              <w:rPr/>
              <w:t xml:space="preserve">WidgetType</w:t>
            </w:r>
          </w:p>
        </w:tc>
      </w:tr>
      <w:tr>
        <w:tc>
          <w:tcPr>
            <w:tcW w:w="2270" w:type="dxa"/>
            <w:vAlign w:val="center"/>
          </w:tcPr>
          <w:p>
            <w:pPr>
              <w:pStyle w:val="TABLE-cell"/>
            </w:pPr>
            <w:r>
              <w:rPr/>
              <w:t xml:space="preserve">IsAbstract</w:t>
            </w:r>
          </w:p>
        </w:tc>
        <w:tc>
          <w:tcPr>
            <w:tcW w:w="6800" w:type="dxa"/>
            <w:gridSpan w:val="5"/>
            <w:vAlign w:val="center"/>
          </w:tcPr>
          <w:p>
            <w:pPr>
              <w:pStyle w:val="TABLE-cell"/>
            </w:pPr>
            <w:r>
              <w:rPr/>
              <w:t xml:space="preserve">False</w:t>
            </w:r>
          </w:p>
        </w:tc>
      </w:tr>
    </w:tbl>
    <w:tbl>
      <w:tblPr>
        <w:tblStyle w:val="TableGrid"/>
        <w:tblW w:w="9070" w:type="dxa"/>
        <w:tblLayout w:type="fixed"/>
      </w:tblPr>
      <w:tblGrid>
        <w:gridCol w:w="1511"/>
        <w:gridCol w:w="1320"/>
        <w:gridCol w:w="1440"/>
        <w:gridCol w:w="1602"/>
        <w:gridCol w:w="1511"/>
        <w:gridCol w:w="1686"/>
      </w:tblGrid>
      <w:tr>
        <w:trPr>
          <w:tblHeader/>
        </w:trPr>
        <w:tc>
          <w:tcPr>
            <w:tcW w:w="1511" w:type="dxa"/>
            <w:vAlign w:val="center"/>
          </w:tcPr>
          <w:p>
            <w:pPr>
              <w:pStyle w:val="TABLE-col-heading"/>
              <w:jc w:val="left"/>
            </w:pPr>
            <w:r>
              <w:rPr>
                <w:b/>
              </w:rPr>
              <w:t xml:space="preserve">References</w:t>
            </w:r>
          </w:p>
        </w:tc>
        <w:tc>
          <w:tcPr>
            <w:tcW w:w="1320" w:type="dxa"/>
            <w:vAlign w:val="center"/>
          </w:tcPr>
          <w:p>
            <w:pPr>
              <w:pStyle w:val="TABLE-col-heading"/>
              <w:jc w:val="left"/>
            </w:pPr>
            <w:r>
              <w:rPr>
                <w:b/>
              </w:rPr>
              <w:t xml:space="preserve">NodeClass</w:t>
            </w:r>
          </w:p>
        </w:tc>
        <w:tc>
          <w:tcPr>
            <w:tcW w:w="1440" w:type="dxa"/>
            <w:vAlign w:val="center"/>
          </w:tcPr>
          <w:p>
            <w:pPr>
              <w:pStyle w:val="TABLE-col-heading"/>
              <w:jc w:val="left"/>
            </w:pPr>
            <w:r>
              <w:rPr>
                <w:b/>
              </w:rPr>
              <w:t xml:space="preserve">BrowseName</w:t>
            </w:r>
          </w:p>
        </w:tc>
        <w:tc>
          <w:tcPr>
            <w:tcW w:w="1602" w:type="dxa"/>
            <w:vAlign w:val="center"/>
          </w:tcPr>
          <w:p>
            <w:pPr>
              <w:pStyle w:val="TABLE-col-heading"/>
              <w:jc w:val="left"/>
            </w:pPr>
            <w:r>
              <w:rPr>
                <w:b/>
              </w:rPr>
              <w:t xml:space="preserve">DataType</w:t>
            </w:r>
          </w:p>
        </w:tc>
        <w:tc>
          <w:tcPr>
            <w:tcW w:w="1511" w:type="dxa"/>
            <w:vAlign w:val="center"/>
          </w:tcPr>
          <w:p>
            <w:pPr>
              <w:pStyle w:val="TABLE-col-heading"/>
              <w:jc w:val="left"/>
            </w:pPr>
            <w:r>
              <w:rPr>
                <w:b/>
              </w:rPr>
              <w:t xml:space="preserve">TypeDefinition</w:t>
            </w:r>
          </w:p>
        </w:tc>
        <w:tc>
          <w:tcPr>
            <w:tcW w:w="1686" w:type="dxa"/>
            <w:vAlign w:val="center"/>
          </w:tcPr>
          <w:p>
            <w:pPr>
              <w:pStyle w:val="TABLE-col-heading"/>
              <w:jc w:val="left"/>
            </w:pPr>
            <w:r>
              <w:rPr>
                <w:b/>
              </w:rPr>
              <w:t xml:space="preserve">ModellingRule</w:t>
            </w:r>
          </w:p>
        </w:tc>
      </w:tr>
      <w:tr>
        <w:tc>
          <w:tcPr>
            <w:tcW w:w="9070" w:type="dxa"/>
            <w:gridSpan w:val="6"/>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440" w:type="dxa"/>
            <w:vAlign w:val="center"/>
          </w:tcPr>
          <w:p>
            <w:pPr>
              <w:pStyle w:val="TABLE-cell"/>
            </w:pPr>
            <w:r>
              <w:rPr/>
              <w:t xml:space="preserve">Color</w:t>
            </w:r>
          </w:p>
        </w:tc>
        <w:tc>
          <w:tcPr>
            <w:tcW w:w="1602" w:type="dxa"/>
            <w:vAlign w:val="center"/>
          </w:tcPr>
          <w:p>
            <w:pPr>
              <w:pStyle w:val="TABLE-cell"/>
            </w:pPr>
            <w:r>
              <w:rPr/>
              <w:t xml:space="preserve">String</w:t>
            </w:r>
          </w:p>
        </w:tc>
        <w:tc>
          <w:tcPr>
            <w:tcW w:w="1511" w:type="dxa"/>
            <w:vAlign w:val="center"/>
          </w:tcPr>
          <w:p>
            <w:pPr>
              <w:pStyle w:val="TABLE-cell"/>
            </w:pPr>
            <w:r>
              <w:rPr/>
              <w:t xml:space="preserve">PropertyType</w:t>
            </w:r>
          </w:p>
        </w:tc>
        <w:tc>
          <w:tcPr>
            <w:tcW w:w="1686" w:type="dxa"/>
            <w:vAlign w:val="center"/>
          </w:tcPr>
          <w:p>
            <w:pPr>
              <w:pStyle w:val="TABLE-cell"/>
            </w:pPr>
            <w:r>
              <w:rPr/>
              <w:t xml:space="preserve">Mandatory</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440" w:type="dxa"/>
            <w:vAlign w:val="center"/>
          </w:tcPr>
          <w:p>
            <w:pPr>
              <w:pStyle w:val="TABLE-cell"/>
            </w:pPr>
            <w:r>
              <w:rPr/>
              <w:t xml:space="preserve">Flavor</w:t>
            </w:r>
          </w:p>
        </w:tc>
        <w:tc>
          <w:tcPr>
            <w:tcW w:w="1602" w:type="dxa"/>
            <w:vAlign w:val="center"/>
          </w:tcPr>
          <w:p>
            <w:pPr>
              <w:pStyle w:val="TABLE-cell"/>
            </w:pPr>
            <w:r>
              <w:rPr/>
              <w:t xml:space="preserve">LocalizedText</w:t>
            </w:r>
          </w:p>
        </w:tc>
        <w:tc>
          <w:tcPr>
            <w:tcW w:w="1511" w:type="dxa"/>
            <w:vAlign w:val="center"/>
          </w:tcPr>
          <w:p>
            <w:pPr>
              <w:pStyle w:val="TABLE-cell"/>
            </w:pPr>
            <w:r>
              <w:rPr/>
              <w:t xml:space="preserve">PropertyType</w:t>
            </w:r>
          </w:p>
        </w:tc>
        <w:tc>
          <w:tcPr>
            <w:tcW w:w="1686" w:type="dxa"/>
            <w:vAlign w:val="center"/>
          </w:tcPr>
          <w:p>
            <w:pPr>
              <w:pStyle w:val="TABLE-cell"/>
            </w:pPr>
            <w:r>
              <w:rPr/>
              <w:t xml:space="preserve">Mandatory</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440" w:type="dxa"/>
            <w:vAlign w:val="center"/>
          </w:tcPr>
          <w:p>
            <w:pPr>
              <w:pStyle w:val="TABLE-cell"/>
            </w:pPr>
            <w:r>
              <w:rPr/>
              <w:t xml:space="preserve">Rank</w:t>
            </w:r>
          </w:p>
        </w:tc>
        <w:tc>
          <w:tcPr>
            <w:tcW w:w="1602" w:type="dxa"/>
            <w:vAlign w:val="center"/>
          </w:tcPr>
          <w:p>
            <w:pPr>
              <w:pStyle w:val="TABLE-cell"/>
            </w:pPr>
            <w:r>
              <w:rPr/>
              <w:t xml:space="preserve">Int32</w:t>
            </w:r>
          </w:p>
        </w:tc>
        <w:tc>
          <w:tcPr>
            <w:tcW w:w="1511" w:type="dxa"/>
            <w:vAlign w:val="center"/>
          </w:tcPr>
          <w:p>
            <w:pPr>
              <w:pStyle w:val="TABLE-cell"/>
            </w:pPr>
            <w:r>
              <w:rPr/>
              <w:t xml:space="preserve">PropertyType</w:t>
            </w:r>
          </w:p>
        </w:tc>
        <w:tc>
          <w:tcPr>
            <w:tcW w:w="1686" w:type="dxa"/>
            <w:vAlign w:val="center"/>
          </w:tcPr>
          <w:p>
            <w:pPr>
              <w:pStyle w:val="TABLE-cell"/>
            </w:pPr>
            <w:r>
              <w:rPr/>
              <w:t xml:space="preserve">Mandatory</w:t>
            </w:r>
          </w:p>
        </w:tc>
      </w:tr>
    </w:tbl>
    <w:p>
      <w:pPr>
        <w:pStyle w:val="spacer"/>
      </w:pPr>
    </w:p>
    <w:p>
      <w:pPr>
        <w:pStyle w:val="PARAGRAPH"/>
      </w:pPr>
      <w:r>
        <w:rPr/>
        <w:t xml:space="preserve">The </w:t>
      </w:r>
      <w:r>
        <w:rPr>
          <w:i/>
        </w:rPr>
        <w:t xml:space="preserve">BrowseName</w:t>
      </w:r>
      <w:r>
        <w:rPr/>
        <w:t xml:space="preserve"> is a non-localized name for an </w:t>
      </w:r>
      <w:r>
        <w:rPr>
          <w:i/>
        </w:rPr>
        <w:t xml:space="preserve">ObjectType</w:t>
      </w:r>
      <w:r>
        <w:rPr/>
        <w:t xml:space="preserve">.</w:t>
      </w:r>
    </w:p>
    <w:p>
      <w:pPr>
        <w:pStyle w:val="PARAGRAPH"/>
      </w:pPr>
      <w:r>
        <w:rPr>
          <w:i/>
        </w:rPr>
        <w:t xml:space="preserve">IsAbstract</w:t>
      </w:r>
      <w:r>
        <w:rPr/>
        <w:t xml:space="preserve"> is a flag indicating whether instances of the </w:t>
      </w:r>
      <w:r>
        <w:rPr>
          <w:i/>
        </w:rPr>
        <w:t xml:space="preserve">ObjectType</w:t>
      </w:r>
      <w:r>
        <w:rPr/>
        <w:t xml:space="preserve"> can be created.</w:t>
      </w:r>
    </w:p>
    <w:p>
      <w:pPr>
        <w:pStyle w:val="PARAGRAPH"/>
      </w:pPr>
      <w:r>
        <w:rPr/>
        <w:t xml:space="preserve">The bottom of the table lists the child nodes for the type. The </w:t>
      </w:r>
      <w:r>
        <w:rPr>
          <w:i/>
        </w:rPr>
        <w:t xml:space="preserve">Reference</w:t>
      </w:r>
      <w:r>
        <w:rPr/>
        <w:t xml:space="preserve"> is the type of reference between the </w:t>
      </w:r>
      <w:r>
        <w:rPr>
          <w:i/>
        </w:rPr>
        <w:t xml:space="preserve">Object</w:t>
      </w:r>
      <w:r>
        <w:rPr/>
        <w:t xml:space="preserve"> instance and the child Node. The </w:t>
      </w:r>
      <w:r>
        <w:rPr>
          <w:i/>
        </w:rPr>
        <w:t xml:space="preserve">NodeClass</w:t>
      </w:r>
      <w:r>
        <w:rPr/>
        <w:t xml:space="preserve"> is the class of Node. The </w:t>
      </w:r>
      <w:r>
        <w:rPr>
          <w:i/>
        </w:rPr>
        <w:t xml:space="preserve">BrowseName</w:t>
      </w:r>
      <w:r>
        <w:rPr/>
        <w:t xml:space="preserve"> is the non-localized name for the child. The </w:t>
      </w:r>
      <w:r>
        <w:rPr>
          <w:i/>
        </w:rPr>
        <w:t xml:space="preserve">DataType</w:t>
      </w:r>
      <w:r>
        <w:rPr/>
        <w:t xml:space="preserve"> is the structure of the Value accessible via the </w:t>
      </w:r>
      <w:r>
        <w:rPr>
          <w:i/>
        </w:rPr>
        <w:t xml:space="preserve">Node</w:t>
      </w:r>
      <w:r>
        <w:rPr/>
        <w:t xml:space="preserve"> (only used for </w:t>
      </w:r>
      <w:r>
        <w:rPr>
          <w:i/>
        </w:rPr>
        <w:t xml:space="preserve">Variable</w:t>
      </w:r>
      <w:r>
        <w:rPr/>
        <w:t xml:space="preserve"> </w:t>
      </w:r>
      <w:r>
        <w:rPr>
          <w:i/>
        </w:rPr>
        <w:t xml:space="preserve">NodeClass</w:t>
      </w:r>
      <w:r>
        <w:rPr/>
        <w:t xml:space="preserve"> </w:t>
      </w:r>
      <w:r>
        <w:rPr>
          <w:i/>
        </w:rPr>
        <w:t xml:space="preserve">Nodes</w:t>
      </w:r>
      <w:r>
        <w:rPr/>
        <w:t xml:space="preserve">) and the </w:t>
      </w:r>
      <w:r>
        <w:rPr>
          <w:i/>
        </w:rPr>
        <w:t xml:space="preserve">TypeDefinition</w:t>
      </w:r>
      <w:r>
        <w:rPr/>
        <w:t xml:space="preserve"> is the </w:t>
      </w:r>
      <w:r>
        <w:rPr>
          <w:i/>
        </w:rPr>
        <w:t xml:space="preserve">ObjectType</w:t>
      </w:r>
      <w:r>
        <w:rPr/>
        <w:t xml:space="preserve"> or </w:t>
      </w:r>
      <w:r>
        <w:rPr>
          <w:i/>
        </w:rPr>
        <w:t xml:space="preserve">VariableType</w:t>
      </w:r>
      <w:r>
        <w:rPr/>
        <w:t xml:space="preserve"> for the child.</w:t>
      </w:r>
    </w:p>
    <w:p>
      <w:pPr>
        <w:pStyle w:val="PARAGRAPH"/>
      </w:pPr>
      <w:r>
        <w:rPr/>
        <w:t xml:space="preserve">The </w:t>
      </w:r>
      <w:r>
        <w:rPr>
          <w:i/>
        </w:rPr>
        <w:t xml:space="preserve">ModellingRule</w:t>
      </w:r>
      <w:r>
        <w:rPr/>
        <w:t xml:space="preserve"> indicates whether a child is </w:t>
      </w:r>
      <w:r>
        <w:rPr>
          <w:i/>
        </w:rPr>
        <w:t xml:space="preserve">Mandatory</w:t>
      </w:r>
      <w:r>
        <w:rPr/>
        <w:t xml:space="preserve"> or </w:t>
      </w:r>
      <w:r>
        <w:rPr>
          <w:i/>
        </w:rPr>
        <w:t xml:space="preserve">Optional</w:t>
      </w:r>
      <w:r>
        <w:rPr/>
        <w:t xml:space="preserve">. It can also indicate cardinality. Note that the </w:t>
      </w:r>
      <w:r>
        <w:rPr>
          <w:i/>
        </w:rPr>
        <w:t xml:space="preserve">BrowseName</w:t>
      </w:r>
      <w:r>
        <w:rPr/>
        <w:t xml:space="preserve"> is not defined if the cardinality is greater than 1. </w:t>
      </w:r>
      <w:r>
        <w:fldChar w:fldCharType="begin"/>
      </w:r>
      <w:r>
        <w:instrText xml:space="preserve"> REF Sts_fig_8 \h \* MERGEFORMAT </w:instrText>
      </w:r>
      <w:r>
        <w:fldChar w:fldCharType="separate"/>
      </w:r>
      <w:r>
        <w:rPr/>
        <w:t xml:space="preserve">Figure 8</w:t>
      </w:r>
      <w:r>
        <w:fldChar w:fldCharType="end"/>
      </w:r>
      <w:r>
        <w:rPr/>
        <w:t xml:space="preserve"> visually depicts the </w:t>
      </w:r>
      <w:r>
        <w:rPr>
          <w:i/>
        </w:rPr>
        <w:t xml:space="preserve">ObjectType</w:t>
      </w:r>
      <w:r>
        <w:rPr/>
        <w:t xml:space="preserve"> defined in </w:t>
      </w:r>
      <w:r>
        <w:fldChar w:fldCharType="begin"/>
      </w:r>
      <w:r>
        <w:instrText xml:space="preserve"> REF Sts_tbl_1 \h \* MERGEFORMAT </w:instrText>
      </w:r>
      <w:r>
        <w:fldChar w:fldCharType="separate"/>
      </w:r>
      <w:r>
        <w:rPr/>
        <w:t xml:space="preserve">Table 1</w:t>
      </w:r>
      <w:r>
        <w:fldChar w:fldCharType="end"/>
      </w:r>
      <w:r>
        <w:rPr/>
        <w:t xml:space="preserve"> along with two instances of the </w:t>
      </w:r>
      <w:r>
        <w:rPr>
          <w:i/>
        </w:rPr>
        <w:t xml:space="preserve">ObjectType</w:t>
      </w:r>
      <w:r>
        <w:rPr/>
        <w:t xml:space="preserve">.</w:t>
      </w:r>
    </w:p>
    <w:p>
      <w:pPr>
        <w:pStyle w:val="FIGURE"/>
      </w:pPr>
      <w:r>
        <w:drawing>
          <wp:inline xmlns:wp="http://schemas.openxmlformats.org/drawingml/2006/wordprocessingDrawing" distT="0" distB="0" distL="0" distR="0">
            <wp:extent cx="5759450" cy="5784545"/>
            <wp:effectExtent l="0" t="0" r="0" b="0"/>
            <wp:docPr id="10" name="Figure 10" descr="A Visual Representation of the Sample Object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pic:nvPicPr>
                  <pic:blipFill>
                    <a:blip r:embed="Re11e1743c5724b21"/>
                    <a:stretch>
                      <a:fillRect/>
                    </a:stretch>
                  </pic:blipFill>
                  <pic:spPr>
                    <a:xfrm>
                      <a:off x="0" y="0"/>
                      <a:ext cx="5759450" cy="5784545"/>
                    </a:xfrm>
                    <a:prstGeom prst="rect">
                      <a:avLst/>
                    </a:prstGeom>
                  </pic:spPr>
                </pic:pic>
              </a:graphicData>
            </a:graphic>
          </wp:inline>
        </w:drawing>
      </w:r>
    </w:p>
    <w:p>
      <w:pPr>
        <w:pStyle w:val="FIGURE-title"/>
      </w:pPr>
      <w:bookmarkStart w:name="Sts_fig_8" w:id="63"/>
      <w:r>
        <w:t xml:space="preserve">Figure </w:t>
      </w:r>
      <w:r>
        <w:fldChar w:fldCharType="begin"/>
      </w:r>
      <w:r>
        <w:instrText xml:space="preserve"> SEQ Figure \* ARABIC </w:instrText>
      </w:r>
      <w:r>
        <w:fldChar w:fldCharType="separate"/>
      </w:r>
      <w:r>
        <w:rPr/>
        <w:t xml:space="preserve">8</w:t>
      </w:r>
      <w:r>
        <w:fldChar w:fldCharType="end"/>
      </w:r>
      <w:bookmarkEnd w:id="63"/>
      <w:r>
        <w:t xml:space="preserve"> – </w:t>
      </w:r>
      <w:r>
        <w:rPr/>
        <w:t xml:space="preserve">A Visual Representation of the Sample ObjectType</w:t>
      </w:r>
    </w:p>
    <w:p>
      <w:pPr>
        <w:pStyle w:val="Heading1"/>
      </w:pPr>
      <w:bookmarkStart w:name="Sts_sec_5" w:id="64"/>
      <w:r>
        <w:rPr/>
        <w:t xml:space="preserve">Modelling Approach of PackML</w:t>
      </w:r>
      <w:bookmarkEnd w:id="64"/>
    </w:p>
    <w:p>
      <w:pPr>
        <w:pStyle w:val="PARAGRAPH"/>
      </w:pPr>
      <w:r>
        <w:rPr/>
        <w:t xml:space="preserve">The modelling approach for generating an UA model from the PackML specification follows the following general concepts / suggestions.</w:t>
      </w:r>
    </w:p>
    <w:p>
      <w:pPr>
        <w:pStyle w:val="PARAGRAPH"/>
      </w:pPr>
      <w:r>
        <w:rPr/>
        <w:t xml:space="preserve">In PackML a number of standard tag names and standard values are defined, OPC UA defines standard types from which any number of instances can be created. Each instance will contain the same items as defined in the type, allowing easy access for </w:t>
      </w:r>
      <w:r>
        <w:rPr>
          <w:i/>
        </w:rPr>
        <w:t xml:space="preserve">Clients</w:t>
      </w:r>
      <w:r>
        <w:rPr/>
        <w:t xml:space="preserve">.</w:t>
      </w:r>
    </w:p>
    <w:p>
      <w:pPr>
        <w:pStyle w:val="PARAGRAPH"/>
      </w:pPr>
      <w:r>
        <w:rPr/>
        <w:t xml:space="preserve">When possible OPC UA constructs will be used to represent parallel PackML concepts including:</w:t>
      </w:r>
    </w:p>
    <w:p>
      <w:pPr>
        <w:pStyle w:val="ListBullet"/>
      </w:pPr>
      <w:r>
        <w:rPr>
          <w:i/>
        </w:rPr>
        <w:t xml:space="preserve">StateMachines</w:t>
      </w:r>
      <w:r>
        <w:rPr/>
        <w:t xml:space="preserve"> to reflect the state of the system</w:t>
      </w:r>
    </w:p>
    <w:p>
      <w:pPr>
        <w:pStyle w:val="ListBullet"/>
      </w:pPr>
      <w:r>
        <w:rPr>
          <w:i/>
        </w:rPr>
        <w:t xml:space="preserve">Methods</w:t>
      </w:r>
      <w:r>
        <w:rPr/>
        <w:t xml:space="preserve"> to issue commands to the </w:t>
      </w:r>
      <w:r>
        <w:rPr>
          <w:i/>
        </w:rPr>
        <w:t xml:space="preserve">Server</w:t>
      </w:r>
    </w:p>
    <w:p>
      <w:pPr>
        <w:pStyle w:val="ListBullet"/>
      </w:pPr>
      <w:r>
        <w:rPr>
          <w:i/>
        </w:rPr>
        <w:t xml:space="preserve">DataTypes</w:t>
      </w:r>
    </w:p>
    <w:p>
      <w:pPr>
        <w:pStyle w:val="Heading2"/>
      </w:pPr>
      <w:bookmarkStart w:name="Sts_sec_5_1" w:id="65"/>
      <w:r>
        <w:rPr/>
        <w:t xml:space="preserve">OPC UA Notation</w:t>
      </w:r>
      <w:bookmarkEnd w:id="65"/>
    </w:p>
    <w:p>
      <w:pPr>
        <w:pStyle w:val="PARAGRAPH"/>
      </w:pPr>
      <w:r>
        <w:rPr/>
        <w:t xml:space="preserve">This standard uses the </w:t>
      </w:r>
      <w:r>
        <w:rPr>
          <w:i/>
        </w:rPr>
        <w:t xml:space="preserve">ModellingRules</w:t>
      </w:r>
      <w:r>
        <w:rPr/>
        <w:t xml:space="preserve"> </w:t>
      </w:r>
      <w:r>
        <w:rPr>
          <w:i/>
        </w:rPr>
        <w:t xml:space="preserve">OptionalPlaceholder</w:t>
      </w:r>
      <w:r>
        <w:rPr/>
        <w:t xml:space="preserve"> and </w:t>
      </w:r>
      <w:r>
        <w:rPr>
          <w:i/>
        </w:rPr>
        <w:t xml:space="preserve">MandatoryPlaceholder</w:t>
      </w:r>
      <w:r>
        <w:rPr/>
        <w:t xml:space="preserve"> to define instance declarations, and defines a rule that the BrowseName of instance declarations having an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be enclosed in angle brackets (&lt;&gt;). Originally, this rule is defined in </w:t>
      </w:r>
      <w:r>
        <w:fldChar w:fldCharType="begin"/>
      </w:r>
      <w:r>
        <w:instrText xml:space="preserve"> REF Sts_ref_uapart3 \h \* MERGEFORMAT </w:instrText>
      </w:r>
      <w:r>
        <w:fldChar w:fldCharType="separate"/>
      </w:r>
      <w:r>
        <w:rPr/>
        <w:t xml:space="preserve">OPC 10000-3</w:t>
      </w:r>
      <w:r>
        <w:fldChar w:fldCharType="end"/>
      </w:r>
      <w:r>
        <w:rPr/>
        <w:t xml:space="preserve"> as a recommendation. This naming rule is also used in the description of a table. The </w:t>
      </w:r>
      <w:r>
        <w:rPr>
          <w:i/>
        </w:rPr>
        <w:t xml:space="preserve">BrowseName</w:t>
      </w:r>
      <w:r>
        <w:rPr/>
        <w:t xml:space="preserve"> of a </w:t>
      </w:r>
      <w:r>
        <w:rPr>
          <w:i/>
        </w:rPr>
        <w:t xml:space="preserve">Node</w:t>
      </w:r>
      <w:r>
        <w:rPr/>
        <w:t xml:space="preserve"> that has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are described with angle brackets, which denotes that the name is not fixed. For example, </w:t>
      </w:r>
      <w:r>
        <w:rPr>
          <w:i/>
        </w:rPr>
        <w:t xml:space="preserve">BrowseName</w:t>
      </w:r>
      <w:r>
        <w:rPr/>
        <w:t xml:space="preserve"> of </w:t>
      </w:r>
      <w:r>
        <w:rPr>
          <w:i/>
        </w:rPr>
        <w:t xml:space="preserve">Property</w:t>
      </w:r>
      <w:r>
        <w:rPr/>
        <w:t xml:space="preserve"> is described as &lt;PropertyName&gt; in graphical notation and tables results in a </w:t>
      </w:r>
      <w:r>
        <w:rPr>
          <w:i/>
        </w:rPr>
        <w:t xml:space="preserve">Property</w:t>
      </w:r>
      <w:r>
        <w:rPr/>
        <w:t xml:space="preserve"> that can have any name.</w:t>
      </w:r>
    </w:p>
    <w:p>
      <w:pPr>
        <w:pStyle w:val="Heading1"/>
      </w:pPr>
      <w:bookmarkStart w:name="Sts_sec_6" w:id="66"/>
      <w:r>
        <w:rPr/>
        <w:t xml:space="preserve">PackML Data Representation Model</w:t>
      </w:r>
      <w:bookmarkEnd w:id="66"/>
    </w:p>
    <w:p>
      <w:pPr>
        <w:pStyle w:val="Heading2"/>
      </w:pPr>
      <w:bookmarkStart w:name="Sts_sec_6_1" w:id="67"/>
      <w:r>
        <w:rPr/>
        <w:t xml:space="preserve">General</w:t>
      </w:r>
      <w:bookmarkEnd w:id="67"/>
    </w:p>
    <w:p>
      <w:pPr>
        <w:pStyle w:val="PARAGRAPH"/>
      </w:pPr>
      <w:r>
        <w:rPr/>
        <w:t xml:space="preserve">The OPC UA PackML information model is a representation of the PackML data model in OPC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w:t>
      </w:r>
    </w:p>
    <w:p>
      <w:pPr>
        <w:pStyle w:val="PARAGRAPH"/>
      </w:pPr>
      <w:r>
        <w:rPr/>
        <w:t xml:space="preserve">This model generates standard types. All PackML types will be defined in their own </w:t>
      </w:r>
      <w:r>
        <w:rPr>
          <w:i/>
        </w:rPr>
        <w:t xml:space="preserve">Namespace</w:t>
      </w:r>
      <w:r>
        <w:rPr/>
        <w:t xml:space="preserve"> and will begin with "PackML" A key point is a standard </w:t>
      </w:r>
      <w:r>
        <w:rPr>
          <w:i/>
        </w:rPr>
        <w:t xml:space="preserve">ObjectType</w:t>
      </w:r>
      <w:r>
        <w:rPr/>
        <w:t xml:space="preserve"> representation of the </w:t>
      </w:r>
      <w:r>
        <w:rPr>
          <w:i/>
        </w:rPr>
        <w:t xml:space="preserve">StateMachines</w:t>
      </w:r>
      <w:r>
        <w:rPr/>
        <w:t xml:space="preserve"> defined in PackML. The model also defines some standard instances that are expected as a starting point for this model.</w:t>
      </w:r>
    </w:p>
    <w:p>
      <w:pPr>
        <w:pStyle w:val="PARAGRAPH"/>
      </w:pPr>
      <w:r>
        <w:rPr/>
        <w:t xml:space="preserve">The following conventions apply to </w:t>
      </w:r>
      <w:r>
        <w:rPr>
          <w:i/>
        </w:rPr>
        <w:t xml:space="preserve">ObjectType</w:t>
      </w:r>
      <w:r>
        <w:rPr/>
        <w:t xml:space="preserve">, </w:t>
      </w:r>
      <w:r>
        <w:rPr>
          <w:i/>
        </w:rPr>
        <w:t xml:space="preserve">VariableType</w:t>
      </w:r>
      <w:r>
        <w:rPr/>
        <w:t xml:space="preserve"> and </w:t>
      </w:r>
      <w:r>
        <w:rPr>
          <w:i/>
        </w:rPr>
        <w:t xml:space="preserve">DataType</w:t>
      </w:r>
      <w:r>
        <w:rPr/>
        <w:t xml:space="preserve"> naming:</w:t>
      </w:r>
    </w:p>
    <w:p>
      <w:pPr>
        <w:pStyle w:val="ListBullet"/>
      </w:pPr>
      <w:r>
        <w:rPr/>
        <w:t xml:space="preserve">All ObjectTypes include "</w:t>
      </w:r>
      <w:r>
        <w:rPr>
          <w:i/>
        </w:rPr>
        <w:t xml:space="preserve">ObjectType</w:t>
      </w:r>
      <w:r>
        <w:rPr/>
        <w:t xml:space="preserve">" as part of the name</w:t>
      </w:r>
    </w:p>
    <w:p>
      <w:pPr>
        <w:pStyle w:val="ListBullet"/>
      </w:pPr>
      <w:r>
        <w:rPr/>
        <w:t xml:space="preserve">All StateMachines will end in "StateMachine", all States will end in "State", All Transitions will end in "Transition"</w:t>
      </w:r>
    </w:p>
    <w:p>
      <w:pPr>
        <w:pStyle w:val="ListBullet"/>
      </w:pPr>
      <w:r>
        <w:rPr/>
        <w:t xml:space="preserve">All </w:t>
      </w:r>
      <w:r>
        <w:rPr>
          <w:i/>
        </w:rPr>
        <w:t xml:space="preserve">DataTypes</w:t>
      </w:r>
      <w:r>
        <w:rPr/>
        <w:t xml:space="preserve"> that are structures include "DataType" as part of the name, this is to be able to differentiate them from any </w:t>
      </w:r>
      <w:r>
        <w:rPr>
          <w:i/>
        </w:rPr>
        <w:t xml:space="preserve">VariableTypes</w:t>
      </w:r>
      <w:r>
        <w:rPr/>
        <w:t xml:space="preserve"> that will just end in Type.</w:t>
      </w:r>
    </w:p>
    <w:p>
      <w:pPr>
        <w:pStyle w:val="ListBullet"/>
      </w:pPr>
      <w:r>
        <w:rPr/>
        <w:t xml:space="preserve">All enumerations will end in "Enum", to clearly identify that it is an enumeration.</w:t>
      </w:r>
    </w:p>
    <w:p>
      <w:pPr>
        <w:pStyle w:val="ListBullet"/>
      </w:pPr>
      <w:r>
        <w:rPr/>
        <w:t xml:space="preserve">All base </w:t>
      </w:r>
      <w:r>
        <w:rPr>
          <w:i/>
        </w:rPr>
        <w:t xml:space="preserve">DataTypes</w:t>
      </w:r>
      <w:r>
        <w:rPr/>
        <w:t xml:space="preserve"> (int32, float, …) used in the OPC UA server will be those defined in OPC UA, see </w:t>
      </w:r>
      <w:r>
        <w:fldChar w:fldCharType="begin"/>
      </w:r>
      <w:r>
        <w:instrText xml:space="preserve"> REF Sts_ref_uapart6 \h \* MERGEFORMAT </w:instrText>
      </w:r>
      <w:r>
        <w:fldChar w:fldCharType="separate"/>
      </w:r>
      <w:r>
        <w:rPr/>
        <w:t xml:space="preserve">OPC 10000-6</w:t>
      </w:r>
      <w:r>
        <w:fldChar w:fldCharType="end"/>
      </w:r>
      <w:r>
        <w:rPr/>
        <w:t xml:space="preserve"> for more detail on the representation of the datatypes. This specification is typically implemented in a PLC, </w:t>
      </w:r>
      <w:r>
        <w:fldChar w:fldCharType="begin"/>
      </w:r>
      <w:r>
        <w:instrText xml:space="preserve"> REF Sts_sec_B \r \h \* MERGEFORMAT </w:instrText>
      </w:r>
      <w:r>
        <w:fldChar w:fldCharType="separate"/>
      </w:r>
      <w:r>
        <w:rPr/>
        <w:t xml:space="preserve">Annex B</w:t>
      </w:r>
      <w:r>
        <w:fldChar w:fldCharType="end"/>
      </w:r>
      <w:r>
        <w:rPr/>
        <w:t xml:space="preserve"> provides a non-normative copy of the DataType mapping described in PLC Open</w:t>
      </w:r>
    </w:p>
    <w:p>
      <w:pPr>
        <w:pStyle w:val="FIGURE"/>
      </w:pPr>
      <w:r>
        <w:drawing>
          <wp:inline xmlns:wp="http://schemas.openxmlformats.org/drawingml/2006/wordprocessingDrawing" distT="0" distB="0" distL="0" distR="0">
            <wp:extent cx="5759450" cy="3700987"/>
            <wp:effectExtent l="0" t="0" r="0" b="0"/>
            <wp:docPr id="11" name="Figure 11" descr="System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pic:nvPicPr>
                  <pic:blipFill>
                    <a:blip r:embed="Rd7366062168940eb"/>
                    <a:stretch>
                      <a:fillRect/>
                    </a:stretch>
                  </pic:blipFill>
                  <pic:spPr>
                    <a:xfrm>
                      <a:off x="0" y="0"/>
                      <a:ext cx="5759450" cy="3700987"/>
                    </a:xfrm>
                    <a:prstGeom prst="rect">
                      <a:avLst/>
                    </a:prstGeom>
                  </pic:spPr>
                </pic:pic>
              </a:graphicData>
            </a:graphic>
          </wp:inline>
        </w:drawing>
      </w:r>
    </w:p>
    <w:p>
      <w:pPr>
        <w:pStyle w:val="FIGURE-title"/>
      </w:pPr>
      <w:bookmarkStart w:name="Sts_fig_9" w:id="68"/>
      <w:r>
        <w:t xml:space="preserve">Figure </w:t>
      </w:r>
      <w:r>
        <w:fldChar w:fldCharType="begin"/>
      </w:r>
      <w:r>
        <w:instrText xml:space="preserve"> SEQ Figure \* ARABIC </w:instrText>
      </w:r>
      <w:r>
        <w:fldChar w:fldCharType="separate"/>
      </w:r>
      <w:r>
        <w:rPr/>
        <w:t xml:space="preserve">9</w:t>
      </w:r>
      <w:r>
        <w:fldChar w:fldCharType="end"/>
      </w:r>
      <w:bookmarkEnd w:id="68"/>
      <w:r>
        <w:t xml:space="preserve"> – </w:t>
      </w:r>
      <w:r>
        <w:rPr/>
        <w:t xml:space="preserve">System Overview</w:t>
      </w:r>
    </w:p>
    <w:p>
      <w:pPr>
        <w:pStyle w:val="PARAGRAPH"/>
      </w:pPr>
      <w:r>
        <w:rPr/>
        <w:t xml:space="preserve">Figure 9 illustrates the scope of PackML in a typical environment, with units acting as OPC UA </w:t>
      </w:r>
      <w:r>
        <w:rPr>
          <w:i/>
        </w:rPr>
        <w:t xml:space="preserve">Servers</w:t>
      </w:r>
      <w:r>
        <w:rPr/>
        <w:t xml:space="preserve"> and a line controller as an OPC UA </w:t>
      </w:r>
      <w:r>
        <w:rPr>
          <w:i/>
        </w:rPr>
        <w:t xml:space="preserve">Client</w:t>
      </w:r>
      <w:r>
        <w:rPr/>
        <w:t xml:space="preserve"> application. It defines a standard set of interfaces to and from a unit/machine, so that it can be controlled as an element of an overall production line. It maps the internal states of the unit into a standard state model, and internal commands into a standard set of commands, hiding the details of the actual implementation of the unit's code.</w:t>
      </w:r>
    </w:p>
    <w:p>
      <w:pPr>
        <w:pStyle w:val="PARAGRAPH"/>
      </w:pPr>
      <w:r>
        <w:rPr/>
        <w:t xml:space="preserve">Figure 9 also illustrates another typical example in which units perform peer-to-peer communication to coordinate the states and modes of an entire line. In this situation, each unit could act as both an OPC UA </w:t>
      </w:r>
      <w:r>
        <w:rPr>
          <w:i/>
        </w:rPr>
        <w:t xml:space="preserve">Server</w:t>
      </w:r>
      <w:r>
        <w:rPr/>
        <w:t xml:space="preserve"> (of their own local state) and an OPC UA </w:t>
      </w:r>
      <w:r>
        <w:rPr>
          <w:i/>
        </w:rPr>
        <w:t xml:space="preserve">Client</w:t>
      </w:r>
      <w:r>
        <w:rPr/>
        <w:t xml:space="preserve"> to communicate to upstream and downstream units.</w:t>
      </w:r>
    </w:p>
    <w:p>
      <w:pPr>
        <w:pStyle w:val="Heading2"/>
      </w:pPr>
      <w:bookmarkStart w:name="Sts_sec_6_2" w:id="69"/>
      <w:r>
        <w:rPr/>
        <w:t xml:space="preserve">Instance AddressSpace</w:t>
      </w:r>
      <w:bookmarkEnd w:id="69"/>
    </w:p>
    <w:p>
      <w:pPr>
        <w:pStyle w:val="PARAGRAPH"/>
      </w:pPr>
      <w:r>
        <w:fldChar w:fldCharType="begin"/>
      </w:r>
      <w:r>
        <w:instrText xml:space="preserve"> REF Sts_fig_10 \h \* MERGEFORMAT </w:instrText>
      </w:r>
      <w:r>
        <w:fldChar w:fldCharType="separate"/>
      </w:r>
      <w:r>
        <w:rPr/>
        <w:t xml:space="preserve">Figure 10</w:t>
      </w:r>
      <w:r>
        <w:fldChar w:fldCharType="end"/>
      </w:r>
      <w:r>
        <w:rPr/>
        <w:t xml:space="preserve"> provides an overview of the instance object model for PackML</w:t>
      </w:r>
    </w:p>
    <w:p>
      <w:pPr>
        <w:pStyle w:val="FIGURE"/>
      </w:pPr>
      <w:r>
        <w:drawing>
          <wp:inline xmlns:wp="http://schemas.openxmlformats.org/drawingml/2006/wordprocessingDrawing" distT="0" distB="0" distL="0" distR="0">
            <wp:extent cx="5759450" cy="6075175"/>
            <wp:effectExtent l="0" t="0" r="0" b="0"/>
            <wp:docPr id="12" name="Figure 12" descr="PackML Object Instanc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pic:nvPicPr>
                  <pic:blipFill>
                    <a:blip r:embed="R16082376092c441b"/>
                    <a:stretch>
                      <a:fillRect/>
                    </a:stretch>
                  </pic:blipFill>
                  <pic:spPr>
                    <a:xfrm>
                      <a:off x="0" y="0"/>
                      <a:ext cx="5759450" cy="6075175"/>
                    </a:xfrm>
                    <a:prstGeom prst="rect">
                      <a:avLst/>
                    </a:prstGeom>
                  </pic:spPr>
                </pic:pic>
              </a:graphicData>
            </a:graphic>
          </wp:inline>
        </w:drawing>
      </w:r>
    </w:p>
    <w:p>
      <w:pPr>
        <w:pStyle w:val="FIGURE-title"/>
      </w:pPr>
      <w:bookmarkStart w:name="Sts_fig_10" w:id="70"/>
      <w:r>
        <w:t xml:space="preserve">Figure </w:t>
      </w:r>
      <w:r>
        <w:fldChar w:fldCharType="begin"/>
      </w:r>
      <w:r>
        <w:instrText xml:space="preserve"> SEQ Figure \* ARABIC </w:instrText>
      </w:r>
      <w:r>
        <w:fldChar w:fldCharType="separate"/>
      </w:r>
      <w:r>
        <w:rPr/>
        <w:t xml:space="preserve">10</w:t>
      </w:r>
      <w:r>
        <w:fldChar w:fldCharType="end"/>
      </w:r>
      <w:bookmarkEnd w:id="70"/>
      <w:r>
        <w:t xml:space="preserve"> – </w:t>
      </w:r>
      <w:r>
        <w:rPr/>
        <w:t xml:space="preserve">PackML Object Instance Overview</w:t>
      </w:r>
    </w:p>
    <w:p>
      <w:pPr>
        <w:pStyle w:val="PARAGRAPH"/>
      </w:pPr>
      <w:r>
        <w:rPr/>
        <w:t xml:space="preserve">The OPC UA Server shall have a PackMLObjects folder under the OPC defined </w:t>
      </w:r>
      <w:r>
        <w:rPr>
          <w:i/>
        </w:rPr>
        <w:t xml:space="preserve">Objects</w:t>
      </w:r>
      <w:r>
        <w:rPr/>
        <w:t xml:space="preserve"> folder on a UA </w:t>
      </w:r>
      <w:r>
        <w:rPr>
          <w:i/>
        </w:rPr>
        <w:t xml:space="preserve">Server</w:t>
      </w:r>
      <w:r>
        <w:rPr/>
        <w:t xml:space="preserve">. This folder shall contain one or more instances of </w:t>
      </w:r>
      <w:r>
        <w:rPr>
          <w:i/>
        </w:rPr>
        <w:t xml:space="preserve">PackMLBaseObjectType</w:t>
      </w:r>
      <w:r>
        <w:rPr/>
        <w:t xml:space="preserve"> (see </w:t>
      </w:r>
      <w:r>
        <w:fldChar w:fldCharType="begin"/>
      </w:r>
      <w:r>
        <w:instrText xml:space="preserve"> REF Sts_sec_6_3_2 \r \h \* MERGEFORMAT </w:instrText>
      </w:r>
      <w:r>
        <w:fldChar w:fldCharType="separate"/>
      </w:r>
      <w:r>
        <w:rPr/>
        <w:t xml:space="preserve">6.3.2</w:t>
      </w:r>
      <w:r>
        <w:fldChar w:fldCharType="end"/>
      </w:r>
      <w:r>
        <w:rPr/>
        <w:t xml:space="preserve"> for definition of </w:t>
      </w:r>
      <w:r>
        <w:rPr>
          <w:i/>
        </w:rPr>
        <w:t xml:space="preserve">PackMLBaseObjectType</w:t>
      </w:r>
      <w:r>
        <w:rPr/>
        <w:t xml:space="preserve">). A single OPC UA </w:t>
      </w:r>
      <w:r>
        <w:rPr>
          <w:i/>
        </w:rPr>
        <w:t xml:space="preserve">Server</w:t>
      </w:r>
      <w:r>
        <w:rPr/>
        <w:t xml:space="preserve"> might contain a single instance of a PackML system or it might contain multiple PackML systems.</w:t>
      </w:r>
    </w:p>
    <w:p>
      <w:pPr>
        <w:pStyle w:val="PARAGRAPH"/>
      </w:pPr>
      <w:r>
        <w:rPr/>
        <w:t xml:space="preserve">The </w:t>
      </w:r>
      <w:r>
        <w:rPr>
          <w:i/>
        </w:rPr>
        <w:t xml:space="preserve">PackMLObjects</w:t>
      </w:r>
      <w:r>
        <w:rPr/>
        <w:t xml:space="preserve"> node is formally defined in </w:t>
      </w:r>
      <w:r>
        <w:fldChar w:fldCharType="begin"/>
      </w:r>
      <w:r>
        <w:instrText xml:space="preserve"> REF Sts_tbl_2 \h \* MERGEFORMAT </w:instrText>
      </w:r>
      <w:r>
        <w:fldChar w:fldCharType="separate"/>
      </w:r>
      <w:r>
        <w:rPr/>
        <w:t xml:space="preserve">Table 2</w:t>
      </w:r>
      <w:r>
        <w:fldChar w:fldCharType="end"/>
      </w:r>
      <w:r>
        <w:rPr/>
        <w:t xml:space="preserve">.</w:t>
      </w:r>
    </w:p>
    <w:p>
      <w:pPr>
        <w:pStyle w:val="TABLE-title"/>
      </w:pPr>
      <w:bookmarkStart w:name="Sts_tbl_2" w:id="71"/>
      <w:r>
        <w:t xml:space="preserve">Table </w:t>
      </w:r>
      <w:r>
        <w:fldChar w:fldCharType="begin"/>
      </w:r>
      <w:r>
        <w:instrText xml:space="preserve"> SEQ Table \* ARABIC </w:instrText>
      </w:r>
      <w:r>
        <w:fldChar w:fldCharType="separate"/>
      </w:r>
      <w:r>
        <w:rPr/>
        <w:t xml:space="preserve">2</w:t>
      </w:r>
      <w:r>
        <w:fldChar w:fldCharType="end"/>
      </w:r>
      <w:bookmarkEnd w:id="71"/>
      <w:r>
        <w:t xml:space="preserve"> – </w:t>
      </w:r>
      <w:r>
        <w:rPr/>
        <w:t xml:space="preserve">PackMLObjects Definition</w:t>
      </w:r>
    </w:p>
    <w:tbl>
      <w:tblPr>
        <w:tblStyle w:val="TableGrid"/>
        <w:tblW w:w="9070" w:type="dxa"/>
        <w:tblLayout w:type="fixed"/>
      </w:tblPr>
      <w:tblGrid>
        <w:gridCol w:w="3025"/>
        <w:gridCol w:w="1778"/>
        <w:gridCol w:w="1778"/>
        <w:gridCol w:w="2489"/>
      </w:tblGrid>
      <w:tr>
        <w:trPr>
          <w:tblHeader/>
        </w:trPr>
        <w:tc>
          <w:tcPr>
            <w:tcW w:w="3025" w:type="dxa"/>
            <w:vAlign w:val="center"/>
          </w:tcPr>
          <w:p>
            <w:pPr>
              <w:pStyle w:val="TABLE-col-heading"/>
              <w:jc w:val="left"/>
            </w:pPr>
            <w:r>
              <w:rPr>
                <w:b/>
              </w:rPr>
              <w:t xml:space="preserve">Attribute</w:t>
            </w:r>
          </w:p>
        </w:tc>
        <w:tc>
          <w:tcPr>
            <w:tcW w:w="6045" w:type="dxa"/>
            <w:gridSpan w:val="3"/>
            <w:vAlign w:val="center"/>
          </w:tcPr>
          <w:p>
            <w:pPr>
              <w:pStyle w:val="TABLE-col-heading"/>
              <w:jc w:val="left"/>
            </w:pPr>
            <w:r>
              <w:rPr>
                <w:b/>
              </w:rPr>
              <w:t xml:space="preserve">Value</w:t>
            </w:r>
          </w:p>
        </w:tc>
      </w:tr>
      <w:tr>
        <w:tc>
          <w:tcPr>
            <w:tcW w:w="3025" w:type="dxa"/>
            <w:vAlign w:val="center"/>
          </w:tcPr>
          <w:p>
            <w:pPr>
              <w:pStyle w:val="TABLE-cell"/>
            </w:pPr>
            <w:r>
              <w:rPr/>
              <w:t xml:space="preserve">BrowseName</w:t>
            </w:r>
          </w:p>
        </w:tc>
        <w:tc>
          <w:tcPr>
            <w:tcW w:w="6045" w:type="dxa"/>
            <w:gridSpan w:val="3"/>
            <w:vAlign w:val="center"/>
          </w:tcPr>
          <w:p>
            <w:pPr>
              <w:pStyle w:val="TABLE-cell"/>
            </w:pPr>
            <w:r>
              <w:rPr/>
              <w:t xml:space="preserve">PackMLObjects</w:t>
            </w:r>
          </w:p>
        </w:tc>
      </w:tr>
      <w:tr>
        <w:tc>
          <w:tcPr>
            <w:tcW w:w="3025" w:type="dxa"/>
            <w:vAlign w:val="center"/>
          </w:tcPr>
          <w:p>
            <w:pPr>
              <w:pStyle w:val="TABLE-cell"/>
            </w:pPr>
            <w:r>
              <w:rPr>
                <w:b/>
              </w:rPr>
              <w:t xml:space="preserve">References</w:t>
            </w:r>
          </w:p>
        </w:tc>
        <w:tc>
          <w:tcPr>
            <w:tcW w:w="1778" w:type="dxa"/>
            <w:vAlign w:val="center"/>
          </w:tcPr>
          <w:p>
            <w:pPr>
              <w:pStyle w:val="TABLE-cell"/>
            </w:pPr>
            <w:r>
              <w:rPr>
                <w:b/>
              </w:rPr>
              <w:t xml:space="preserve">NodeClass</w:t>
            </w:r>
          </w:p>
        </w:tc>
        <w:tc>
          <w:tcPr>
            <w:tcW w:w="1778" w:type="dxa"/>
            <w:vAlign w:val="center"/>
          </w:tcPr>
          <w:p>
            <w:pPr>
              <w:pStyle w:val="TABLE-cell"/>
            </w:pPr>
            <w:r>
              <w:rPr>
                <w:b/>
              </w:rPr>
              <w:t xml:space="preserve">BrowseName</w:t>
            </w:r>
          </w:p>
        </w:tc>
        <w:tc>
          <w:tcPr>
            <w:tcW w:w="2489" w:type="dxa"/>
            <w:vAlign w:val="center"/>
          </w:tcPr>
          <w:p>
            <w:pPr>
              <w:pStyle w:val="TABLE-cell"/>
            </w:pPr>
            <w:r>
              <w:rPr>
                <w:b/>
              </w:rPr>
              <w:t xml:space="preserve">TypeDefinition</w:t>
            </w:r>
          </w:p>
        </w:tc>
      </w:tr>
      <w:tr>
        <w:tc>
          <w:tcPr>
            <w:tcW w:w="6581" w:type="dxa"/>
            <w:gridSpan w:val="3"/>
            <w:vAlign w:val="center"/>
          </w:tcPr>
          <w:p>
            <w:pPr>
              <w:pStyle w:val="TABLE-cell"/>
            </w:pPr>
            <w:r>
              <w:rPr/>
              <w:t xml:space="preserve">Organized by the Objects Folder defined in </w:t>
            </w:r>
            <w:r>
              <w:fldChar w:fldCharType="begin"/>
            </w:r>
            <w:r>
              <w:instrText xml:space="preserve"> REF Sts_ref_uapart5 \h \* MERGEFORMAT </w:instrText>
            </w:r>
            <w:r>
              <w:fldChar w:fldCharType="separate"/>
            </w:r>
            <w:r>
              <w:rPr/>
              <w:t xml:space="preserve">OPC 10000-5</w:t>
            </w:r>
            <w:r>
              <w:fldChar w:fldCharType="end"/>
            </w:r>
          </w:p>
        </w:tc>
      </w:tr>
      <w:tr>
        <w:tc>
          <w:tcPr>
            <w:tcW w:w="3025" w:type="dxa"/>
            <w:vAlign w:val="center"/>
          </w:tcPr>
          <w:p>
            <w:pPr>
              <w:pStyle w:val="TABLE-cell"/>
            </w:pPr>
            <w:r>
              <w:rPr/>
              <w:t xml:space="preserve">HasTypeDefinition</w:t>
            </w:r>
          </w:p>
        </w:tc>
        <w:tc>
          <w:tcPr>
            <w:tcW w:w="1778" w:type="dxa"/>
            <w:vAlign w:val="center"/>
          </w:tcPr>
          <w:p>
            <w:pPr>
              <w:pStyle w:val="TABLE-cell"/>
            </w:pPr>
            <w:r>
              <w:rPr/>
              <w:t xml:space="preserve">ObjectType</w:t>
            </w:r>
          </w:p>
        </w:tc>
        <w:tc>
          <w:tcPr>
            <w:tcW w:w="4267" w:type="dxa"/>
            <w:gridSpan w:val="2"/>
            <w:vAlign w:val="center"/>
          </w:tcPr>
          <w:p>
            <w:pPr>
              <w:pStyle w:val="TABLE-cell"/>
            </w:pPr>
            <w:r>
              <w:rPr/>
              <w:t xml:space="preserve">FolderType</w:t>
            </w:r>
          </w:p>
        </w:tc>
      </w:tr>
    </w:tbl>
    <w:p>
      <w:pPr>
        <w:pStyle w:val="spacer"/>
      </w:pPr>
    </w:p>
    <w:p>
      <w:pPr>
        <w:pStyle w:val="Heading2"/>
      </w:pPr>
      <w:bookmarkStart w:name="Sts_sec_6_3" w:id="72"/>
      <w:r>
        <w:rPr/>
        <w:t xml:space="preserve">Objects and ObjectTypes</w:t>
      </w:r>
      <w:bookmarkEnd w:id="72"/>
    </w:p>
    <w:p>
      <w:pPr>
        <w:pStyle w:val="Heading3"/>
      </w:pPr>
      <w:bookmarkStart w:name="Sts_sec_6_3_1" w:id="73"/>
      <w:r>
        <w:rPr/>
        <w:t xml:space="preserve">Overview</w:t>
      </w:r>
      <w:bookmarkEnd w:id="73"/>
    </w:p>
    <w:p>
      <w:pPr>
        <w:pStyle w:val="PARAGRAPH"/>
      </w:pPr>
      <w:r>
        <w:rPr/>
        <w:t xml:space="preserve">The PackML model when adapted to OPC UA results in a number of </w:t>
      </w:r>
      <w:r>
        <w:rPr>
          <w:i/>
        </w:rPr>
        <w:t xml:space="preserve">StateMachines</w:t>
      </w:r>
      <w:r>
        <w:rPr/>
        <w:t xml:space="preserve"> (see section </w:t>
      </w:r>
      <w:r>
        <w:fldChar w:fldCharType="begin"/>
      </w:r>
      <w:r>
        <w:instrText xml:space="preserve"> REF Sts_sec_6_3_5 \r \h \* MERGEFORMAT </w:instrText>
      </w:r>
      <w:r>
        <w:fldChar w:fldCharType="separate"/>
      </w:r>
      <w:r>
        <w:rPr/>
        <w:t xml:space="preserve">6.3.5</w:t>
      </w:r>
      <w:r>
        <w:fldChar w:fldCharType="end"/>
      </w:r>
      <w:r>
        <w:rPr/>
        <w:t xml:space="preserve"> for a definition). Instances of these </w:t>
      </w:r>
      <w:r>
        <w:rPr>
          <w:i/>
        </w:rPr>
        <w:t xml:space="preserve">StateMachines</w:t>
      </w:r>
      <w:r>
        <w:rPr/>
        <w:t xml:space="preserve"> may not expose all states and transitions at all times. The actual list of </w:t>
      </w:r>
      <w:r>
        <w:rPr>
          <w:i/>
        </w:rPr>
        <w:t xml:space="preserve">AvailableStates</w:t>
      </w:r>
      <w:r>
        <w:rPr/>
        <w:t xml:space="preserve"> and </w:t>
      </w:r>
      <w:r>
        <w:rPr>
          <w:i/>
        </w:rPr>
        <w:t xml:space="preserve">AvailableTransitions</w:t>
      </w:r>
      <w:r>
        <w:rPr/>
        <w:t xml:space="preserve"> are configured and each instance would be defined by either the end user or the machine builder. The PackML model also includes other meta data such as available mode, current mode, see section </w:t>
      </w:r>
      <w:r>
        <w:fldChar w:fldCharType="begin"/>
      </w:r>
      <w:r>
        <w:instrText xml:space="preserve"> REF Sts_sec_6_3_2 \r \h \* MERGEFORMAT </w:instrText>
      </w:r>
      <w:r>
        <w:fldChar w:fldCharType="separate"/>
      </w:r>
      <w:r>
        <w:rPr/>
        <w:t xml:space="preserve">6.3.2</w:t>
      </w:r>
      <w:r>
        <w:fldChar w:fldCharType="end"/>
      </w:r>
      <w:r>
        <w:rPr/>
        <w:t xml:space="preserve"> for a complete list</w:t>
      </w:r>
    </w:p>
    <w:p>
      <w:pPr>
        <w:pStyle w:val="Heading3"/>
      </w:pPr>
      <w:bookmarkStart w:name="Sts_sec_6_3_2" w:id="74"/>
      <w:r>
        <w:rPr/>
        <w:t xml:space="preserve">PackMLBaseObjectType</w:t>
      </w:r>
      <w:bookmarkEnd w:id="74"/>
    </w:p>
    <w:p>
      <w:pPr>
        <w:pStyle w:val="PARAGRAPH"/>
      </w:pPr>
      <w:r>
        <w:rPr/>
        <w:t xml:space="preserve">The </w:t>
      </w:r>
      <w:r>
        <w:rPr>
          <w:i/>
        </w:rPr>
        <w:t xml:space="preserve">PackMLBaseObjectType</w:t>
      </w:r>
      <w:r>
        <w:rPr/>
        <w:t xml:space="preserve"> defines a base type that can be used with any machine or object. This base type provides all required information for a working PackML system.</w:t>
      </w:r>
    </w:p>
    <w:p>
      <w:pPr>
        <w:pStyle w:val="FIGURE"/>
      </w:pPr>
      <w:r>
        <w:drawing>
          <wp:inline xmlns:wp="http://schemas.openxmlformats.org/drawingml/2006/wordprocessingDrawing" distT="0" distB="0" distL="0" distR="0">
            <wp:extent cx="5759450" cy="4687566"/>
            <wp:effectExtent l="0" t="0" r="0" b="0"/>
            <wp:docPr id="13" name="Figure 13" descr="PackMLBase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pic:nvPicPr>
                  <pic:blipFill>
                    <a:blip r:embed="R21e1ba8da80c41d1"/>
                    <a:stretch>
                      <a:fillRect/>
                    </a:stretch>
                  </pic:blipFill>
                  <pic:spPr>
                    <a:xfrm>
                      <a:off x="0" y="0"/>
                      <a:ext cx="5759450" cy="4687566"/>
                    </a:xfrm>
                    <a:prstGeom prst="rect">
                      <a:avLst/>
                    </a:prstGeom>
                  </pic:spPr>
                </pic:pic>
              </a:graphicData>
            </a:graphic>
          </wp:inline>
        </w:drawing>
      </w:r>
    </w:p>
    <w:p>
      <w:pPr>
        <w:pStyle w:val="FIGURE-title"/>
      </w:pPr>
      <w:bookmarkStart w:name="Sts_fig_11" w:id="75"/>
      <w:r>
        <w:t xml:space="preserve">Figure </w:t>
      </w:r>
      <w:r>
        <w:fldChar w:fldCharType="begin"/>
      </w:r>
      <w:r>
        <w:instrText xml:space="preserve"> SEQ Figure \* ARABIC </w:instrText>
      </w:r>
      <w:r>
        <w:fldChar w:fldCharType="separate"/>
      </w:r>
      <w:r>
        <w:rPr/>
        <w:t xml:space="preserve">11</w:t>
      </w:r>
      <w:r>
        <w:fldChar w:fldCharType="end"/>
      </w:r>
      <w:bookmarkEnd w:id="75"/>
      <w:r>
        <w:t xml:space="preserve"> – </w:t>
      </w:r>
      <w:r>
        <w:rPr/>
        <w:t xml:space="preserve">PackMLBaseObjectType Overview</w:t>
      </w:r>
    </w:p>
    <w:p>
      <w:pPr>
        <w:pStyle w:val="PARAGRAPH"/>
      </w:pPr>
      <w:r>
        <w:fldChar w:fldCharType="begin"/>
      </w:r>
      <w:r>
        <w:instrText xml:space="preserve"> REF Sts_tbl_3 \h \* MERGEFORMAT </w:instrText>
      </w:r>
      <w:r>
        <w:fldChar w:fldCharType="separate"/>
      </w:r>
      <w:r>
        <w:rPr/>
        <w:t xml:space="preserve">Table 3</w:t>
      </w:r>
      <w:r>
        <w:fldChar w:fldCharType="end"/>
      </w:r>
      <w:r>
        <w:rPr/>
        <w:t xml:space="preserve"> formally defines the </w:t>
      </w:r>
      <w:r>
        <w:rPr>
          <w:i/>
        </w:rPr>
        <w:t xml:space="preserve">PackMLBaseObjectType</w:t>
      </w:r>
      <w:r>
        <w:rPr/>
        <w:t xml:space="preserve">.</w:t>
      </w:r>
    </w:p>
    <w:p>
      <w:pPr>
        <w:pStyle w:val="TABLE-title"/>
      </w:pPr>
      <w:bookmarkStart w:name="Sts_tbl_3" w:id="76"/>
      <w:r>
        <w:t xml:space="preserve">Table </w:t>
      </w:r>
      <w:r>
        <w:fldChar w:fldCharType="begin"/>
      </w:r>
      <w:r>
        <w:instrText xml:space="preserve"> SEQ Table \* ARABIC </w:instrText>
      </w:r>
      <w:r>
        <w:fldChar w:fldCharType="separate"/>
      </w:r>
      <w:r>
        <w:rPr/>
        <w:t xml:space="preserve">3</w:t>
      </w:r>
      <w:r>
        <w:fldChar w:fldCharType="end"/>
      </w:r>
      <w:bookmarkEnd w:id="76"/>
      <w:r>
        <w:t xml:space="preserve"> – </w:t>
      </w:r>
      <w:r>
        <w:rPr/>
        <w:t xml:space="preserve">PackMLBaseObjectType Definition</w:t>
      </w:r>
    </w:p>
    <w:tbl>
      <w:tblPr>
        <w:tblStyle w:val="TableGrid"/>
        <w:tblW w:w="9070" w:type="dxa"/>
        <w:tblLayout w:type="fixed"/>
      </w:tblPr>
      <w:tblGrid>
        <w:gridCol w:w="1295"/>
        <w:gridCol w:w="1200"/>
        <w:gridCol w:w="1343"/>
        <w:gridCol w:w="2104"/>
        <w:gridCol w:w="1330"/>
        <w:gridCol w:w="1295"/>
        <w:gridCol w:w="503"/>
      </w:tblGrid>
      <w:tr>
        <w:trPr>
          <w:tblHeader/>
        </w:trPr>
        <w:tc>
          <w:tcPr>
            <w:tcW w:w="1295" w:type="dxa"/>
            <w:vAlign w:val="center"/>
          </w:tcPr>
          <w:p>
            <w:pPr>
              <w:pStyle w:val="TABLE-col-heading"/>
              <w:jc w:val="left"/>
            </w:pPr>
            <w:r>
              <w:rPr/>
              <w:t xml:space="preserve">Attribute</w:t>
            </w:r>
          </w:p>
        </w:tc>
        <w:tc>
          <w:tcPr>
            <w:tcW w:w="7775" w:type="dxa"/>
            <w:gridSpan w:val="6"/>
            <w:vAlign w:val="center"/>
          </w:tcPr>
          <w:p>
            <w:pPr>
              <w:pStyle w:val="TABLE-col-heading"/>
              <w:jc w:val="left"/>
            </w:pPr>
            <w:r>
              <w:rPr/>
              <w:t xml:space="preserve">Value</w:t>
            </w:r>
          </w:p>
        </w:tc>
      </w:tr>
      <w:tr>
        <w:tc>
          <w:tcPr>
            <w:tcW w:w="1295" w:type="dxa"/>
            <w:vAlign w:val="center"/>
          </w:tcPr>
          <w:p>
            <w:pPr>
              <w:pStyle w:val="TABLE-cell"/>
            </w:pPr>
            <w:r>
              <w:rPr/>
              <w:t xml:space="preserve">BrowseName</w:t>
            </w:r>
          </w:p>
        </w:tc>
        <w:tc>
          <w:tcPr>
            <w:tcW w:w="7775" w:type="dxa"/>
            <w:gridSpan w:val="6"/>
            <w:vAlign w:val="center"/>
          </w:tcPr>
          <w:p>
            <w:pPr>
              <w:pStyle w:val="TABLE-cell"/>
            </w:pPr>
            <w:r>
              <w:rPr/>
              <w:t xml:space="preserve">PackMLBaseObjectType</w:t>
            </w:r>
          </w:p>
        </w:tc>
      </w:tr>
      <w:tr>
        <w:tc>
          <w:tcPr>
            <w:tcW w:w="1295" w:type="dxa"/>
            <w:vAlign w:val="center"/>
          </w:tcPr>
          <w:p>
            <w:pPr>
              <w:pStyle w:val="TABLE-cell"/>
            </w:pPr>
            <w:r>
              <w:rPr/>
              <w:t xml:space="preserve">IsAbstract</w:t>
            </w:r>
          </w:p>
        </w:tc>
        <w:tc>
          <w:tcPr>
            <w:tcW w:w="7775" w:type="dxa"/>
            <w:gridSpan w:val="6"/>
            <w:vAlign w:val="center"/>
          </w:tcPr>
          <w:p>
            <w:pPr>
              <w:pStyle w:val="TABLE-cell"/>
            </w:pPr>
            <w:r>
              <w:rPr/>
              <w:t xml:space="preserve">False</w:t>
            </w:r>
          </w:p>
        </w:tc>
      </w:tr>
      <w:tr>
        <w:tc>
          <w:tcPr>
            <w:tcW w:w="1295" w:type="dxa"/>
            <w:vAlign w:val="center"/>
          </w:tcPr>
          <w:p>
            <w:pPr>
              <w:pStyle w:val="TABLE-cell"/>
            </w:pPr>
            <w:r>
              <w:rPr/>
              <w:t xml:space="preserve">Reference</w:t>
            </w:r>
          </w:p>
        </w:tc>
        <w:tc>
          <w:tcPr>
            <w:tcW w:w="1200" w:type="dxa"/>
            <w:vAlign w:val="center"/>
          </w:tcPr>
          <w:p>
            <w:pPr>
              <w:pStyle w:val="TABLE-cell"/>
            </w:pPr>
            <w:r>
              <w:rPr/>
              <w:t xml:space="preserve">Node Class</w:t>
            </w:r>
          </w:p>
        </w:tc>
        <w:tc>
          <w:tcPr>
            <w:tcW w:w="1343" w:type="dxa"/>
            <w:vAlign w:val="center"/>
          </w:tcPr>
          <w:p>
            <w:pPr>
              <w:pStyle w:val="TABLE-cell"/>
            </w:pPr>
            <w:r>
              <w:rPr/>
              <w:t xml:space="preserve">BrowseName</w:t>
            </w:r>
          </w:p>
        </w:tc>
        <w:tc>
          <w:tcPr>
            <w:tcW w:w="2104" w:type="dxa"/>
            <w:vAlign w:val="center"/>
          </w:tcPr>
          <w:p>
            <w:pPr>
              <w:pStyle w:val="TABLE-cell"/>
            </w:pPr>
            <w:r>
              <w:rPr/>
              <w:t xml:space="preserve">DataType</w:t>
            </w:r>
          </w:p>
        </w:tc>
        <w:tc>
          <w:tcPr>
            <w:tcW w:w="1330" w:type="dxa"/>
            <w:vAlign w:val="center"/>
          </w:tcPr>
          <w:p>
            <w:pPr>
              <w:pStyle w:val="TABLE-cell"/>
            </w:pPr>
            <w:r>
              <w:rPr/>
              <w:t xml:space="preserve">TypeDefinition</w:t>
            </w:r>
          </w:p>
        </w:tc>
        <w:tc>
          <w:tcPr>
            <w:tcW w:w="1295" w:type="dxa"/>
            <w:vAlign w:val="center"/>
          </w:tcPr>
          <w:p>
            <w:pPr>
              <w:pStyle w:val="TABLE-cell"/>
            </w:pPr>
            <w:r>
              <w:rPr/>
              <w:t xml:space="preserve">ModellingRule</w:t>
            </w:r>
          </w:p>
        </w:tc>
        <w:tc>
          <w:tcPr>
            <w:tcW w:w="503" w:type="dxa"/>
            <w:vAlign w:val="center"/>
          </w:tcPr>
          <w:p>
            <w:pPr>
              <w:pStyle w:val="TABLE-cell"/>
            </w:pPr>
            <w:r>
              <w:rPr/>
              <w:t xml:space="preserve">RW</w:t>
            </w:r>
          </w:p>
        </w:tc>
      </w:tr>
      <w:tr>
        <w:tc>
          <w:tcPr>
            <w:tcW w:w="9070" w:type="dxa"/>
            <w:gridSpan w:val="7"/>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95" w:type="dxa"/>
            <w:vAlign w:val="center"/>
          </w:tcPr>
          <w:p>
            <w:pPr>
              <w:pStyle w:val="TABLE-cell"/>
            </w:pPr>
            <w:r>
              <w:rPr/>
              <w:t xml:space="preserve">HasProperty</w:t>
            </w:r>
          </w:p>
        </w:tc>
        <w:tc>
          <w:tcPr>
            <w:tcW w:w="1200" w:type="dxa"/>
            <w:vAlign w:val="center"/>
          </w:tcPr>
          <w:p>
            <w:pPr>
              <w:pStyle w:val="TABLE-cell"/>
            </w:pPr>
            <w:r>
              <w:rPr/>
              <w:t xml:space="preserve">Variable</w:t>
            </w:r>
          </w:p>
        </w:tc>
        <w:tc>
          <w:tcPr>
            <w:tcW w:w="1343" w:type="dxa"/>
            <w:vAlign w:val="center"/>
          </w:tcPr>
          <w:p>
            <w:pPr>
              <w:pStyle w:val="TABLE-cell"/>
            </w:pPr>
            <w:r>
              <w:rPr/>
              <w:t xml:space="preserve">TagID</w:t>
            </w:r>
          </w:p>
        </w:tc>
        <w:tc>
          <w:tcPr>
            <w:tcW w:w="2104" w:type="dxa"/>
            <w:vAlign w:val="center"/>
          </w:tcPr>
          <w:p>
            <w:pPr>
              <w:pStyle w:val="TABLE-cell"/>
            </w:pPr>
            <w:r>
              <w:rPr/>
              <w:t xml:space="preserve">String</w:t>
            </w:r>
          </w:p>
        </w:tc>
        <w:tc>
          <w:tcPr>
            <w:tcW w:w="1330" w:type="dxa"/>
            <w:vAlign w:val="center"/>
          </w:tcPr>
          <w:p>
            <w:pPr>
              <w:pStyle w:val="TABLE-cell"/>
            </w:pPr>
            <w:r>
              <w:rPr/>
              <w:t xml:space="preserve">PropertyType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HasProperty</w:t>
            </w:r>
          </w:p>
        </w:tc>
        <w:tc>
          <w:tcPr>
            <w:tcW w:w="1200" w:type="dxa"/>
            <w:vAlign w:val="center"/>
          </w:tcPr>
          <w:p>
            <w:pPr>
              <w:pStyle w:val="TABLE-cell"/>
            </w:pPr>
            <w:r>
              <w:rPr/>
              <w:t xml:space="preserve">Variable</w:t>
            </w:r>
          </w:p>
        </w:tc>
        <w:tc>
          <w:tcPr>
            <w:tcW w:w="1343" w:type="dxa"/>
            <w:vAlign w:val="center"/>
          </w:tcPr>
          <w:p>
            <w:pPr>
              <w:pStyle w:val="TABLE-cell"/>
            </w:pPr>
            <w:r>
              <w:rPr/>
              <w:t xml:space="preserve">PackMLVersion</w:t>
            </w:r>
          </w:p>
        </w:tc>
        <w:tc>
          <w:tcPr>
            <w:tcW w:w="2104" w:type="dxa"/>
            <w:vAlign w:val="center"/>
          </w:tcPr>
          <w:p>
            <w:pPr>
              <w:pStyle w:val="TABLE-cell"/>
            </w:pPr>
            <w:r>
              <w:rPr/>
              <w:t xml:space="preserve">String</w:t>
            </w:r>
          </w:p>
        </w:tc>
        <w:tc>
          <w:tcPr>
            <w:tcW w:w="1330" w:type="dxa"/>
            <w:vAlign w:val="center"/>
          </w:tcPr>
          <w:p>
            <w:pPr>
              <w:pStyle w:val="TABLE-cell"/>
            </w:pPr>
            <w:r>
              <w:rPr/>
              <w:t xml:space="preserve">PropertyType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Object</w:t>
            </w:r>
          </w:p>
        </w:tc>
        <w:tc>
          <w:tcPr>
            <w:tcW w:w="1343" w:type="dxa"/>
            <w:vAlign w:val="center"/>
          </w:tcPr>
          <w:p>
            <w:pPr>
              <w:pStyle w:val="TABLE-cell"/>
            </w:pPr>
            <w:r>
              <w:rPr/>
              <w:t xml:space="preserve">Admin</w:t>
            </w:r>
          </w:p>
        </w:tc>
        <w:tc>
          <w:tcPr>
            <w:tcW w:w="2104" w:type="dxa"/>
            <w:vAlign w:val="center"/>
          </w:tcPr>
          <w:p>
            <w:pPr>
              <w:pStyle w:val="TABLE-cell"/>
            </w:pPr>
          </w:p>
        </w:tc>
        <w:tc>
          <w:tcPr>
            <w:tcW w:w="1330" w:type="dxa"/>
            <w:vAlign w:val="center"/>
          </w:tcPr>
          <w:p>
            <w:pPr>
              <w:pStyle w:val="TABLE-cell"/>
            </w:pPr>
            <w:r>
              <w:rPr/>
              <w:t xml:space="preserve">PackMLAdminObjectType</w:t>
            </w: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Object</w:t>
            </w:r>
          </w:p>
        </w:tc>
        <w:tc>
          <w:tcPr>
            <w:tcW w:w="1343" w:type="dxa"/>
            <w:vAlign w:val="center"/>
          </w:tcPr>
          <w:p>
            <w:pPr>
              <w:pStyle w:val="TABLE-cell"/>
            </w:pPr>
            <w:r>
              <w:rPr/>
              <w:t xml:space="preserve">Status</w:t>
            </w:r>
          </w:p>
        </w:tc>
        <w:tc>
          <w:tcPr>
            <w:tcW w:w="2104" w:type="dxa"/>
            <w:vAlign w:val="center"/>
          </w:tcPr>
          <w:p>
            <w:pPr>
              <w:pStyle w:val="TABLE-cell"/>
            </w:pPr>
          </w:p>
        </w:tc>
        <w:tc>
          <w:tcPr>
            <w:tcW w:w="1330" w:type="dxa"/>
            <w:vAlign w:val="center"/>
          </w:tcPr>
          <w:p>
            <w:pPr>
              <w:pStyle w:val="TABLE-cell"/>
            </w:pPr>
            <w:r>
              <w:rPr/>
              <w:t xml:space="preserve">PackMLStatusObjectType</w:t>
            </w: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Object</w:t>
            </w:r>
          </w:p>
        </w:tc>
        <w:tc>
          <w:tcPr>
            <w:tcW w:w="1343" w:type="dxa"/>
            <w:vAlign w:val="center"/>
          </w:tcPr>
          <w:p>
            <w:pPr>
              <w:pStyle w:val="TABLE-cell"/>
            </w:pPr>
            <w:r>
              <w:rPr/>
              <w:t xml:space="preserve">BaseStateMachine</w:t>
            </w:r>
          </w:p>
        </w:tc>
        <w:tc>
          <w:tcPr>
            <w:tcW w:w="2104" w:type="dxa"/>
            <w:vAlign w:val="center"/>
          </w:tcPr>
          <w:p>
            <w:pPr>
              <w:pStyle w:val="TABLE-cell"/>
            </w:pPr>
          </w:p>
        </w:tc>
        <w:tc>
          <w:tcPr>
            <w:tcW w:w="1330" w:type="dxa"/>
            <w:vAlign w:val="center"/>
          </w:tcPr>
          <w:p>
            <w:pPr>
              <w:pStyle w:val="TABLE-cell"/>
            </w:pPr>
            <w:r>
              <w:rPr/>
              <w:t xml:space="preserve">PackMLBaseStateMachineType</w:t>
            </w: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SetUnitMode</w:t>
            </w:r>
          </w:p>
        </w:tc>
        <w:tc>
          <w:tcPr>
            <w:tcW w:w="2104" w:type="dxa"/>
            <w:vAlign w:val="center"/>
          </w:tcPr>
          <w:p>
            <w:pPr>
              <w:pStyle w:val="TABLE-cell"/>
            </w:pPr>
            <w:r>
              <w:rPr/>
              <w:t xml:space="preserve">Defined in section 6.7.2</w:t>
            </w:r>
          </w:p>
        </w:tc>
        <w:tc>
          <w:tcPr>
            <w:tcW w:w="1330" w:type="dxa"/>
            <w:vAlign w:val="center"/>
          </w:tcPr>
          <w:p>
            <w:pPr>
              <w:pStyle w:val="TABLE-cell"/>
            </w:pP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SetMachSpeed</w:t>
            </w:r>
          </w:p>
        </w:tc>
        <w:tc>
          <w:tcPr>
            <w:tcW w:w="2104" w:type="dxa"/>
            <w:vAlign w:val="center"/>
          </w:tcPr>
          <w:p>
            <w:pPr>
              <w:pStyle w:val="TABLE-cell"/>
            </w:pPr>
            <w:r>
              <w:rPr/>
              <w:t xml:space="preserve">Defined in section 6.7.3</w:t>
            </w:r>
          </w:p>
        </w:tc>
        <w:tc>
          <w:tcPr>
            <w:tcW w:w="1330" w:type="dxa"/>
            <w:vAlign w:val="center"/>
          </w:tcPr>
          <w:p>
            <w:pPr>
              <w:pStyle w:val="TABLE-cell"/>
            </w:pP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SetProduct</w:t>
            </w:r>
          </w:p>
        </w:tc>
        <w:tc>
          <w:tcPr>
            <w:tcW w:w="2104" w:type="dxa"/>
            <w:vAlign w:val="center"/>
          </w:tcPr>
          <w:p>
            <w:pPr>
              <w:pStyle w:val="TABLE-cell"/>
            </w:pPr>
            <w:r>
              <w:rPr/>
              <w:t xml:space="preserve">Defined in section 6.7.4</w:t>
            </w:r>
          </w:p>
        </w:tc>
        <w:tc>
          <w:tcPr>
            <w:tcW w:w="1330" w:type="dxa"/>
            <w:vAlign w:val="center"/>
          </w:tcPr>
          <w:p>
            <w:pPr>
              <w:pStyle w:val="TABLE-cell"/>
            </w:pP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SetParameter</w:t>
            </w:r>
          </w:p>
        </w:tc>
        <w:tc>
          <w:tcPr>
            <w:tcW w:w="2104" w:type="dxa"/>
            <w:vAlign w:val="center"/>
          </w:tcPr>
          <w:p>
            <w:pPr>
              <w:pStyle w:val="TABLE-cell"/>
            </w:pPr>
            <w:r>
              <w:rPr/>
              <w:t xml:space="preserve">Defined in section 6.7.17</w:t>
            </w:r>
          </w:p>
        </w:tc>
        <w:tc>
          <w:tcPr>
            <w:tcW w:w="1330" w:type="dxa"/>
            <w:vAlign w:val="center"/>
          </w:tcPr>
          <w:p>
            <w:pPr>
              <w:pStyle w:val="TABLE-cell"/>
            </w:pP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RemoteCommand</w:t>
            </w:r>
          </w:p>
        </w:tc>
        <w:tc>
          <w:tcPr>
            <w:tcW w:w="2104" w:type="dxa"/>
            <w:vAlign w:val="center"/>
          </w:tcPr>
          <w:p>
            <w:pPr>
              <w:pStyle w:val="TABLE-cell"/>
            </w:pPr>
            <w:r>
              <w:rPr/>
              <w:t xml:space="preserve">Defined in section 6.7.15</w:t>
            </w:r>
          </w:p>
        </w:tc>
        <w:tc>
          <w:tcPr>
            <w:tcW w:w="1330" w:type="dxa"/>
            <w:vAlign w:val="center"/>
          </w:tcPr>
          <w:p>
            <w:pPr>
              <w:pStyle w:val="TABLE-cell"/>
            </w:pPr>
          </w:p>
        </w:tc>
        <w:tc>
          <w:tcPr>
            <w:tcW w:w="1798" w:type="dxa"/>
            <w:gridSpan w:val="2"/>
            <w:vAlign w:val="center"/>
          </w:tcPr>
          <w:p>
            <w:pPr>
              <w:pStyle w:val="TABLE-cell"/>
            </w:pPr>
            <w:r>
              <w:rPr/>
              <w:t xml:space="preserve">Optional</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SetInterlock</w:t>
            </w:r>
          </w:p>
        </w:tc>
        <w:tc>
          <w:tcPr>
            <w:tcW w:w="2104" w:type="dxa"/>
            <w:vAlign w:val="center"/>
          </w:tcPr>
          <w:p>
            <w:pPr>
              <w:pStyle w:val="TABLE-cell"/>
            </w:pPr>
            <w:r>
              <w:rPr/>
              <w:t xml:space="preserve">Defined in section 6.7.16</w:t>
            </w:r>
          </w:p>
        </w:tc>
        <w:tc>
          <w:tcPr>
            <w:tcW w:w="1330" w:type="dxa"/>
            <w:vAlign w:val="center"/>
          </w:tcPr>
          <w:p>
            <w:pPr>
              <w:pStyle w:val="TABLE-cell"/>
            </w:pPr>
          </w:p>
        </w:tc>
        <w:tc>
          <w:tcPr>
            <w:tcW w:w="1798" w:type="dxa"/>
            <w:gridSpan w:val="2"/>
            <w:vAlign w:val="center"/>
          </w:tcPr>
          <w:p>
            <w:pPr>
              <w:pStyle w:val="TABLE-cell"/>
            </w:pPr>
            <w:r>
              <w:rPr/>
              <w:t xml:space="preserve">Optional</w:t>
            </w:r>
          </w:p>
        </w:tc>
      </w:tr>
    </w:tbl>
    <w:p>
      <w:pPr>
        <w:pStyle w:val="spacer"/>
      </w:pPr>
    </w:p>
    <w:p>
      <w:pPr>
        <w:pStyle w:val="PARAGRAPH"/>
      </w:pPr>
      <w:r>
        <w:rPr/>
        <w:t xml:space="preserve">TagID - provide an additional field in which an associated name (third party cross reference or other string) can be stored.  It can also be an additional name used to identify this PackML System.</w:t>
      </w:r>
    </w:p>
    <w:p>
      <w:pPr>
        <w:pStyle w:val="PARAGRAPH"/>
      </w:pPr>
      <w:r>
        <w:rPr>
          <w:i/>
        </w:rPr>
        <w:t xml:space="preserve">PackMLVersion</w:t>
      </w:r>
      <w:r>
        <w:rPr/>
        <w:t xml:space="preserve"> - provides the version of the supported OMAC PackML</w:t>
      </w:r>
    </w:p>
    <w:p>
      <w:pPr>
        <w:pStyle w:val="PARAGRAPH"/>
      </w:pPr>
      <w:r>
        <w:rPr>
          <w:i/>
        </w:rPr>
        <w:t xml:space="preserve">Admin</w:t>
      </w:r>
      <w:r>
        <w:rPr/>
        <w:t xml:space="preserve"> provides administrative functionality required for the PackML OPC UA server. It is defined in section </w:t>
      </w:r>
      <w:r>
        <w:fldChar w:fldCharType="begin"/>
      </w:r>
      <w:r>
        <w:instrText xml:space="preserve"> REF Sts_sec_6_3_4 \r \h \* MERGEFORMAT </w:instrText>
      </w:r>
      <w:r>
        <w:fldChar w:fldCharType="separate"/>
      </w:r>
      <w:r>
        <w:rPr/>
        <w:t xml:space="preserve">6.3.4</w:t>
      </w:r>
      <w:r>
        <w:fldChar w:fldCharType="end"/>
      </w:r>
      <w:r>
        <w:rPr/>
        <w:t xml:space="preserve">. The administrative functionality exposed by this </w:t>
      </w:r>
      <w:r>
        <w:rPr>
          <w:i/>
        </w:rPr>
        <w:t xml:space="preserve">Object</w:t>
      </w:r>
      <w:r>
        <w:rPr/>
        <w:t xml:space="preserve"> should be restricted to only users with administrative rights.</w:t>
      </w:r>
    </w:p>
    <w:p>
      <w:pPr>
        <w:pStyle w:val="PARAGRAPH"/>
      </w:pPr>
      <w:r>
        <w:rPr>
          <w:i/>
        </w:rPr>
        <w:t xml:space="preserve">Status</w:t>
      </w:r>
      <w:r>
        <w:rPr/>
        <w:t xml:space="preserve"> provides the status information required for a PackML OPC UA </w:t>
      </w:r>
      <w:r>
        <w:rPr>
          <w:i/>
        </w:rPr>
        <w:t xml:space="preserve">Server</w:t>
      </w:r>
      <w:r>
        <w:rPr/>
        <w:t xml:space="preserve">. It is defined in section </w:t>
      </w:r>
      <w:r>
        <w:fldChar w:fldCharType="begin"/>
      </w:r>
      <w:r>
        <w:instrText xml:space="preserve"> REF Sts_sec_6_3_3 \r \h \* MERGEFORMAT </w:instrText>
      </w:r>
      <w:r>
        <w:fldChar w:fldCharType="separate"/>
      </w:r>
      <w:r>
        <w:rPr/>
        <w:t xml:space="preserve">6.3.3</w:t>
      </w:r>
      <w:r>
        <w:fldChar w:fldCharType="end"/>
      </w:r>
      <w:r>
        <w:rPr/>
        <w:t xml:space="preserve">.</w:t>
      </w:r>
    </w:p>
    <w:p>
      <w:pPr>
        <w:pStyle w:val="PARAGRAPH"/>
      </w:pPr>
      <w:r>
        <w:rPr>
          <w:i/>
        </w:rPr>
        <w:t xml:space="preserve">SetUnitMode</w:t>
      </w:r>
      <w:r>
        <w:rPr/>
        <w:t xml:space="preserve"> method allows an OPC UA </w:t>
      </w:r>
      <w:r>
        <w:rPr>
          <w:i/>
        </w:rPr>
        <w:t xml:space="preserve">Client</w:t>
      </w:r>
      <w:r>
        <w:rPr/>
        <w:t xml:space="preserve"> to change the mode of the machine. The available modes are part of the supported Modes and a </w:t>
      </w:r>
      <w:r>
        <w:rPr>
          <w:i/>
        </w:rPr>
        <w:t xml:space="preserve">Client</w:t>
      </w:r>
      <w:r>
        <w:rPr/>
        <w:t xml:space="preserve"> can pass any of the values listed. The </w:t>
      </w:r>
      <w:r>
        <w:rPr>
          <w:i/>
        </w:rPr>
        <w:t xml:space="preserve">Method</w:t>
      </w:r>
      <w:r>
        <w:rPr/>
        <w:t xml:space="preserve"> may return an error if the requested mode is not allowed based on either the current mode of the machine or the state of the machine. For additional details see the definition of the </w:t>
      </w:r>
      <w:r>
        <w:rPr>
          <w:i/>
        </w:rPr>
        <w:t xml:space="preserve">SetUnitMode</w:t>
      </w:r>
      <w:r>
        <w:rPr/>
        <w:t xml:space="preserve"> </w:t>
      </w:r>
      <w:r>
        <w:rPr>
          <w:i/>
        </w:rPr>
        <w:t xml:space="preserve">Method</w:t>
      </w:r>
      <w:r>
        <w:rPr/>
        <w:t xml:space="preserve"> in </w:t>
      </w:r>
      <w:r>
        <w:fldChar w:fldCharType="begin"/>
      </w:r>
      <w:r>
        <w:instrText xml:space="preserve"> REF Sts_sec_6_7_2 \r \h \* MERGEFORMAT </w:instrText>
      </w:r>
      <w:r>
        <w:fldChar w:fldCharType="separate"/>
      </w:r>
      <w:r>
        <w:rPr/>
        <w:t xml:space="preserve">6.7.2</w:t>
      </w:r>
      <w:r>
        <w:fldChar w:fldCharType="end"/>
      </w:r>
    </w:p>
    <w:p>
      <w:pPr>
        <w:pStyle w:val="PARAGRAPH"/>
      </w:pPr>
      <w:r>
        <w:rPr>
          <w:i/>
        </w:rPr>
        <w:t xml:space="preserve">SetMachSpeed</w:t>
      </w:r>
      <w:r>
        <w:rPr/>
        <w:t xml:space="preserve"> </w:t>
      </w:r>
      <w:r>
        <w:rPr>
          <w:i/>
        </w:rPr>
        <w:t xml:space="preserve">Method</w:t>
      </w:r>
      <w:r>
        <w:rPr/>
        <w:t xml:space="preserve"> allows a </w:t>
      </w:r>
      <w:r>
        <w:rPr>
          <w:i/>
        </w:rPr>
        <w:t xml:space="preserve">Client</w:t>
      </w:r>
      <w:r>
        <w:rPr/>
        <w:t xml:space="preserve"> to change the machine speed.</w:t>
      </w:r>
    </w:p>
    <w:p>
      <w:pPr>
        <w:pStyle w:val="PARAGRAPH"/>
      </w:pPr>
      <w:r>
        <w:rPr>
          <w:i/>
        </w:rPr>
        <w:t xml:space="preserve">SetProduct</w:t>
      </w:r>
      <w:r>
        <w:rPr/>
        <w:t xml:space="preserve"> </w:t>
      </w:r>
      <w:r>
        <w:rPr>
          <w:i/>
        </w:rPr>
        <w:t xml:space="preserve">Method</w:t>
      </w:r>
      <w:r>
        <w:rPr/>
        <w:t xml:space="preserve"> allows a </w:t>
      </w:r>
      <w:r>
        <w:rPr>
          <w:i/>
        </w:rPr>
        <w:t xml:space="preserve">Client</w:t>
      </w:r>
      <w:r>
        <w:rPr/>
        <w:t xml:space="preserve"> to change the product(s) and the </w:t>
      </w:r>
      <w:r>
        <w:rPr>
          <w:i/>
        </w:rPr>
        <w:t xml:space="preserve">ProcessVariables</w:t>
      </w:r>
      <w:r>
        <w:rPr/>
        <w:t xml:space="preserve"> and Ingredients. For additional details see the definition of </w:t>
      </w:r>
      <w:r>
        <w:rPr>
          <w:i/>
        </w:rPr>
        <w:t xml:space="preserve">SetProduct</w:t>
      </w:r>
      <w:r>
        <w:rPr/>
        <w:t xml:space="preserve"> </w:t>
      </w:r>
      <w:r>
        <w:rPr>
          <w:i/>
        </w:rPr>
        <w:t xml:space="preserve">Method</w:t>
      </w:r>
      <w:r>
        <w:rPr/>
        <w:t xml:space="preserve"> in </w:t>
      </w:r>
      <w:r>
        <w:fldChar w:fldCharType="begin"/>
      </w:r>
      <w:r>
        <w:instrText xml:space="preserve"> REF Sts_sec_6_7_4 \r \h \* MERGEFORMAT </w:instrText>
      </w:r>
      <w:r>
        <w:fldChar w:fldCharType="separate"/>
      </w:r>
      <w:r>
        <w:rPr/>
        <w:t xml:space="preserve">6.7.4</w:t>
      </w:r>
      <w:r>
        <w:fldChar w:fldCharType="end"/>
      </w:r>
      <w:r>
        <w:rPr/>
        <w:t xml:space="preserve">.</w:t>
      </w:r>
    </w:p>
    <w:p>
      <w:pPr>
        <w:pStyle w:val="PARAGRAPH"/>
      </w:pPr>
      <w:r>
        <w:rPr>
          <w:i/>
        </w:rPr>
        <w:t xml:space="preserve">SetParameter</w:t>
      </w:r>
      <w:r>
        <w:rPr/>
        <w:t xml:space="preserve"> </w:t>
      </w:r>
      <w:r>
        <w:rPr>
          <w:i/>
        </w:rPr>
        <w:t xml:space="preserve">Method</w:t>
      </w:r>
      <w:r>
        <w:rPr/>
        <w:t xml:space="preserve"> allows a </w:t>
      </w:r>
      <w:r>
        <w:rPr>
          <w:i/>
        </w:rPr>
        <w:t xml:space="preserve">Client</w:t>
      </w:r>
      <w:r>
        <w:rPr/>
        <w:t xml:space="preserve"> to set the parameters for the machine. For additional details see the definition of SetParameter </w:t>
      </w:r>
      <w:r>
        <w:rPr>
          <w:i/>
        </w:rPr>
        <w:t xml:space="preserve">Method</w:t>
      </w:r>
      <w:r>
        <w:rPr/>
        <w:t xml:space="preserve"> in </w:t>
      </w:r>
      <w:r>
        <w:fldChar w:fldCharType="begin"/>
      </w:r>
      <w:r>
        <w:instrText xml:space="preserve"> REF Sts_sec_6_7_17 \r \h \* MERGEFORMAT </w:instrText>
      </w:r>
      <w:r>
        <w:fldChar w:fldCharType="separate"/>
      </w:r>
      <w:r>
        <w:rPr/>
        <w:t xml:space="preserve">6.7.17</w:t>
      </w:r>
      <w:r>
        <w:fldChar w:fldCharType="end"/>
      </w:r>
      <w:r>
        <w:rPr/>
        <w:t xml:space="preserve">.</w:t>
      </w:r>
    </w:p>
    <w:p>
      <w:pPr>
        <w:pStyle w:val="PARAGRAPH"/>
      </w:pPr>
      <w:r>
        <w:rPr>
          <w:i/>
        </w:rPr>
        <w:t xml:space="preserve">RemoteCommand</w:t>
      </w:r>
      <w:r>
        <w:rPr/>
        <w:t xml:space="preserve"> </w:t>
      </w:r>
      <w:r>
        <w:rPr>
          <w:i/>
        </w:rPr>
        <w:t xml:space="preserve">Method</w:t>
      </w:r>
      <w:r>
        <w:rPr/>
        <w:t xml:space="preserve"> allows a </w:t>
      </w:r>
      <w:r>
        <w:rPr>
          <w:i/>
        </w:rPr>
        <w:t xml:space="preserve">Client</w:t>
      </w:r>
      <w:r>
        <w:rPr/>
        <w:t xml:space="preserve"> to send a command to the UA </w:t>
      </w:r>
      <w:r>
        <w:rPr>
          <w:i/>
        </w:rPr>
        <w:t xml:space="preserve">Server</w:t>
      </w:r>
      <w:r>
        <w:rPr/>
        <w:t xml:space="preserve"> that is to be passed to the PackML </w:t>
      </w:r>
      <w:r>
        <w:rPr>
          <w:i/>
        </w:rPr>
        <w:t xml:space="preserve">Server</w:t>
      </w:r>
      <w:r>
        <w:rPr/>
        <w:t xml:space="preserve"> and or upstream or downstream </w:t>
      </w:r>
      <w:r>
        <w:rPr>
          <w:i/>
        </w:rPr>
        <w:t xml:space="preserve">Servers</w:t>
      </w:r>
      <w:r>
        <w:rPr/>
        <w:t xml:space="preserve">. Parameters sent to the Remote system are typically used in the EXECUTE and STARTING states for a production task. With the restriction that </w:t>
      </w:r>
      <w:r>
        <w:rPr>
          <w:i/>
        </w:rPr>
        <w:t xml:space="preserve">RemoteCommand</w:t>
      </w:r>
      <w:r>
        <w:rPr/>
        <w:t xml:space="preserve"> Parameter Values are limited to REAL values. For additional details see the definition of the </w:t>
      </w:r>
      <w:r>
        <w:rPr>
          <w:i/>
        </w:rPr>
        <w:t xml:space="preserve">RemoteCommand</w:t>
      </w:r>
      <w:r>
        <w:rPr/>
        <w:t xml:space="preserve"> </w:t>
      </w:r>
      <w:r>
        <w:rPr>
          <w:i/>
        </w:rPr>
        <w:t xml:space="preserve">Method</w:t>
      </w:r>
      <w:r>
        <w:rPr/>
        <w:t xml:space="preserve"> in </w:t>
      </w:r>
      <w:r>
        <w:fldChar w:fldCharType="begin"/>
      </w:r>
      <w:r>
        <w:instrText xml:space="preserve"> REF Sts_sec_6_7_15 \r \h \* MERGEFORMAT </w:instrText>
      </w:r>
      <w:r>
        <w:fldChar w:fldCharType="separate"/>
      </w:r>
      <w:r>
        <w:rPr/>
        <w:t xml:space="preserve">6.7.15</w:t>
      </w:r>
      <w:r>
        <w:fldChar w:fldCharType="end"/>
      </w:r>
    </w:p>
    <w:p>
      <w:pPr>
        <w:pStyle w:val="PARAGRAPH"/>
      </w:pPr>
      <w:r>
        <w:rPr/>
        <w:t xml:space="preserve">SetInterlock method allows a </w:t>
      </w:r>
      <w:r>
        <w:rPr>
          <w:i/>
        </w:rPr>
        <w:t xml:space="preserve">Client</w:t>
      </w:r>
      <w:r>
        <w:rPr/>
        <w:t xml:space="preserve"> to set one of the interlocks associated with the system.  For additional details see the definition of the SetInterlock </w:t>
      </w:r>
      <w:r>
        <w:rPr>
          <w:i/>
        </w:rPr>
        <w:t xml:space="preserve">Method</w:t>
      </w:r>
      <w:r>
        <w:rPr/>
        <w:t xml:space="preserve"> in </w:t>
      </w:r>
      <w:r>
        <w:fldChar w:fldCharType="begin"/>
      </w:r>
      <w:r>
        <w:instrText xml:space="preserve"> REF Sts_sec_6_7_16 \r \h \* MERGEFORMAT </w:instrText>
      </w:r>
      <w:r>
        <w:fldChar w:fldCharType="separate"/>
      </w:r>
      <w:r>
        <w:rPr/>
        <w:t xml:space="preserve">6.7.16</w:t>
      </w:r>
      <w:r>
        <w:fldChar w:fldCharType="end"/>
      </w:r>
    </w:p>
    <w:p>
      <w:pPr>
        <w:pStyle w:val="Heading3"/>
      </w:pPr>
      <w:bookmarkStart w:name="Sts_sec_6_3_3" w:id="77"/>
      <w:r>
        <w:rPr/>
        <w:t xml:space="preserve">PackMLStatusObjectType</w:t>
      </w:r>
      <w:bookmarkEnd w:id="77"/>
    </w:p>
    <w:p>
      <w:pPr>
        <w:pStyle w:val="PARAGRAPH"/>
      </w:pPr>
      <w:r>
        <w:rPr/>
        <w:t xml:space="preserve">The </w:t>
      </w:r>
      <w:r>
        <w:rPr>
          <w:i/>
        </w:rPr>
        <w:t xml:space="preserve">PackMLStatusObjectType</w:t>
      </w:r>
      <w:r>
        <w:rPr/>
        <w:t xml:space="preserve"> defines an </w:t>
      </w:r>
      <w:r>
        <w:rPr>
          <w:i/>
        </w:rPr>
        <w:t xml:space="preserve">ObjectType</w:t>
      </w:r>
      <w:r>
        <w:rPr/>
        <w:t xml:space="preserve"> that is used to group all of the status information that is part of the PackML information model. It is illustrated in </w:t>
      </w:r>
      <w:r>
        <w:fldChar w:fldCharType="begin"/>
      </w:r>
      <w:r>
        <w:instrText xml:space="preserve"> REF Sts_fig_12 \h \* MERGEFORMAT </w:instrText>
      </w:r>
      <w:r>
        <w:fldChar w:fldCharType="separate"/>
      </w:r>
      <w:r>
        <w:rPr/>
        <w:t xml:space="preserve">Figure 12</w:t>
      </w:r>
      <w:r>
        <w:fldChar w:fldCharType="end"/>
      </w:r>
    </w:p>
    <w:p>
      <w:pPr>
        <w:pStyle w:val="FIGURE"/>
      </w:pPr>
      <w:r>
        <w:drawing>
          <wp:inline xmlns:wp="http://schemas.openxmlformats.org/drawingml/2006/wordprocessingDrawing" distT="0" distB="0" distL="0" distR="0">
            <wp:extent cx="5759450" cy="5075109"/>
            <wp:effectExtent l="0" t="0" r="0" b="0"/>
            <wp:docPr id="14" name="Figure 14" descr="PackMLStatus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pic:nvPicPr>
                  <pic:blipFill>
                    <a:blip r:embed="Rd6532e4bf62c467a"/>
                    <a:stretch>
                      <a:fillRect/>
                    </a:stretch>
                  </pic:blipFill>
                  <pic:spPr>
                    <a:xfrm>
                      <a:off x="0" y="0"/>
                      <a:ext cx="5759450" cy="5075109"/>
                    </a:xfrm>
                    <a:prstGeom prst="rect">
                      <a:avLst/>
                    </a:prstGeom>
                  </pic:spPr>
                </pic:pic>
              </a:graphicData>
            </a:graphic>
          </wp:inline>
        </w:drawing>
      </w:r>
    </w:p>
    <w:p>
      <w:pPr>
        <w:pStyle w:val="FIGURE-title"/>
      </w:pPr>
      <w:bookmarkStart w:name="Sts_fig_12" w:id="78"/>
      <w:r>
        <w:t xml:space="preserve">Figure </w:t>
      </w:r>
      <w:r>
        <w:fldChar w:fldCharType="begin"/>
      </w:r>
      <w:r>
        <w:instrText xml:space="preserve"> SEQ Figure \* ARABIC </w:instrText>
      </w:r>
      <w:r>
        <w:fldChar w:fldCharType="separate"/>
      </w:r>
      <w:r>
        <w:rPr/>
        <w:t xml:space="preserve">12</w:t>
      </w:r>
      <w:r>
        <w:fldChar w:fldCharType="end"/>
      </w:r>
      <w:bookmarkEnd w:id="78"/>
      <w:r>
        <w:t xml:space="preserve"> – </w:t>
      </w:r>
      <w:r>
        <w:rPr/>
        <w:t xml:space="preserve">PackMLStatusObjectType Overview</w:t>
      </w:r>
    </w:p>
    <w:p>
      <w:pPr>
        <w:pStyle w:val="PARAGRAPH"/>
      </w:pPr>
      <w:r>
        <w:fldChar w:fldCharType="begin"/>
      </w:r>
      <w:r>
        <w:instrText xml:space="preserve"> REF Sts_tbl_4 \h \* MERGEFORMAT </w:instrText>
      </w:r>
      <w:r>
        <w:fldChar w:fldCharType="separate"/>
      </w:r>
      <w:r>
        <w:rPr/>
        <w:t xml:space="preserve">Table 4</w:t>
      </w:r>
      <w:r>
        <w:fldChar w:fldCharType="end"/>
      </w:r>
      <w:r>
        <w:rPr/>
        <w:t xml:space="preserve"> formally defines the </w:t>
      </w:r>
      <w:r>
        <w:rPr>
          <w:i/>
        </w:rPr>
        <w:t xml:space="preserve">PackMLStatusObjectType</w:t>
      </w:r>
      <w:r>
        <w:rPr/>
        <w:t xml:space="preserve">.</w:t>
      </w:r>
    </w:p>
    <w:p>
      <w:pPr>
        <w:pStyle w:val="TABLE-title"/>
      </w:pPr>
      <w:bookmarkStart w:name="Sts_tbl_4" w:id="79"/>
      <w:r>
        <w:t xml:space="preserve">Table </w:t>
      </w:r>
      <w:r>
        <w:fldChar w:fldCharType="begin"/>
      </w:r>
      <w:r>
        <w:instrText xml:space="preserve"> SEQ Table \* ARABIC </w:instrText>
      </w:r>
      <w:r>
        <w:fldChar w:fldCharType="separate"/>
      </w:r>
      <w:r>
        <w:rPr/>
        <w:t xml:space="preserve">4</w:t>
      </w:r>
      <w:r>
        <w:fldChar w:fldCharType="end"/>
      </w:r>
      <w:bookmarkEnd w:id="79"/>
      <w:r>
        <w:t xml:space="preserve"> – </w:t>
      </w:r>
      <w:r>
        <w:rPr/>
        <w:t xml:space="preserve">PackMLStatusObjectType Definition</w:t>
      </w:r>
    </w:p>
    <w:tbl>
      <w:tblPr>
        <w:tblStyle w:val="TableGrid"/>
        <w:tblW w:w="9070" w:type="dxa"/>
        <w:tblLayout w:type="fixed"/>
      </w:tblPr>
      <w:tblGrid>
        <w:gridCol w:w="1295"/>
        <w:gridCol w:w="1200"/>
        <w:gridCol w:w="1817"/>
        <w:gridCol w:w="1406"/>
        <w:gridCol w:w="1577"/>
        <w:gridCol w:w="1295"/>
        <w:gridCol w:w="480"/>
      </w:tblGrid>
      <w:tr>
        <w:trPr>
          <w:tblHeader/>
        </w:trPr>
        <w:tc>
          <w:tcPr>
            <w:tcW w:w="1295" w:type="dxa"/>
            <w:vAlign w:val="center"/>
          </w:tcPr>
          <w:p>
            <w:pPr>
              <w:pStyle w:val="TABLE-col-heading"/>
              <w:jc w:val="left"/>
            </w:pPr>
            <w:r>
              <w:rPr/>
              <w:t xml:space="preserve">Attribute</w:t>
            </w:r>
          </w:p>
        </w:tc>
        <w:tc>
          <w:tcPr>
            <w:tcW w:w="7775" w:type="dxa"/>
            <w:gridSpan w:val="6"/>
            <w:vAlign w:val="center"/>
          </w:tcPr>
          <w:p>
            <w:pPr>
              <w:pStyle w:val="TABLE-col-heading"/>
              <w:jc w:val="left"/>
            </w:pPr>
            <w:r>
              <w:rPr/>
              <w:t xml:space="preserve">Value</w:t>
            </w:r>
          </w:p>
        </w:tc>
      </w:tr>
      <w:tr>
        <w:tc>
          <w:tcPr>
            <w:tcW w:w="1295" w:type="dxa"/>
            <w:vAlign w:val="center"/>
          </w:tcPr>
          <w:p>
            <w:pPr>
              <w:pStyle w:val="TABLE-cell"/>
            </w:pPr>
            <w:r>
              <w:rPr/>
              <w:t xml:space="preserve">BrowseName</w:t>
            </w:r>
          </w:p>
        </w:tc>
        <w:tc>
          <w:tcPr>
            <w:tcW w:w="7775" w:type="dxa"/>
            <w:gridSpan w:val="6"/>
            <w:vAlign w:val="center"/>
          </w:tcPr>
          <w:p>
            <w:pPr>
              <w:pStyle w:val="TABLE-cell"/>
            </w:pPr>
            <w:r>
              <w:rPr/>
              <w:t xml:space="preserve">PackMLStatusObjectType</w:t>
            </w:r>
          </w:p>
        </w:tc>
      </w:tr>
      <w:tr>
        <w:tc>
          <w:tcPr>
            <w:tcW w:w="1295" w:type="dxa"/>
            <w:vAlign w:val="center"/>
          </w:tcPr>
          <w:p>
            <w:pPr>
              <w:pStyle w:val="TABLE-cell"/>
            </w:pPr>
            <w:r>
              <w:rPr/>
              <w:t xml:space="preserve">IsAbstract</w:t>
            </w:r>
          </w:p>
        </w:tc>
        <w:tc>
          <w:tcPr>
            <w:tcW w:w="7775" w:type="dxa"/>
            <w:gridSpan w:val="6"/>
            <w:vAlign w:val="center"/>
          </w:tcPr>
          <w:p>
            <w:pPr>
              <w:pStyle w:val="TABLE-cell"/>
            </w:pPr>
            <w:r>
              <w:rPr/>
              <w:t xml:space="preserve">False</w:t>
            </w:r>
          </w:p>
        </w:tc>
      </w:tr>
      <w:tr>
        <w:tc>
          <w:tcPr>
            <w:tcW w:w="1295" w:type="dxa"/>
            <w:vAlign w:val="center"/>
          </w:tcPr>
          <w:p>
            <w:pPr>
              <w:pStyle w:val="TABLE-cell"/>
            </w:pPr>
            <w:r>
              <w:rPr/>
              <w:t xml:space="preserve">Reference</w:t>
            </w:r>
          </w:p>
        </w:tc>
        <w:tc>
          <w:tcPr>
            <w:tcW w:w="1200" w:type="dxa"/>
            <w:vAlign w:val="center"/>
          </w:tcPr>
          <w:p>
            <w:pPr>
              <w:pStyle w:val="TABLE-cell"/>
            </w:pPr>
            <w:r>
              <w:rPr/>
              <w:t xml:space="preserve">Node Class</w:t>
            </w:r>
          </w:p>
        </w:tc>
        <w:tc>
          <w:tcPr>
            <w:tcW w:w="1817" w:type="dxa"/>
            <w:vAlign w:val="center"/>
          </w:tcPr>
          <w:p>
            <w:pPr>
              <w:pStyle w:val="TABLE-cell"/>
            </w:pPr>
            <w:r>
              <w:rPr/>
              <w:t xml:space="preserve">BrowseName</w:t>
            </w:r>
          </w:p>
        </w:tc>
        <w:tc>
          <w:tcPr>
            <w:tcW w:w="1406" w:type="dxa"/>
            <w:vAlign w:val="center"/>
          </w:tcPr>
          <w:p>
            <w:pPr>
              <w:pStyle w:val="TABLE-cell"/>
            </w:pPr>
            <w:r>
              <w:rPr/>
              <w:t xml:space="preserve">DataType</w:t>
            </w:r>
          </w:p>
        </w:tc>
        <w:tc>
          <w:tcPr>
            <w:tcW w:w="1577" w:type="dxa"/>
            <w:vAlign w:val="center"/>
          </w:tcPr>
          <w:p>
            <w:pPr>
              <w:pStyle w:val="TABLE-cell"/>
            </w:pPr>
            <w:r>
              <w:rPr/>
              <w:t xml:space="preserve">TypeDefinition</w:t>
            </w:r>
          </w:p>
        </w:tc>
        <w:tc>
          <w:tcPr>
            <w:tcW w:w="1295" w:type="dxa"/>
            <w:vAlign w:val="center"/>
          </w:tcPr>
          <w:p>
            <w:pPr>
              <w:pStyle w:val="TABLE-cell"/>
            </w:pPr>
            <w:r>
              <w:rPr/>
              <w:t xml:space="preserve">ModellingRule</w:t>
            </w:r>
          </w:p>
        </w:tc>
        <w:tc>
          <w:tcPr>
            <w:tcW w:w="480" w:type="dxa"/>
            <w:vAlign w:val="center"/>
          </w:tcPr>
          <w:p>
            <w:pPr>
              <w:pStyle w:val="TABLE-cell"/>
            </w:pPr>
            <w:r>
              <w:rPr/>
              <w:t xml:space="preserve">RW</w:t>
            </w:r>
          </w:p>
        </w:tc>
      </w:tr>
      <w:tr>
        <w:tc>
          <w:tcPr>
            <w:tcW w:w="9070" w:type="dxa"/>
            <w:gridSpan w:val="7"/>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UnitModeRequested</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HasProperty</w:t>
            </w:r>
          </w:p>
        </w:tc>
        <w:tc>
          <w:tcPr>
            <w:tcW w:w="1200" w:type="dxa"/>
            <w:vAlign w:val="center"/>
          </w:tcPr>
          <w:p>
            <w:pPr>
              <w:pStyle w:val="TABLE-cell"/>
            </w:pPr>
            <w:r>
              <w:rPr/>
              <w:t xml:space="preserve">Variable</w:t>
            </w:r>
          </w:p>
        </w:tc>
        <w:tc>
          <w:tcPr>
            <w:tcW w:w="1817" w:type="dxa"/>
            <w:vAlign w:val="center"/>
          </w:tcPr>
          <w:p>
            <w:pPr>
              <w:pStyle w:val="TABLE-cell"/>
            </w:pPr>
            <w:r>
              <w:rPr/>
              <w:t xml:space="preserve">UnitSupportedModes</w:t>
            </w:r>
          </w:p>
        </w:tc>
        <w:tc>
          <w:tcPr>
            <w:tcW w:w="1406" w:type="dxa"/>
            <w:vAlign w:val="center"/>
          </w:tcPr>
          <w:p>
            <w:pPr>
              <w:pStyle w:val="TABLE-cell"/>
            </w:pPr>
            <w:r>
              <w:rPr/>
              <w:t xml:space="preserve">NodeId</w:t>
            </w:r>
          </w:p>
        </w:tc>
        <w:tc>
          <w:tcPr>
            <w:tcW w:w="1577" w:type="dxa"/>
            <w:vAlign w:val="center"/>
          </w:tcPr>
          <w:p>
            <w:pPr>
              <w:pStyle w:val="TABLE-cell"/>
            </w:pPr>
            <w:r>
              <w:rPr/>
              <w:t xml:space="preserve">PropertyType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UnitModeCurrent</w:t>
            </w:r>
          </w:p>
        </w:tc>
        <w:tc>
          <w:tcPr>
            <w:tcW w:w="1406" w:type="dxa"/>
            <w:vAlign w:val="center"/>
          </w:tcPr>
          <w:p>
            <w:pPr>
              <w:pStyle w:val="TABLE-cell"/>
            </w:pPr>
            <w:r>
              <w:rPr/>
              <w:t xml:space="preserve">Enumeration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UnitModeChangeInProcess</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StateRequested</w:t>
            </w:r>
          </w:p>
        </w:tc>
        <w:tc>
          <w:tcPr>
            <w:tcW w:w="1406" w:type="dxa"/>
            <w:vAlign w:val="center"/>
          </w:tcPr>
          <w:p>
            <w:pPr>
              <w:pStyle w:val="TABLE-cell"/>
            </w:pPr>
            <w:r>
              <w:rPr/>
              <w:t xml:space="preserve">Int32</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StateChangeInProcess</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MachSpeed</w:t>
            </w:r>
          </w:p>
        </w:tc>
        <w:tc>
          <w:tcPr>
            <w:tcW w:w="1406" w:type="dxa"/>
            <w:vAlign w:val="center"/>
          </w:tcPr>
          <w:p>
            <w:pPr>
              <w:pStyle w:val="TABLE-cell"/>
            </w:pPr>
            <w:r>
              <w:rPr/>
              <w:t xml:space="preserve">Float</w:t>
            </w:r>
          </w:p>
        </w:tc>
        <w:tc>
          <w:tcPr>
            <w:tcW w:w="1577" w:type="dxa"/>
            <w:vAlign w:val="center"/>
          </w:tcPr>
          <w:p>
            <w:pPr>
              <w:pStyle w:val="TABLE-cell"/>
            </w:pPr>
            <w:r>
              <w:rPr/>
              <w:t xml:space="preserve">AnalogItemType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CurMachSpeed</w:t>
            </w:r>
          </w:p>
        </w:tc>
        <w:tc>
          <w:tcPr>
            <w:tcW w:w="1406" w:type="dxa"/>
            <w:vAlign w:val="center"/>
          </w:tcPr>
          <w:p>
            <w:pPr>
              <w:pStyle w:val="TABLE-cell"/>
            </w:pPr>
            <w:r>
              <w:rPr/>
              <w:t xml:space="preserve">Float</w:t>
            </w:r>
          </w:p>
        </w:tc>
        <w:tc>
          <w:tcPr>
            <w:tcW w:w="1577" w:type="dxa"/>
            <w:vAlign w:val="center"/>
          </w:tcPr>
          <w:p>
            <w:pPr>
              <w:pStyle w:val="TABLE-cell"/>
            </w:pPr>
            <w:r>
              <w:rPr/>
              <w:t xml:space="preserve">AnalogItemType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EquipmentBlocked</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EquipmentStarved</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MaterialInterlocked</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HasInterlock</w:t>
            </w:r>
          </w:p>
        </w:tc>
        <w:tc>
          <w:tcPr>
            <w:tcW w:w="1200" w:type="dxa"/>
            <w:vAlign w:val="center"/>
          </w:tcPr>
          <w:p>
            <w:pPr>
              <w:pStyle w:val="TABLE-cell"/>
            </w:pPr>
            <w:r>
              <w:rPr/>
              <w:t xml:space="preserve">Variable</w:t>
            </w:r>
          </w:p>
        </w:tc>
        <w:tc>
          <w:tcPr>
            <w:tcW w:w="1817" w:type="dxa"/>
            <w:vAlign w:val="center"/>
          </w:tcPr>
          <w:p>
            <w:pPr>
              <w:pStyle w:val="TABLE-cell"/>
            </w:pPr>
            <w:r>
              <w:rPr/>
              <w:t xml:space="preserve">MaterialInterlock</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Parameter</w:t>
            </w:r>
          </w:p>
        </w:tc>
        <w:tc>
          <w:tcPr>
            <w:tcW w:w="1406" w:type="dxa"/>
            <w:vAlign w:val="center"/>
          </w:tcPr>
          <w:p>
            <w:pPr>
              <w:pStyle w:val="TABLE-cell"/>
            </w:pPr>
            <w:r>
              <w:rPr/>
              <w:t xml:space="preserve">PackMLDescriptorDataType[]</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RemoteParameter</w:t>
            </w:r>
          </w:p>
        </w:tc>
        <w:tc>
          <w:tcPr>
            <w:tcW w:w="1406" w:type="dxa"/>
            <w:vAlign w:val="center"/>
          </w:tcPr>
          <w:p>
            <w:pPr>
              <w:pStyle w:val="TABLE-cell"/>
            </w:pPr>
            <w:r>
              <w:rPr/>
              <w:t xml:space="preserve">PackMLRemoteInterfaceDataType[]</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Product</w:t>
            </w:r>
          </w:p>
        </w:tc>
        <w:tc>
          <w:tcPr>
            <w:tcW w:w="1406" w:type="dxa"/>
            <w:vAlign w:val="center"/>
          </w:tcPr>
          <w:p>
            <w:pPr>
              <w:pStyle w:val="TABLE-cell"/>
            </w:pPr>
            <w:r>
              <w:rPr/>
              <w:t xml:space="preserve">PackMLProductDataType[]</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bl>
    <w:p>
      <w:pPr>
        <w:pStyle w:val="spacer"/>
      </w:pPr>
    </w:p>
    <w:p>
      <w:pPr>
        <w:pStyle w:val="PARAGRAPH"/>
      </w:pPr>
      <w:r>
        <w:rPr/>
        <w:t xml:space="preserve">In OPC UA defined </w:t>
      </w:r>
      <w:r>
        <w:rPr>
          <w:i/>
        </w:rPr>
        <w:t xml:space="preserve">StateMachines</w:t>
      </w:r>
      <w:r>
        <w:rPr/>
        <w:t xml:space="preserve">, a mandatory </w:t>
      </w:r>
      <w:r>
        <w:rPr>
          <w:i/>
        </w:rPr>
        <w:t xml:space="preserve">Variable</w:t>
      </w:r>
      <w:r>
        <w:rPr/>
        <w:t xml:space="preserve"> </w:t>
      </w:r>
      <w:r>
        <w:rPr>
          <w:i/>
        </w:rPr>
        <w:t xml:space="preserve">CurrentState</w:t>
      </w:r>
      <w:r>
        <w:rPr/>
        <w:t xml:space="preserve"> provides the current state of the </w:t>
      </w:r>
      <w:r>
        <w:rPr>
          <w:i/>
        </w:rPr>
        <w:t xml:space="preserve">StateMachine</w:t>
      </w:r>
      <w:r>
        <w:rPr/>
        <w:t xml:space="preserve">, which is the current state of the PackML device. </w:t>
      </w:r>
      <w:r>
        <w:rPr>
          <w:i/>
        </w:rPr>
        <w:t xml:space="preserve">CurrentState</w:t>
      </w:r>
      <w:r>
        <w:rPr/>
        <w:t xml:space="preserve"> is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i/>
        </w:rPr>
        <w:t xml:space="preserve">UnitModeRequested</w:t>
      </w:r>
      <w:r>
        <w:rPr/>
        <w:t xml:space="preserve"> - If TRUE, indicates that a unit mode change was requested, reflects the status of the Command UnitModeRequested.</w:t>
      </w:r>
    </w:p>
    <w:p>
      <w:pPr>
        <w:pStyle w:val="PARAGRAPH"/>
      </w:pPr>
      <w:r>
        <w:rPr>
          <w:i/>
        </w:rPr>
        <w:t xml:space="preserve">UnitSupportedModes</w:t>
      </w:r>
      <w:r>
        <w:rPr/>
        <w:t xml:space="preserve"> - provides the </w:t>
      </w:r>
      <w:r>
        <w:rPr>
          <w:i/>
        </w:rPr>
        <w:t xml:space="preserve">NodeId</w:t>
      </w:r>
      <w:r>
        <w:rPr/>
        <w:t xml:space="preserve"> of the enumeration </w:t>
      </w:r>
      <w:r>
        <w:rPr>
          <w:i/>
        </w:rPr>
        <w:t xml:space="preserve">DataType</w:t>
      </w:r>
      <w:r>
        <w:rPr/>
        <w:t xml:space="preserve"> that describes the available modes for this PackML instance. A </w:t>
      </w:r>
      <w:r>
        <w:rPr>
          <w:i/>
        </w:rPr>
        <w:t xml:space="preserve">Server</w:t>
      </w:r>
      <w:r>
        <w:rPr/>
        <w:t xml:space="preserve"> might have more than one of these instances; each instance might expose a different set of available modes and thus have a different enumeration.</w:t>
      </w:r>
    </w:p>
    <w:p>
      <w:pPr>
        <w:pStyle w:val="PARAGRAPH"/>
      </w:pPr>
      <w:r>
        <w:rPr>
          <w:i/>
        </w:rPr>
        <w:t xml:space="preserve">UnitModeCurrent</w:t>
      </w:r>
      <w:r>
        <w:rPr/>
        <w:t xml:space="preserve"> - is used to display the current mode of the instance of this type. The </w:t>
      </w:r>
      <w:r>
        <w:rPr>
          <w:i/>
        </w:rPr>
        <w:t xml:space="preserve">DataType</w:t>
      </w:r>
      <w:r>
        <w:rPr/>
        <w:t xml:space="preserve"> is </w:t>
      </w:r>
      <w:r>
        <w:rPr>
          <w:i/>
        </w:rPr>
        <w:t xml:space="preserve">Enumeration</w:t>
      </w:r>
      <w:r>
        <w:rPr/>
        <w:t xml:space="preserve"> which is abstract, but an instance shall be assigned a concrete enumeration, which corresponds to the enumeration listed in </w:t>
      </w:r>
      <w:r>
        <w:rPr>
          <w:i/>
        </w:rPr>
        <w:t xml:space="preserve">UnitSupportedModes</w:t>
      </w:r>
      <w:r>
        <w:rPr/>
        <w:t xml:space="preserve">.</w:t>
      </w:r>
    </w:p>
    <w:p>
      <w:pPr>
        <w:pStyle w:val="PARAGRAPH"/>
      </w:pPr>
      <w:r>
        <w:rPr>
          <w:i/>
        </w:rPr>
        <w:t xml:space="preserve">UnitModeChangeInProcess</w:t>
      </w:r>
      <w:r>
        <w:rPr/>
        <w:t xml:space="preserve"> - a flag that indicates a unit change has been requested and is in progress</w:t>
      </w:r>
    </w:p>
    <w:p>
      <w:pPr>
        <w:pStyle w:val="PARAGRAPH"/>
      </w:pPr>
      <w:r>
        <w:rPr>
          <w:i/>
        </w:rPr>
        <w:t xml:space="preserve">StateRequested</w:t>
      </w:r>
      <w:r>
        <w:rPr/>
        <w:t xml:space="preserve"> - This value is used for state transition checking, to ensure that transitions to a target state can be achieved. The target state, </w:t>
      </w:r>
      <w:r>
        <w:rPr>
          <w:i/>
        </w:rPr>
        <w:t xml:space="preserve">StateRequested</w:t>
      </w:r>
      <w:r>
        <w:rPr/>
        <w:t xml:space="preserve">, is a numerical value corresponding to a state in the base state model (shown above).</w:t>
      </w:r>
    </w:p>
    <w:p>
      <w:pPr>
        <w:pStyle w:val="PARAGRAPH"/>
      </w:pPr>
      <w:r>
        <w:rPr>
          <w:i/>
        </w:rPr>
        <w:t xml:space="preserve">StateChangeInProcess</w:t>
      </w:r>
      <w:r>
        <w:rPr/>
        <w:t xml:space="preserve"> - a flag that indicates that a state change has been requested and is in progress. The StateMachine will report the current state.</w:t>
      </w:r>
    </w:p>
    <w:p>
      <w:pPr>
        <w:pStyle w:val="PARAGRAPH"/>
      </w:pPr>
      <w:r>
        <w:rPr>
          <w:i/>
        </w:rPr>
        <w:t xml:space="preserve">MachSpeed</w:t>
      </w:r>
      <w:r>
        <w:rPr/>
        <w:t xml:space="preserve"> - Setpoint speed of the unit.</w:t>
      </w:r>
    </w:p>
    <w:p>
      <w:pPr>
        <w:pStyle w:val="PARAGRAPH"/>
      </w:pPr>
      <w:r>
        <w:rPr>
          <w:i/>
        </w:rPr>
        <w:t xml:space="preserve">CurMachSpeed</w:t>
      </w:r>
      <w:r>
        <w:rPr/>
        <w:t xml:space="preserve"> - Current speed of the unit.</w:t>
      </w:r>
    </w:p>
    <w:p>
      <w:pPr>
        <w:pStyle w:val="PARAGRAPH"/>
      </w:pPr>
      <w:r>
        <w:rPr>
          <w:i/>
        </w:rPr>
        <w:t xml:space="preserve">Equipment</w:t>
      </w:r>
      <w:r>
        <w:rPr/>
        <w:t xml:space="preserve">Blocked - If TRUE, then processing is suspended because downstream equipment is unable to receive material (e.g. downstream buffer is full)</w:t>
      </w:r>
    </w:p>
    <w:p>
      <w:pPr>
        <w:pStyle w:val="PARAGRAPH"/>
      </w:pPr>
      <w:r>
        <w:rPr>
          <w:i/>
        </w:rPr>
        <w:t xml:space="preserve">Equipment</w:t>
      </w:r>
      <w:r>
        <w:rPr/>
        <w:t xml:space="preserve">Starved - If TRUE, then processing is suspended because upstream equipment is unable to send material.</w:t>
      </w:r>
    </w:p>
    <w:p>
      <w:pPr>
        <w:pStyle w:val="PARAGRAPH"/>
      </w:pPr>
      <w:r>
        <w:rPr>
          <w:i/>
        </w:rPr>
        <w:t xml:space="preserve">MaterialInterlocked</w:t>
      </w:r>
      <w:r>
        <w:rPr/>
        <w:t xml:space="preserve"> - a flag that indicates this machine is interlocked. It is a summary of the interlock variable that is associated with this machine.</w:t>
      </w:r>
    </w:p>
    <w:p>
      <w:pPr>
        <w:pStyle w:val="PARAGRAPH"/>
      </w:pPr>
      <w:r>
        <w:rPr>
          <w:i/>
        </w:rPr>
        <w:t xml:space="preserve">MaterialInterlock</w:t>
      </w:r>
      <w:r>
        <w:rPr/>
        <w:t xml:space="preserve"> - this is an array and describes the status of the materials that are ready for processing. It is comprised of a series of Boolean with 1 equaling readyor not low, 0 equaling not ready or low. Each bit represents a different user material.</w:t>
      </w:r>
    </w:p>
    <w:p>
      <w:pPr>
        <w:pStyle w:val="PARAGRAPH"/>
      </w:pPr>
      <w:r>
        <w:rPr>
          <w:i/>
        </w:rPr>
        <w:t xml:space="preserve">Parameter</w:t>
      </w:r>
      <w:r>
        <w:rPr/>
        <w:t xml:space="preserve"> - Current parameters used in the production job. This reflects the last parameter sent via the </w:t>
      </w:r>
      <w:r>
        <w:rPr>
          <w:i/>
        </w:rPr>
        <w:t xml:space="preserve">SetParameter</w:t>
      </w:r>
      <w:r>
        <w:rPr/>
        <w:t xml:space="preserve"> </w:t>
      </w:r>
      <w:r>
        <w:rPr>
          <w:i/>
        </w:rPr>
        <w:t xml:space="preserve">Method</w:t>
      </w:r>
      <w:r>
        <w:rPr/>
        <w:t xml:space="preserve">.</w:t>
      </w:r>
    </w:p>
    <w:p>
      <w:pPr>
        <w:pStyle w:val="PARAGRAPH"/>
      </w:pPr>
      <w:r>
        <w:rPr>
          <w:i/>
        </w:rPr>
        <w:t xml:space="preserve">RemoteParameter</w:t>
      </w:r>
      <w:r>
        <w:rPr/>
        <w:t xml:space="preserve"> - the last remote parameter that were sent to the machine. This is optional variable is provided only if sending remote parameters are supported, the </w:t>
      </w:r>
      <w:r>
        <w:rPr>
          <w:i/>
        </w:rPr>
        <w:t xml:space="preserve">RemoteCommand</w:t>
      </w:r>
      <w:r>
        <w:rPr/>
        <w:t xml:space="preserve"> </w:t>
      </w:r>
      <w:r>
        <w:rPr>
          <w:i/>
        </w:rPr>
        <w:t xml:space="preserve">Method</w:t>
      </w:r>
      <w:r>
        <w:rPr/>
        <w:t xml:space="preserve"> is provided this variable shall also be provided. For additional details see the </w:t>
      </w:r>
      <w:r>
        <w:rPr>
          <w:i/>
        </w:rPr>
        <w:t xml:space="preserve">RemoteCommand</w:t>
      </w:r>
      <w:r>
        <w:rPr/>
        <w:t xml:space="preserve"> </w:t>
      </w:r>
      <w:r>
        <w:rPr>
          <w:i/>
        </w:rPr>
        <w:t xml:space="preserve">Method</w:t>
      </w:r>
      <w:r>
        <w:rPr/>
        <w:t xml:space="preserve"> definition in </w:t>
      </w:r>
      <w:r>
        <w:fldChar w:fldCharType="begin"/>
      </w:r>
      <w:r>
        <w:instrText xml:space="preserve"> REF Sts_sec_6_7_15 \r \h \* MERGEFORMAT </w:instrText>
      </w:r>
      <w:r>
        <w:fldChar w:fldCharType="separate"/>
      </w:r>
      <w:r>
        <w:rPr/>
        <w:t xml:space="preserve">6.7.15</w:t>
      </w:r>
      <w:r>
        <w:fldChar w:fldCharType="end"/>
      </w:r>
      <w:r>
        <w:rPr/>
        <w:t xml:space="preserve">.</w:t>
      </w:r>
    </w:p>
    <w:p>
      <w:pPr>
        <w:pStyle w:val="PARAGRAPH"/>
      </w:pPr>
      <w:r>
        <w:rPr>
          <w:i/>
        </w:rPr>
        <w:t xml:space="preserve">Product</w:t>
      </w:r>
      <w:r>
        <w:rPr/>
        <w:t xml:space="preserve"> - provides a list of the products supported by this machine. The array is typically needed for machines that run multiple products. It defines the IDs of the products and process &amp;amp; process variables associated with the product. The product data can come from either a local HMI or remote systems and are used to process the product on the unit machine.</w:t>
      </w:r>
    </w:p>
    <w:p>
      <w:pPr>
        <w:pStyle w:val="Heading3"/>
      </w:pPr>
      <w:bookmarkStart w:name="Sts_sec_6_3_4" w:id="80"/>
      <w:r>
        <w:rPr/>
        <w:t xml:space="preserve">PackMLAdminObjectType</w:t>
      </w:r>
      <w:bookmarkEnd w:id="80"/>
    </w:p>
    <w:p>
      <w:pPr>
        <w:pStyle w:val="PARAGRAPH"/>
      </w:pPr>
      <w:r>
        <w:rPr/>
        <w:t xml:space="preserve">The </w:t>
      </w:r>
      <w:r>
        <w:rPr>
          <w:i/>
        </w:rPr>
        <w:t xml:space="preserve">PackMLAdminObjectType</w:t>
      </w:r>
      <w:r>
        <w:rPr/>
        <w:t xml:space="preserve"> defines an </w:t>
      </w:r>
      <w:r>
        <w:rPr>
          <w:i/>
        </w:rPr>
        <w:t xml:space="preserve">ObjectType</w:t>
      </w:r>
      <w:r>
        <w:rPr/>
        <w:t xml:space="preserve"> that is used to group all of the Admin information that is part of the PackML information model. It is illustrated in </w:t>
      </w:r>
      <w:r>
        <w:fldChar w:fldCharType="begin"/>
      </w:r>
      <w:r>
        <w:instrText xml:space="preserve"> REF Sts_fig_13 \h \* MERGEFORMAT </w:instrText>
      </w:r>
      <w:r>
        <w:fldChar w:fldCharType="separate"/>
      </w:r>
      <w:r>
        <w:rPr/>
        <w:t xml:space="preserve">Figure 13</w:t>
      </w:r>
      <w:r>
        <w:fldChar w:fldCharType="end"/>
      </w:r>
      <w:r>
        <w:rPr/>
        <w:t xml:space="preserve">.</w:t>
      </w:r>
    </w:p>
    <w:p>
      <w:pPr>
        <w:pStyle w:val="FIGURE"/>
      </w:pPr>
      <w:r>
        <w:drawing>
          <wp:inline xmlns:wp="http://schemas.openxmlformats.org/drawingml/2006/wordprocessingDrawing" distT="0" distB="0" distL="0" distR="0">
            <wp:extent cx="5759450" cy="6010315"/>
            <wp:effectExtent l="0" t="0" r="0" b="0"/>
            <wp:docPr id="15" name="Figure 15" descr="PackMLAdmin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pic:nvPicPr>
                  <pic:blipFill>
                    <a:blip r:embed="Rb8194332c42d461f"/>
                    <a:stretch>
                      <a:fillRect/>
                    </a:stretch>
                  </pic:blipFill>
                  <pic:spPr>
                    <a:xfrm>
                      <a:off x="0" y="0"/>
                      <a:ext cx="5759450" cy="6010315"/>
                    </a:xfrm>
                    <a:prstGeom prst="rect">
                      <a:avLst/>
                    </a:prstGeom>
                  </pic:spPr>
                </pic:pic>
              </a:graphicData>
            </a:graphic>
          </wp:inline>
        </w:drawing>
      </w:r>
    </w:p>
    <w:p>
      <w:pPr>
        <w:pStyle w:val="FIGURE-title"/>
      </w:pPr>
      <w:bookmarkStart w:name="Sts_fig_13" w:id="81"/>
      <w:r>
        <w:t xml:space="preserve">Figure </w:t>
      </w:r>
      <w:r>
        <w:fldChar w:fldCharType="begin"/>
      </w:r>
      <w:r>
        <w:instrText xml:space="preserve"> SEQ Figure \* ARABIC </w:instrText>
      </w:r>
      <w:r>
        <w:fldChar w:fldCharType="separate"/>
      </w:r>
      <w:r>
        <w:rPr/>
        <w:t xml:space="preserve">13</w:t>
      </w:r>
      <w:r>
        <w:fldChar w:fldCharType="end"/>
      </w:r>
      <w:bookmarkEnd w:id="81"/>
      <w:r>
        <w:t xml:space="preserve"> – </w:t>
      </w:r>
      <w:r>
        <w:rPr/>
        <w:t xml:space="preserve">PackMLAdminObjectType Overview</w:t>
      </w:r>
    </w:p>
    <w:p>
      <w:pPr>
        <w:pStyle w:val="PARAGRAPH"/>
      </w:pPr>
      <w:r>
        <w:fldChar w:fldCharType="begin"/>
      </w:r>
      <w:r>
        <w:instrText xml:space="preserve"> REF Sts_tbl_5 \h \* MERGEFORMAT </w:instrText>
      </w:r>
      <w:r>
        <w:fldChar w:fldCharType="separate"/>
      </w:r>
      <w:r>
        <w:rPr/>
        <w:t xml:space="preserve">Table 5</w:t>
      </w:r>
      <w:r>
        <w:fldChar w:fldCharType="end"/>
      </w:r>
      <w:r>
        <w:rPr/>
        <w:t xml:space="preserve"> formally defines the PackMLAdminObjectType.</w:t>
      </w:r>
    </w:p>
    <w:p>
      <w:pPr>
        <w:pStyle w:val="TABLE-title"/>
      </w:pPr>
      <w:bookmarkStart w:name="Sts_tbl_5" w:id="82"/>
      <w:r>
        <w:t xml:space="preserve">Table </w:t>
      </w:r>
      <w:r>
        <w:fldChar w:fldCharType="begin"/>
      </w:r>
      <w:r>
        <w:instrText xml:space="preserve"> SEQ Table \* ARABIC </w:instrText>
      </w:r>
      <w:r>
        <w:fldChar w:fldCharType="separate"/>
      </w:r>
      <w:r>
        <w:rPr/>
        <w:t xml:space="preserve">5</w:t>
      </w:r>
      <w:r>
        <w:fldChar w:fldCharType="end"/>
      </w:r>
      <w:bookmarkEnd w:id="82"/>
      <w:r>
        <w:t xml:space="preserve"> – </w:t>
      </w:r>
      <w:r>
        <w:rPr/>
        <w:t xml:space="preserve">PackMLAdminObjectType Definition</w:t>
      </w:r>
    </w:p>
    <w:tbl>
      <w:tblPr>
        <w:tblStyle w:val="TableGrid"/>
        <w:tblW w:w="9070" w:type="dxa"/>
        <w:tblLayout w:type="fixed"/>
      </w:tblPr>
      <w:tblGrid>
        <w:gridCol w:w="1295"/>
        <w:gridCol w:w="1200"/>
        <w:gridCol w:w="1595"/>
        <w:gridCol w:w="1498"/>
        <w:gridCol w:w="1684"/>
        <w:gridCol w:w="1295"/>
        <w:gridCol w:w="503"/>
      </w:tblGrid>
      <w:tr>
        <w:trPr>
          <w:tblHeader/>
        </w:trPr>
        <w:tc>
          <w:tcPr>
            <w:tcW w:w="1295" w:type="dxa"/>
            <w:vAlign w:val="center"/>
          </w:tcPr>
          <w:p>
            <w:pPr>
              <w:pStyle w:val="TABLE-col-heading"/>
              <w:jc w:val="left"/>
            </w:pPr>
            <w:r>
              <w:rPr/>
              <w:t xml:space="preserve">Attribute</w:t>
            </w:r>
          </w:p>
        </w:tc>
        <w:tc>
          <w:tcPr>
            <w:tcW w:w="7775" w:type="dxa"/>
            <w:gridSpan w:val="6"/>
            <w:vAlign w:val="center"/>
          </w:tcPr>
          <w:p>
            <w:pPr>
              <w:pStyle w:val="TABLE-col-heading"/>
              <w:jc w:val="left"/>
            </w:pPr>
            <w:r>
              <w:rPr/>
              <w:t xml:space="preserve">Value</w:t>
            </w:r>
          </w:p>
        </w:tc>
      </w:tr>
      <w:tr>
        <w:tc>
          <w:tcPr>
            <w:tcW w:w="1295" w:type="dxa"/>
            <w:vAlign w:val="center"/>
          </w:tcPr>
          <w:p>
            <w:pPr>
              <w:pStyle w:val="TABLE-cell"/>
            </w:pPr>
            <w:r>
              <w:rPr/>
              <w:t xml:space="preserve">BrowseName</w:t>
            </w:r>
          </w:p>
        </w:tc>
        <w:tc>
          <w:tcPr>
            <w:tcW w:w="7775" w:type="dxa"/>
            <w:gridSpan w:val="6"/>
            <w:vAlign w:val="center"/>
          </w:tcPr>
          <w:p>
            <w:pPr>
              <w:pStyle w:val="TABLE-cell"/>
            </w:pPr>
            <w:r>
              <w:rPr/>
              <w:t xml:space="preserve">PackMLAdminObjectType</w:t>
            </w:r>
          </w:p>
        </w:tc>
      </w:tr>
      <w:tr>
        <w:tc>
          <w:tcPr>
            <w:tcW w:w="1295" w:type="dxa"/>
            <w:vAlign w:val="center"/>
          </w:tcPr>
          <w:p>
            <w:pPr>
              <w:pStyle w:val="TABLE-cell"/>
            </w:pPr>
            <w:r>
              <w:rPr/>
              <w:t xml:space="preserve">IsAbstract</w:t>
            </w:r>
          </w:p>
        </w:tc>
        <w:tc>
          <w:tcPr>
            <w:tcW w:w="7775" w:type="dxa"/>
            <w:gridSpan w:val="6"/>
            <w:vAlign w:val="center"/>
          </w:tcPr>
          <w:p>
            <w:pPr>
              <w:pStyle w:val="TABLE-cell"/>
            </w:pPr>
            <w:r>
              <w:rPr/>
              <w:t xml:space="preserve">False</w:t>
            </w:r>
          </w:p>
        </w:tc>
      </w:tr>
      <w:tr>
        <w:tc>
          <w:tcPr>
            <w:tcW w:w="1295" w:type="dxa"/>
            <w:vAlign w:val="center"/>
          </w:tcPr>
          <w:p>
            <w:pPr>
              <w:pStyle w:val="TABLE-cell"/>
            </w:pPr>
            <w:r>
              <w:rPr/>
              <w:t xml:space="preserve">Reference</w:t>
            </w:r>
          </w:p>
        </w:tc>
        <w:tc>
          <w:tcPr>
            <w:tcW w:w="1200" w:type="dxa"/>
            <w:vAlign w:val="center"/>
          </w:tcPr>
          <w:p>
            <w:pPr>
              <w:pStyle w:val="TABLE-cell"/>
            </w:pPr>
            <w:r>
              <w:rPr/>
              <w:t xml:space="preserve">Node Class</w:t>
            </w:r>
          </w:p>
        </w:tc>
        <w:tc>
          <w:tcPr>
            <w:tcW w:w="1595" w:type="dxa"/>
            <w:vAlign w:val="center"/>
          </w:tcPr>
          <w:p>
            <w:pPr>
              <w:pStyle w:val="TABLE-cell"/>
            </w:pPr>
            <w:r>
              <w:rPr/>
              <w:t xml:space="preserve">BrowseName</w:t>
            </w:r>
          </w:p>
        </w:tc>
        <w:tc>
          <w:tcPr>
            <w:tcW w:w="1498" w:type="dxa"/>
            <w:vAlign w:val="center"/>
          </w:tcPr>
          <w:p>
            <w:pPr>
              <w:pStyle w:val="TABLE-cell"/>
            </w:pPr>
            <w:r>
              <w:rPr/>
              <w:t xml:space="preserve">DataType</w:t>
            </w:r>
          </w:p>
        </w:tc>
        <w:tc>
          <w:tcPr>
            <w:tcW w:w="1684" w:type="dxa"/>
            <w:vAlign w:val="center"/>
          </w:tcPr>
          <w:p>
            <w:pPr>
              <w:pStyle w:val="TABLE-cell"/>
            </w:pPr>
            <w:r>
              <w:rPr/>
              <w:t xml:space="preserve">TypeDefinition</w:t>
            </w:r>
          </w:p>
        </w:tc>
        <w:tc>
          <w:tcPr>
            <w:tcW w:w="1295" w:type="dxa"/>
            <w:vAlign w:val="center"/>
          </w:tcPr>
          <w:p>
            <w:pPr>
              <w:pStyle w:val="TABLE-cell"/>
            </w:pPr>
            <w:r>
              <w:rPr/>
              <w:t xml:space="preserve">ModelingRule</w:t>
            </w:r>
          </w:p>
        </w:tc>
        <w:tc>
          <w:tcPr>
            <w:tcW w:w="503" w:type="dxa"/>
            <w:vAlign w:val="center"/>
          </w:tcPr>
          <w:p>
            <w:pPr>
              <w:pStyle w:val="TABLE-cell"/>
            </w:pPr>
            <w:r>
              <w:rPr/>
              <w:t xml:space="preserve">RW</w:t>
            </w:r>
          </w:p>
        </w:tc>
      </w:tr>
      <w:tr>
        <w:tc>
          <w:tcPr>
            <w:tcW w:w="9070" w:type="dxa"/>
            <w:gridSpan w:val="7"/>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Parameter</w:t>
            </w:r>
          </w:p>
        </w:tc>
        <w:tc>
          <w:tcPr>
            <w:tcW w:w="1498" w:type="dxa"/>
            <w:vAlign w:val="center"/>
          </w:tcPr>
          <w:p>
            <w:pPr>
              <w:pStyle w:val="TABLE-cell"/>
            </w:pPr>
            <w:r>
              <w:rPr/>
              <w:t xml:space="preserve">PackMLDescriptorDataType[]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HasAlarm</w:t>
            </w:r>
          </w:p>
        </w:tc>
        <w:tc>
          <w:tcPr>
            <w:tcW w:w="1200" w:type="dxa"/>
            <w:vAlign w:val="center"/>
          </w:tcPr>
          <w:p>
            <w:pPr>
              <w:pStyle w:val="TABLE-cell"/>
            </w:pPr>
            <w:r>
              <w:rPr/>
              <w:t xml:space="preserve">Variable</w:t>
            </w:r>
          </w:p>
        </w:tc>
        <w:tc>
          <w:tcPr>
            <w:tcW w:w="1595" w:type="dxa"/>
            <w:vAlign w:val="center"/>
          </w:tcPr>
          <w:p>
            <w:pPr>
              <w:pStyle w:val="TABLE-cell"/>
            </w:pPr>
            <w:r>
              <w:rPr/>
              <w:t xml:space="preserve">Alarm</w:t>
            </w:r>
          </w:p>
        </w:tc>
        <w:tc>
          <w:tcPr>
            <w:tcW w:w="1498" w:type="dxa"/>
            <w:vAlign w:val="center"/>
          </w:tcPr>
          <w:p>
            <w:pPr>
              <w:pStyle w:val="TABLE-cell"/>
            </w:pPr>
            <w:r>
              <w:rPr/>
              <w:t xml:space="preserve">PackMLAlarmDataType[]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AlarmExtent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HasAlarmHistory</w:t>
            </w:r>
          </w:p>
        </w:tc>
        <w:tc>
          <w:tcPr>
            <w:tcW w:w="1200" w:type="dxa"/>
            <w:vAlign w:val="center"/>
          </w:tcPr>
          <w:p>
            <w:pPr>
              <w:pStyle w:val="TABLE-cell"/>
            </w:pPr>
            <w:r>
              <w:rPr/>
              <w:t xml:space="preserve">Variable</w:t>
            </w:r>
          </w:p>
        </w:tc>
        <w:tc>
          <w:tcPr>
            <w:tcW w:w="1595" w:type="dxa"/>
            <w:vAlign w:val="center"/>
          </w:tcPr>
          <w:p>
            <w:pPr>
              <w:pStyle w:val="TABLE-cell"/>
            </w:pPr>
            <w:r>
              <w:rPr/>
              <w:t xml:space="preserve">AlarmHistory</w:t>
            </w:r>
          </w:p>
        </w:tc>
        <w:tc>
          <w:tcPr>
            <w:tcW w:w="1498" w:type="dxa"/>
            <w:vAlign w:val="center"/>
          </w:tcPr>
          <w:p>
            <w:pPr>
              <w:pStyle w:val="TABLE-cell"/>
            </w:pPr>
            <w:r>
              <w:rPr/>
              <w:t xml:space="preserve">PackMLAlarmDataType[]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AlarmHistoryExtent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HasWarning</w:t>
            </w:r>
          </w:p>
        </w:tc>
        <w:tc>
          <w:tcPr>
            <w:tcW w:w="1200" w:type="dxa"/>
            <w:vAlign w:val="center"/>
          </w:tcPr>
          <w:p>
            <w:pPr>
              <w:pStyle w:val="TABLE-cell"/>
            </w:pPr>
            <w:r>
              <w:rPr/>
              <w:t xml:space="preserve">Variable</w:t>
            </w:r>
          </w:p>
        </w:tc>
        <w:tc>
          <w:tcPr>
            <w:tcW w:w="1595" w:type="dxa"/>
            <w:vAlign w:val="center"/>
          </w:tcPr>
          <w:p>
            <w:pPr>
              <w:pStyle w:val="TABLE-cell"/>
            </w:pPr>
            <w:r>
              <w:rPr/>
              <w:t xml:space="preserve">Warning</w:t>
            </w:r>
          </w:p>
        </w:tc>
        <w:tc>
          <w:tcPr>
            <w:tcW w:w="1498" w:type="dxa"/>
            <w:vAlign w:val="center"/>
          </w:tcPr>
          <w:p>
            <w:pPr>
              <w:pStyle w:val="TABLE-cell"/>
            </w:pPr>
            <w:r>
              <w:rPr/>
              <w:t xml:space="preserve">PackMLAlarmDataType[]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WarningExtent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HasStopReason</w:t>
            </w:r>
          </w:p>
        </w:tc>
        <w:tc>
          <w:tcPr>
            <w:tcW w:w="1200" w:type="dxa"/>
            <w:vAlign w:val="center"/>
          </w:tcPr>
          <w:p>
            <w:pPr>
              <w:pStyle w:val="TABLE-cell"/>
            </w:pPr>
            <w:r>
              <w:rPr/>
              <w:t xml:space="preserve">Variable</w:t>
            </w:r>
          </w:p>
        </w:tc>
        <w:tc>
          <w:tcPr>
            <w:tcW w:w="1595" w:type="dxa"/>
            <w:vAlign w:val="center"/>
          </w:tcPr>
          <w:p>
            <w:pPr>
              <w:pStyle w:val="TABLE-cell"/>
            </w:pPr>
            <w:r>
              <w:rPr/>
              <w:t xml:space="preserve">StopReason</w:t>
            </w:r>
          </w:p>
        </w:tc>
        <w:tc>
          <w:tcPr>
            <w:tcW w:w="1498" w:type="dxa"/>
            <w:vAlign w:val="center"/>
          </w:tcPr>
          <w:p>
            <w:pPr>
              <w:pStyle w:val="TABLE-cell"/>
            </w:pPr>
            <w:r>
              <w:rPr/>
              <w:t xml:space="preserve">PackMLAlarmDataType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StopReasonExtent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ModeCurrentTime</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ModeCumulativeTime</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StateCurrentTime</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StateCumulativeTime</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ProdConsumedCount</w:t>
            </w:r>
          </w:p>
        </w:tc>
        <w:tc>
          <w:tcPr>
            <w:tcW w:w="1498" w:type="dxa"/>
            <w:vAlign w:val="center"/>
          </w:tcPr>
          <w:p>
            <w:pPr>
              <w:pStyle w:val="TABLE-cell"/>
            </w:pPr>
            <w:r>
              <w:rPr/>
              <w:t xml:space="preserve">PackMLCountDataType[]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ProdProcessedCount</w:t>
            </w:r>
          </w:p>
        </w:tc>
        <w:tc>
          <w:tcPr>
            <w:tcW w:w="1498" w:type="dxa"/>
            <w:vAlign w:val="center"/>
          </w:tcPr>
          <w:p>
            <w:pPr>
              <w:pStyle w:val="TABLE-cell"/>
            </w:pPr>
            <w:r>
              <w:rPr/>
              <w:t xml:space="preserve">PackMLCountDataType[]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ProdDefectiveCount</w:t>
            </w:r>
          </w:p>
        </w:tc>
        <w:tc>
          <w:tcPr>
            <w:tcW w:w="1498" w:type="dxa"/>
            <w:vAlign w:val="center"/>
          </w:tcPr>
          <w:p>
            <w:pPr>
              <w:pStyle w:val="TABLE-cell"/>
            </w:pPr>
            <w:r>
              <w:rPr/>
              <w:t xml:space="preserve">PackMLCountDataType[]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AccTimeSinceReset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MachDesignSpeed</w:t>
            </w:r>
          </w:p>
        </w:tc>
        <w:tc>
          <w:tcPr>
            <w:tcW w:w="1498" w:type="dxa"/>
            <w:vAlign w:val="center"/>
          </w:tcPr>
          <w:p>
            <w:pPr>
              <w:pStyle w:val="TABLE-cell"/>
            </w:pPr>
            <w:r>
              <w:rPr/>
              <w:t xml:space="preserve">Float</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bl>
    <w:p>
      <w:pPr>
        <w:pStyle w:val="spacer"/>
      </w:pPr>
    </w:p>
    <w:p>
      <w:pPr>
        <w:pStyle w:val="PARAGRAPH"/>
      </w:pPr>
      <w:r>
        <w:rPr>
          <w:i/>
        </w:rPr>
        <w:t xml:space="preserve">Parameter</w:t>
      </w:r>
      <w:r>
        <w:rPr/>
        <w:t xml:space="preserve"> - The parameter tags associated with the local interface are typically used as parameters that are displayed or used on the unit locally, for example from an HMI. These parameters can be used to display any quality, alarm, or machine downtime parameter. The </w:t>
      </w:r>
      <w:r>
        <w:rPr>
          <w:i/>
        </w:rPr>
        <w:t xml:space="preserve">Parameters</w:t>
      </w:r>
      <w:r>
        <w:rPr/>
        <w:t xml:space="preserve"> are typically limited to parameters related the unit. The length of the array is the maximum number of parameters needed.</w:t>
      </w:r>
    </w:p>
    <w:p>
      <w:pPr>
        <w:pStyle w:val="PARAGRAPH"/>
      </w:pPr>
      <w:r>
        <w:rPr>
          <w:i/>
        </w:rPr>
        <w:t xml:space="preserve">Alarm</w:t>
      </w:r>
      <w:r>
        <w:rPr/>
        <w:t xml:space="preserve"> - Alarm Events (trigger, value, message, category,…). The alarm tags associated to the local interface are typically used as parameters that are displayed or used on the unit locally, for example from an HMI. These alarm parameters can be used to display any alarm, or machine downtime cause that is currently occurring in the system. The alarms are typically limited to the machine unit.  Each machine can define as many alarms as are required for the machine.</w:t>
      </w:r>
    </w:p>
    <w:p>
      <w:pPr>
        <w:pStyle w:val="PARAGRAPH"/>
      </w:pPr>
      <w:r>
        <w:rPr>
          <w:i/>
        </w:rPr>
        <w:t xml:space="preserve">AlarmExtent</w:t>
      </w:r>
      <w:r>
        <w:rPr/>
        <w:t xml:space="preserve"> - Defines the maximum number of alarms available, for the machine annunciation or reporting</w:t>
      </w:r>
    </w:p>
    <w:p>
      <w:pPr>
        <w:pStyle w:val="PARAGRAPH"/>
      </w:pPr>
      <w:r>
        <w:rPr/>
        <w:t xml:space="preserve">AlarmHistory - These alarm history parameters can be used to display any alarm history, or machine downtime cause.</w:t>
      </w:r>
    </w:p>
    <w:p>
      <w:pPr>
        <w:pStyle w:val="PARAGRAPH"/>
      </w:pPr>
      <w:r>
        <w:rPr/>
        <w:t xml:space="preserve">AlarmHistoryExtend - associated with the maximum number of alarms needed to be archived or tagged as alarm history for the machine.</w:t>
      </w:r>
    </w:p>
    <w:p>
      <w:pPr>
        <w:pStyle w:val="PARAGRAPH"/>
      </w:pPr>
      <w:r>
        <w:rPr/>
        <w:t xml:space="preserve">Warning - Array of warning information Events. Warnings are general events that do not cause the machine to stop, but may require operator action because a stoppage may be imminent. Warning elements have the same structure as Stop Reason elements.</w:t>
      </w:r>
    </w:p>
    <w:p>
      <w:pPr>
        <w:pStyle w:val="PARAGRAPH"/>
      </w:pPr>
      <w:r>
        <w:rPr>
          <w:i/>
        </w:rPr>
        <w:t xml:space="preserve">WarningExtent</w:t>
      </w:r>
      <w:r>
        <w:rPr/>
        <w:t xml:space="preserve"> - Defines the maximum number of warning elements available.</w:t>
      </w:r>
    </w:p>
    <w:p>
      <w:pPr>
        <w:pStyle w:val="PARAGRAPH"/>
      </w:pPr>
      <w:r>
        <w:rPr>
          <w:i/>
        </w:rPr>
        <w:t xml:space="preserve">StopReason</w:t>
      </w:r>
      <w:r>
        <w:rPr/>
        <w:t xml:space="preserve"> - A structure for the stop reason </w:t>
      </w:r>
      <w:r>
        <w:rPr>
          <w:i/>
        </w:rPr>
        <w:t xml:space="preserve">Event</w:t>
      </w:r>
      <w:r>
        <w:rPr/>
        <w:t xml:space="preserve"> (similar to Alarms) which define the possible stop reasons (trigger, value, message, category).  Stop Reason is typically used for "First Out Fault" Reporting and Other Stoppage Events. The stop reason is the first event captured during an abort, held, suspended or stop event.</w:t>
      </w:r>
    </w:p>
    <w:p>
      <w:pPr>
        <w:pStyle w:val="PARAGRAPH"/>
      </w:pPr>
      <w:r>
        <w:rPr>
          <w:i/>
        </w:rPr>
        <w:t xml:space="preserve">StopReasonExtent</w:t>
      </w:r>
      <w:r>
        <w:rPr/>
        <w:t xml:space="preserve"> - Defines the maximum number of stop reason elements or available.</w:t>
      </w:r>
    </w:p>
    <w:p>
      <w:pPr>
        <w:pStyle w:val="PARAGRAPH"/>
      </w:pPr>
      <w:r>
        <w:rPr>
          <w:i/>
        </w:rPr>
        <w:t xml:space="preserve">ModeCurrentTime</w:t>
      </w:r>
      <w:r>
        <w:rPr/>
        <w:t xml:space="preserve"> - The current amount of time, in seconds, that the machine has been in each mode. The array index for a mode is the Unit mode value.  The values roll over to 0 at 2,147,483,647.</w:t>
      </w:r>
    </w:p>
    <w:p>
      <w:pPr>
        <w:pStyle w:val="PARAGRAPH"/>
      </w:pPr>
      <w:r>
        <w:rPr>
          <w:i/>
        </w:rPr>
        <w:t xml:space="preserve">ModeCumulativeTime</w:t>
      </w:r>
      <w:r>
        <w:rPr/>
        <w:t xml:space="preserve"> - The cumulative amount of time, in seconds, that the machine has been in each mode. The array index for a mode is the Unit mode value. The value is the cumulative elapsed time the machine has spent in each mode since its timers and counters were reset. The values roll over to 0 at 2,147,483,647.</w:t>
      </w:r>
    </w:p>
    <w:p>
      <w:pPr>
        <w:pStyle w:val="PARAGRAPH"/>
      </w:pPr>
      <w:r>
        <w:rPr>
          <w:i/>
        </w:rPr>
        <w:t xml:space="preserve">StateCurrentTime</w:t>
      </w:r>
      <w:r>
        <w:rPr/>
        <w:t xml:space="preserve"> - The current amount of time, in seconds, that the machine has been in each state for each mode. The first array index for is the Unit mode value, the second array index is the state value.. The values roll over to 0 at 2,147,483,647.</w:t>
      </w:r>
    </w:p>
    <w:p>
      <w:pPr>
        <w:pStyle w:val="PARAGRAPH"/>
      </w:pPr>
      <w:r>
        <w:rPr>
          <w:i/>
        </w:rPr>
        <w:t xml:space="preserve">StateCumulativeTime</w:t>
      </w:r>
      <w:r>
        <w:rPr/>
        <w:t xml:space="preserve"> - The cumulative amount of time, in seconds, that the machine has been in each state for each mode. The first array index for is the Unit mode value, the second array index is the state value.  The value is the cumulative elapsed time the machine has spent in each mode and state since its timers and counters were reset. The values roll over to 0 at 2,147,483,647</w:t>
      </w:r>
    </w:p>
    <w:p>
      <w:pPr>
        <w:pStyle w:val="PARAGRAPH"/>
      </w:pPr>
      <w:r>
        <w:rPr>
          <w:i/>
        </w:rPr>
        <w:t xml:space="preserve">ProdConsumedCount</w:t>
      </w:r>
      <w:r>
        <w:rPr/>
        <w:t xml:space="preserve"> - Represents the material used/consumed in the production machine.  An example of tag usage would be the number of bags consumed in a filler, or bagger packaging machine, or the amount of linear length used, or the number caps used. This tag can be used locally or remotely if needed.  The extent of the array is typically limited to the number of raw materials needed to be counted.  The array is typically used for unit machines that run multiple raw materials.</w:t>
      </w:r>
    </w:p>
    <w:p>
      <w:pPr>
        <w:pStyle w:val="PARAGRAPH"/>
      </w:pPr>
      <w:r>
        <w:rPr>
          <w:i/>
        </w:rPr>
        <w:t xml:space="preserve">ProdProcessedCount</w:t>
      </w:r>
      <w:r>
        <w:rPr/>
        <w:t xml:space="preserve"> - Represents the products processed in the production machine. An example of tag usage would be the number of products that were made, including all good and defective products. The structure of the </w:t>
      </w:r>
      <w:r>
        <w:rPr>
          <w:i/>
        </w:rPr>
        <w:t xml:space="preserve">ProdProcessedCount</w:t>
      </w:r>
      <w:r>
        <w:rPr/>
        <w:t xml:space="preserve"> is the same as the </w:t>
      </w:r>
      <w:r>
        <w:rPr>
          <w:i/>
        </w:rPr>
        <w:t xml:space="preserve">ProdConsumedCount</w:t>
      </w:r>
      <w:r>
        <w:rPr/>
        <w:t xml:space="preserve">. The length of the array is typically limited to the number of products that need to be counted. The number of products processed minus the defective count is the number of non-defective products made by the machine. The array index of # = 0 should be reserved for the count of the number of units from the primary production stream.</w:t>
      </w:r>
    </w:p>
    <w:p>
      <w:pPr>
        <w:pStyle w:val="PARAGRAPH"/>
      </w:pPr>
      <w:r>
        <w:rPr>
          <w:i/>
        </w:rPr>
        <w:t xml:space="preserve">ProdDefectiveCount</w:t>
      </w:r>
      <w:r>
        <w:rPr/>
        <w:t xml:space="preserve"> - Represents the products marked as defective in the production machine. The structure of the </w:t>
      </w:r>
      <w:r>
        <w:rPr>
          <w:i/>
        </w:rPr>
        <w:t xml:space="preserve">ProdDefectiveCount</w:t>
      </w:r>
      <w:r>
        <w:rPr/>
        <w:t xml:space="preserve"> is the same as the </w:t>
      </w:r>
      <w:r>
        <w:rPr>
          <w:i/>
        </w:rPr>
        <w:t xml:space="preserve">ProdConsumedCount</w:t>
      </w:r>
      <w:r>
        <w:rPr/>
        <w:t xml:space="preserve">. The length of the array is typically limited to the number of products that need to be counted.  The number of products processed minus the defective count is the number of non-defective products made by the machine. The array index of # = 0 should be reserved for the count of the number of units from the primary production stream.</w:t>
      </w:r>
    </w:p>
    <w:p>
      <w:pPr>
        <w:pStyle w:val="PARAGRAPH"/>
      </w:pPr>
      <w:r>
        <w:rPr>
          <w:i/>
        </w:rPr>
        <w:t xml:space="preserve">AccTimeSinceReset</w:t>
      </w:r>
      <w:r>
        <w:rPr/>
        <w:t xml:space="preserve"> - Represents the amount of time, in seconds, since the last reset of all counters as triggered.  Counters that are reset are:</w:t>
      </w:r>
    </w:p>
    <w:p>
      <w:pPr>
        <w:pStyle w:val="ListBullet"/>
      </w:pPr>
      <w:r>
        <w:rPr/>
        <w:t xml:space="preserve">UnitName.Admin.ModeCurrentTime[#]</w:t>
      </w:r>
    </w:p>
    <w:p>
      <w:pPr>
        <w:pStyle w:val="ListBullet"/>
      </w:pPr>
      <w:r>
        <w:rPr/>
        <w:t xml:space="preserve">UnitName.Admin.ModeCumulativeTime[#]</w:t>
      </w:r>
    </w:p>
    <w:p>
      <w:pPr>
        <w:pStyle w:val="ListBullet"/>
      </w:pPr>
      <w:r>
        <w:rPr/>
        <w:t xml:space="preserve">UnitName.Admin.StateCurrentTime[#,#]</w:t>
      </w:r>
    </w:p>
    <w:p>
      <w:pPr>
        <w:pStyle w:val="ListBullet"/>
      </w:pPr>
      <w:r>
        <w:rPr/>
        <w:t xml:space="preserve">UnitName.Admin.StateCumulativeTime[#,#]</w:t>
      </w:r>
    </w:p>
    <w:p>
      <w:pPr>
        <w:pStyle w:val="ListBullet"/>
      </w:pPr>
      <w:r>
        <w:rPr/>
        <w:t xml:space="preserve">UnitName.Admin.ProdConsumedCount[#].Count</w:t>
      </w:r>
    </w:p>
    <w:p>
      <w:pPr>
        <w:pStyle w:val="ListBullet"/>
      </w:pPr>
      <w:r>
        <w:rPr/>
        <w:t xml:space="preserve">UnitName.Admin.ProdProcessedCount[#].Count</w:t>
      </w:r>
    </w:p>
    <w:p>
      <w:pPr>
        <w:pStyle w:val="ListBullet"/>
      </w:pPr>
      <w:r>
        <w:rPr/>
        <w:t xml:space="preserve">UnitName.Admin.ProdDefectiveCount[#].Count</w:t>
      </w:r>
    </w:p>
    <w:p>
      <w:pPr>
        <w:pStyle w:val="ListBullet"/>
      </w:pPr>
      <w:r>
        <w:rPr/>
        <w:t xml:space="preserve">UnitName.Admin.AccTimeSinceReset</w:t>
      </w:r>
    </w:p>
    <w:p>
      <w:pPr>
        <w:pStyle w:val="PARAGRAPH"/>
      </w:pPr>
      <w:r>
        <w:rPr>
          <w:i/>
        </w:rPr>
        <w:t xml:space="preserve">MachDesignSpeed</w:t>
      </w:r>
      <w:r>
        <w:rPr/>
        <w:t xml:space="preserve"> - Represents the maximum design speed of the machine in primary packages per minute for the package configuration being run. This speed is NOT the maximum speed as specified by the manufacturer, but rather the speed of the machine is designed to run in its installed environment.</w:t>
      </w:r>
    </w:p>
    <w:p>
      <w:pPr>
        <w:pStyle w:val="Heading3"/>
      </w:pPr>
      <w:bookmarkStart w:name="Sts_sec_6_3_5" w:id="83"/>
      <w:r>
        <w:rPr/>
        <w:t xml:space="preserve">StateMachines Overview</w:t>
      </w:r>
      <w:bookmarkEnd w:id="83"/>
    </w:p>
    <w:p>
      <w:pPr>
        <w:pStyle w:val="PARAGRAPH"/>
      </w:pPr>
      <w:r>
        <w:fldChar w:fldCharType="begin"/>
      </w:r>
      <w:r>
        <w:instrText xml:space="preserve"> REF Sts_fig_14 \h \* MERGEFORMAT </w:instrText>
      </w:r>
      <w:r>
        <w:fldChar w:fldCharType="separate"/>
      </w:r>
      <w:r>
        <w:rPr/>
        <w:t xml:space="preserve">Figure 14</w:t>
      </w:r>
      <w:r>
        <w:fldChar w:fldCharType="end"/>
      </w:r>
      <w:r>
        <w:rPr/>
        <w:t xml:space="preserve"> provides an overview of the </w:t>
      </w:r>
      <w:r>
        <w:rPr>
          <w:i/>
        </w:rPr>
        <w:t xml:space="preserve">StateMachines</w:t>
      </w:r>
      <w:r>
        <w:rPr/>
        <w:t xml:space="preserve"> that are part of the model.</w:t>
      </w:r>
    </w:p>
    <w:p>
      <w:pPr>
        <w:pStyle w:val="FIGURE"/>
      </w:pPr>
      <w:r>
        <w:drawing>
          <wp:inline xmlns:wp="http://schemas.openxmlformats.org/drawingml/2006/wordprocessingDrawing" distT="0" distB="0" distL="0" distR="0">
            <wp:extent cx="5759450" cy="5733447"/>
            <wp:effectExtent l="0" t="0" r="0" b="0"/>
            <wp:docPr id="16" name="Figure 16" descr="PackML StateMachines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pic:nvPicPr>
                  <pic:blipFill>
                    <a:blip r:embed="R22472f3ab3e946c6"/>
                    <a:stretch>
                      <a:fillRect/>
                    </a:stretch>
                  </pic:blipFill>
                  <pic:spPr>
                    <a:xfrm>
                      <a:off x="0" y="0"/>
                      <a:ext cx="5759450" cy="5733447"/>
                    </a:xfrm>
                    <a:prstGeom prst="rect">
                      <a:avLst/>
                    </a:prstGeom>
                  </pic:spPr>
                </pic:pic>
              </a:graphicData>
            </a:graphic>
          </wp:inline>
        </w:drawing>
      </w:r>
    </w:p>
    <w:p>
      <w:pPr>
        <w:pStyle w:val="FIGURE-title"/>
      </w:pPr>
      <w:bookmarkStart w:name="Sts_fig_14" w:id="84"/>
      <w:r>
        <w:t xml:space="preserve">Figure </w:t>
      </w:r>
      <w:r>
        <w:fldChar w:fldCharType="begin"/>
      </w:r>
      <w:r>
        <w:instrText xml:space="preserve"> SEQ Figure \* ARABIC </w:instrText>
      </w:r>
      <w:r>
        <w:fldChar w:fldCharType="separate"/>
      </w:r>
      <w:r>
        <w:rPr/>
        <w:t xml:space="preserve">14</w:t>
      </w:r>
      <w:r>
        <w:fldChar w:fldCharType="end"/>
      </w:r>
      <w:bookmarkEnd w:id="84"/>
      <w:r>
        <w:t xml:space="preserve"> – </w:t>
      </w:r>
      <w:r>
        <w:rPr/>
        <w:t xml:space="preserve">PackML StateMachines Overview</w:t>
      </w:r>
    </w:p>
    <w:p>
      <w:pPr>
        <w:pStyle w:val="PARAGRAPH"/>
      </w:pPr>
      <w:r>
        <w:rPr/>
        <w:t xml:space="preserve">A key point in PackML </w:t>
      </w:r>
      <w:r>
        <w:rPr>
          <w:i/>
        </w:rPr>
        <w:t xml:space="preserve">StateMachines</w:t>
      </w:r>
      <w:r>
        <w:rPr/>
        <w:t xml:space="preserve"> is that all of the </w:t>
      </w:r>
      <w:r>
        <w:rPr>
          <w:i/>
        </w:rPr>
        <w:t xml:space="preserve">StateMachines *defined in PackML shall require that the optional *AvailableTransitions</w:t>
      </w:r>
      <w:r>
        <w:rPr/>
        <w:t xml:space="preserve"> and </w:t>
      </w:r>
      <w:r>
        <w:rPr>
          <w:i/>
        </w:rPr>
        <w:t xml:space="preserve">AvailableStates</w:t>
      </w:r>
      <w:r>
        <w:rPr/>
        <w:t xml:space="preserve"> component of the FiniteStateMachineType be provided on all instance of the </w:t>
      </w:r>
      <w:r>
        <w:rPr>
          <w:i/>
        </w:rPr>
        <w:t xml:space="preserve">StateMachine</w:t>
      </w:r>
      <w:r>
        <w:rPr/>
        <w:t xml:space="preserve">. This allows </w:t>
      </w:r>
      <w:r>
        <w:rPr>
          <w:i/>
        </w:rPr>
        <w:t xml:space="preserve">Clients</w:t>
      </w:r>
      <w:r>
        <w:rPr/>
        <w:t xml:space="preserve"> to understand the available </w:t>
      </w:r>
      <w:r>
        <w:rPr>
          <w:i/>
        </w:rPr>
        <w:t xml:space="preserve">States</w:t>
      </w:r>
      <w:r>
        <w:rPr/>
        <w:t xml:space="preserve"> and </w:t>
      </w:r>
      <w:r>
        <w:rPr>
          <w:i/>
        </w:rPr>
        <w:t xml:space="preserve">Transitions</w:t>
      </w:r>
      <w:r>
        <w:rPr/>
        <w:t xml:space="preserve"> for the given instance of the </w:t>
      </w:r>
      <w:r>
        <w:rPr>
          <w:i/>
        </w:rPr>
        <w:t xml:space="preserve">StateMachine</w:t>
      </w:r>
      <w:r>
        <w:rPr/>
        <w:t xml:space="preserve">. A </w:t>
      </w:r>
      <w:r>
        <w:rPr>
          <w:i/>
        </w:rPr>
        <w:t xml:space="preserve">StateMachine</w:t>
      </w:r>
      <w:r>
        <w:rPr/>
        <w:t xml:space="preserve"> may restrict the </w:t>
      </w:r>
      <w:r>
        <w:rPr>
          <w:i/>
        </w:rPr>
        <w:t xml:space="preserve">States</w:t>
      </w:r>
      <w:r>
        <w:rPr/>
        <w:t xml:space="preserve"> and </w:t>
      </w:r>
      <w:r>
        <w:rPr>
          <w:i/>
        </w:rPr>
        <w:t xml:space="preserve">Transition</w:t>
      </w:r>
      <w:r>
        <w:rPr/>
        <w:t xml:space="preserve"> that are currently available. The following figure provides an overview of the PackML States. The Stopped </w:t>
      </w:r>
      <w:r>
        <w:rPr>
          <w:i/>
        </w:rPr>
        <w:t xml:space="preserve">State</w:t>
      </w:r>
      <w:r>
        <w:rPr/>
        <w:t xml:space="preserve"> is commonly the initial sub-state that will be the starting point for the </w:t>
      </w:r>
      <w:r>
        <w:rPr>
          <w:i/>
        </w:rPr>
        <w:t xml:space="preserve">Cleared</w:t>
      </w:r>
      <w:r>
        <w:rPr/>
        <w:t xml:space="preserve"> parent state. The </w:t>
      </w:r>
      <w:r>
        <w:rPr>
          <w:i/>
        </w:rPr>
        <w:t xml:space="preserve">Running</w:t>
      </w:r>
      <w:r>
        <w:rPr/>
        <w:t xml:space="preserve"> </w:t>
      </w:r>
      <w:r>
        <w:rPr>
          <w:i/>
        </w:rPr>
        <w:t xml:space="preserve">State</w:t>
      </w:r>
      <w:r>
        <w:rPr/>
        <w:t xml:space="preserve"> commonly will use the </w:t>
      </w:r>
      <w:r>
        <w:rPr>
          <w:i/>
        </w:rPr>
        <w:t xml:space="preserve">Resetting</w:t>
      </w:r>
      <w:r>
        <w:rPr/>
        <w:t xml:space="preserve"> </w:t>
      </w:r>
      <w:r>
        <w:rPr>
          <w:i/>
        </w:rPr>
        <w:t xml:space="preserve">State</w:t>
      </w:r>
      <w:r>
        <w:rPr/>
        <w:t xml:space="preserve"> as the initial state, but not all instance of the </w:t>
      </w:r>
      <w:r>
        <w:rPr>
          <w:i/>
        </w:rPr>
        <w:t xml:space="preserve">Running</w:t>
      </w:r>
      <w:r>
        <w:rPr/>
        <w:t xml:space="preserve"> </w:t>
      </w:r>
      <w:r>
        <w:rPr>
          <w:i/>
        </w:rPr>
        <w:t xml:space="preserve">State</w:t>
      </w:r>
      <w:r>
        <w:rPr/>
        <w:t xml:space="preserve"> sub-state model will include </w:t>
      </w:r>
      <w:r>
        <w:rPr>
          <w:i/>
        </w:rPr>
        <w:t xml:space="preserve">Resetting</w:t>
      </w:r>
      <w:r>
        <w:rPr/>
        <w:t xml:space="preserve">, so no initial state is defined for the </w:t>
      </w:r>
      <w:r>
        <w:rPr>
          <w:i/>
        </w:rPr>
        <w:t xml:space="preserve">Running</w:t>
      </w:r>
      <w:r>
        <w:rPr/>
        <w:t xml:space="preserve"> </w:t>
      </w:r>
      <w:r>
        <w:rPr>
          <w:i/>
        </w:rPr>
        <w:t xml:space="preserve">State</w:t>
      </w:r>
      <w:r>
        <w:rPr/>
        <w:t xml:space="preserve">. The proposed valid initial </w:t>
      </w:r>
      <w:r>
        <w:rPr>
          <w:i/>
        </w:rPr>
        <w:t xml:space="preserve">States</w:t>
      </w:r>
      <w:r>
        <w:rPr/>
        <w:t xml:space="preserve"> for this model are the </w:t>
      </w:r>
      <w:r>
        <w:rPr>
          <w:i/>
        </w:rPr>
        <w:t xml:space="preserve">Idle</w:t>
      </w:r>
      <w:r>
        <w:rPr/>
        <w:t xml:space="preserve"> or </w:t>
      </w:r>
      <w:r>
        <w:rPr>
          <w:i/>
        </w:rPr>
        <w:t xml:space="preserve">Resetting</w:t>
      </w:r>
      <w:r>
        <w:rPr/>
        <w:t xml:space="preserve"> </w:t>
      </w:r>
      <w:r>
        <w:rPr>
          <w:i/>
        </w:rPr>
        <w:t xml:space="preserve">States.</w:t>
      </w:r>
      <w:r>
        <w:rPr/>
        <w:t xml:space="preserve"> This is </w:t>
      </w:r>
      <w:r>
        <w:rPr>
          <w:i/>
        </w:rPr>
        <w:t xml:space="preserve">Server</w:t>
      </w:r>
      <w:r>
        <w:rPr/>
        <w:t xml:space="preserve"> dependant. The initial state for the system is Aborted. Alternative it could be Cleared as parent state with the proposal of Stopped as initial sub state. </w:t>
      </w:r>
      <w:r>
        <w:fldChar w:fldCharType="begin"/>
      </w:r>
      <w:r>
        <w:instrText xml:space="preserve"> REF Sts_fig_15 \h \* MERGEFORMAT </w:instrText>
      </w:r>
      <w:r>
        <w:fldChar w:fldCharType="separate"/>
      </w:r>
      <w:r>
        <w:rPr/>
        <w:t xml:space="preserve">Figure 15</w:t>
      </w:r>
      <w:r>
        <w:fldChar w:fldCharType="end"/>
      </w:r>
      <w:r>
        <w:rPr/>
        <w:t xml:space="preserve"> provide an overview of the states and transitions in the </w:t>
      </w:r>
      <w:r>
        <w:rPr>
          <w:i/>
        </w:rPr>
        <w:t xml:space="preserve">StateMachine. *The model refers to the PackML state model Version 2015. The dashed lines for the Hold transitions are optional extensions of the state model</w:t>
      </w:r>
    </w:p>
    <w:p>
      <w:pPr>
        <w:pStyle w:val="FIGURE"/>
      </w:pPr>
      <w:r>
        <w:drawing>
          <wp:inline xmlns:wp="http://schemas.openxmlformats.org/drawingml/2006/wordprocessingDrawing" distT="0" distB="0" distL="0" distR="0">
            <wp:extent cx="5759450" cy="3798547"/>
            <wp:effectExtent l="0" t="0" r="0" b="0"/>
            <wp:docPr id="17" name="Figure 17" descr="PackML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pic:nvPicPr>
                  <pic:blipFill>
                    <a:blip r:embed="R3724f7b856014036"/>
                    <a:stretch>
                      <a:fillRect/>
                    </a:stretch>
                  </pic:blipFill>
                  <pic:spPr>
                    <a:xfrm>
                      <a:off x="0" y="0"/>
                      <a:ext cx="5759450" cy="3798547"/>
                    </a:xfrm>
                    <a:prstGeom prst="rect">
                      <a:avLst/>
                    </a:prstGeom>
                  </pic:spPr>
                </pic:pic>
              </a:graphicData>
            </a:graphic>
          </wp:inline>
        </w:drawing>
      </w:r>
    </w:p>
    <w:p>
      <w:pPr>
        <w:pStyle w:val="FIGURE-title"/>
      </w:pPr>
      <w:bookmarkStart w:name="Sts_fig_15" w:id="85"/>
      <w:r>
        <w:t xml:space="preserve">Figure </w:t>
      </w:r>
      <w:r>
        <w:fldChar w:fldCharType="begin"/>
      </w:r>
      <w:r>
        <w:instrText xml:space="preserve"> SEQ Figure \* ARABIC </w:instrText>
      </w:r>
      <w:r>
        <w:fldChar w:fldCharType="separate"/>
      </w:r>
      <w:r>
        <w:rPr/>
        <w:t xml:space="preserve">15</w:t>
      </w:r>
      <w:r>
        <w:fldChar w:fldCharType="end"/>
      </w:r>
      <w:bookmarkEnd w:id="85"/>
      <w:r>
        <w:t xml:space="preserve"> – </w:t>
      </w:r>
      <w:r>
        <w:rPr/>
        <w:t xml:space="preserve">PackML States</w:t>
      </w:r>
    </w:p>
    <w:p>
      <w:pPr>
        <w:pStyle w:val="Heading3"/>
      </w:pPr>
      <w:bookmarkStart w:name="Sts_sec_6_3_6" w:id="86"/>
      <w:r>
        <w:rPr/>
        <w:t xml:space="preserve">PackMLBaseStateMachineType</w:t>
      </w:r>
      <w:bookmarkEnd w:id="86"/>
    </w:p>
    <w:p>
      <w:pPr>
        <w:pStyle w:val="PARAGRAPH"/>
      </w:pPr>
      <w:r>
        <w:rPr/>
        <w:t xml:space="preserve">The </w:t>
      </w:r>
      <w:r>
        <w:rPr>
          <w:i/>
        </w:rPr>
        <w:t xml:space="preserve">PackMLBaseStateMachineType</w:t>
      </w:r>
      <w:r>
        <w:rPr/>
        <w:t xml:space="preserve"> is the top level </w:t>
      </w:r>
      <w:r>
        <w:rPr>
          <w:i/>
        </w:rPr>
        <w:t xml:space="preserve">StateMachine</w:t>
      </w:r>
      <w:r>
        <w:rPr/>
        <w:t xml:space="preserve"> for PackML. It is illustrated in </w:t>
      </w:r>
      <w:r>
        <w:fldChar w:fldCharType="begin"/>
      </w:r>
      <w:r>
        <w:instrText xml:space="preserve"> REF Sts_fig_16 \h \* MERGEFORMAT </w:instrText>
      </w:r>
      <w:r>
        <w:fldChar w:fldCharType="separate"/>
      </w:r>
      <w:r>
        <w:rPr/>
        <w:t xml:space="preserve">Figure 16</w:t>
      </w:r>
      <w:r>
        <w:fldChar w:fldCharType="end"/>
      </w:r>
      <w:r>
        <w:rPr/>
        <w:t xml:space="preserve">. The TR-88 specification does not define an initial </w:t>
      </w:r>
      <w:r>
        <w:rPr>
          <w:i/>
        </w:rPr>
        <w:t xml:space="preserve">State</w:t>
      </w:r>
      <w:r>
        <w:rPr/>
        <w:t xml:space="preserve"> for this </w:t>
      </w:r>
      <w:r>
        <w:rPr>
          <w:i/>
        </w:rPr>
        <w:t xml:space="preserve">StateMachine</w:t>
      </w:r>
      <w:r>
        <w:rPr/>
        <w:t xml:space="preserve">, but typically the state machine uses either the </w:t>
      </w:r>
      <w:r>
        <w:rPr>
          <w:i/>
        </w:rPr>
        <w:t xml:space="preserve">Aborted</w:t>
      </w:r>
      <w:r>
        <w:rPr/>
        <w:t xml:space="preserve"> or Stopped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 recommended display names for the various states.</w:t>
      </w:r>
    </w:p>
    <w:p>
      <w:pPr>
        <w:pStyle w:val="FIGURE"/>
      </w:pPr>
      <w:r>
        <w:drawing>
          <wp:inline xmlns:wp="http://schemas.openxmlformats.org/drawingml/2006/wordprocessingDrawing" distT="0" distB="0" distL="0" distR="0">
            <wp:extent cx="5759450" cy="4142889"/>
            <wp:effectExtent l="0" t="0" r="0" b="0"/>
            <wp:docPr id="18" name="Figure 18" descr="PackMLBas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
                    <pic:cNvPicPr/>
                  </pic:nvPicPr>
                  <pic:blipFill>
                    <a:blip r:embed="R5a6f1809508a4795"/>
                    <a:stretch>
                      <a:fillRect/>
                    </a:stretch>
                  </pic:blipFill>
                  <pic:spPr>
                    <a:xfrm>
                      <a:off x="0" y="0"/>
                      <a:ext cx="5759450" cy="4142889"/>
                    </a:xfrm>
                    <a:prstGeom prst="rect">
                      <a:avLst/>
                    </a:prstGeom>
                  </pic:spPr>
                </pic:pic>
              </a:graphicData>
            </a:graphic>
          </wp:inline>
        </w:drawing>
      </w:r>
    </w:p>
    <w:p>
      <w:pPr>
        <w:pStyle w:val="FIGURE-title"/>
      </w:pPr>
      <w:bookmarkStart w:name="Sts_fig_16" w:id="87"/>
      <w:r>
        <w:t xml:space="preserve">Figure </w:t>
      </w:r>
      <w:r>
        <w:fldChar w:fldCharType="begin"/>
      </w:r>
      <w:r>
        <w:instrText xml:space="preserve"> SEQ Figure \* ARABIC </w:instrText>
      </w:r>
      <w:r>
        <w:fldChar w:fldCharType="separate"/>
      </w:r>
      <w:r>
        <w:rPr/>
        <w:t xml:space="preserve">16</w:t>
      </w:r>
      <w:r>
        <w:fldChar w:fldCharType="end"/>
      </w:r>
      <w:bookmarkEnd w:id="87"/>
      <w:r>
        <w:t xml:space="preserve"> – </w:t>
      </w:r>
      <w:r>
        <w:rPr/>
        <w:t xml:space="preserve">PackMLBaseStateMachineType illustration</w:t>
      </w:r>
    </w:p>
    <w:p>
      <w:pPr>
        <w:pStyle w:val="PARAGRAPH"/>
      </w:pPr>
      <w:r>
        <w:rPr/>
        <w:t xml:space="preserve">The </w:t>
      </w:r>
      <w:r>
        <w:rPr>
          <w:i/>
        </w:rPr>
        <w:t xml:space="preserve">PackMLBaseStateMachineType</w:t>
      </w:r>
      <w:r>
        <w:rPr/>
        <w:t xml:space="preserve"> defines the available states in a PackML system. The type is defined in </w:t>
      </w:r>
      <w:r>
        <w:fldChar w:fldCharType="begin"/>
      </w:r>
      <w:r>
        <w:instrText xml:space="preserve"> REF Sts_tbl_6 \h \* MERGEFORMAT </w:instrText>
      </w:r>
      <w:r>
        <w:fldChar w:fldCharType="separate"/>
      </w:r>
      <w:r>
        <w:rPr/>
        <w:t xml:space="preserve">Table 6</w:t>
      </w:r>
      <w:r>
        <w:fldChar w:fldCharType="end"/>
      </w:r>
      <w:r>
        <w:rPr/>
        <w:t xml:space="preserve">.* StateTypes* and </w:t>
      </w:r>
      <w:r>
        <w:rPr>
          <w:i/>
        </w:rPr>
        <w:t xml:space="preserve">TransitionTypes</w:t>
      </w:r>
      <w:r>
        <w:rPr/>
        <w:t xml:space="preserve"> only exist in the type system, thus they do not have a modelling rule.</w:t>
      </w:r>
    </w:p>
    <w:p>
      <w:pPr>
        <w:pStyle w:val="TABLE-title"/>
      </w:pPr>
      <w:bookmarkStart w:name="Sts_tbl_6" w:id="88"/>
      <w:r>
        <w:t xml:space="preserve">Table </w:t>
      </w:r>
      <w:r>
        <w:fldChar w:fldCharType="begin"/>
      </w:r>
      <w:r>
        <w:instrText xml:space="preserve"> SEQ Table \* ARABIC </w:instrText>
      </w:r>
      <w:r>
        <w:fldChar w:fldCharType="separate"/>
      </w:r>
      <w:r>
        <w:rPr/>
        <w:t xml:space="preserve">6</w:t>
      </w:r>
      <w:r>
        <w:fldChar w:fldCharType="end"/>
      </w:r>
      <w:bookmarkEnd w:id="88"/>
      <w:r>
        <w:t xml:space="preserve"> – </w:t>
      </w:r>
      <w:r>
        <w:rPr/>
        <w:t xml:space="preserve">PackMLBaseStateMachineType Definition</w:t>
      </w:r>
    </w:p>
    <w:tbl>
      <w:tblPr>
        <w:tblStyle w:val="TableGrid"/>
        <w:tblW w:w="9070" w:type="dxa"/>
        <w:tblLayout w:type="fixed"/>
      </w:tblPr>
      <w:tblGrid>
        <w:gridCol w:w="1511"/>
        <w:gridCol w:w="1200"/>
        <w:gridCol w:w="1915"/>
        <w:gridCol w:w="1422"/>
        <w:gridCol w:w="1511"/>
        <w:gridCol w:w="1511"/>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PackMLBaseStateMachineType</w:t>
            </w:r>
          </w:p>
        </w:tc>
      </w:tr>
      <w:tr>
        <w:tc>
          <w:tcPr>
            <w:tcW w:w="1511" w:type="dxa"/>
            <w:vAlign w:val="center"/>
          </w:tcPr>
          <w:p>
            <w:pPr>
              <w:pStyle w:val="TABLE-cell"/>
            </w:pPr>
            <w:r>
              <w:rPr/>
              <w:t xml:space="preserve">IsAbstract</w:t>
            </w:r>
          </w:p>
        </w:tc>
        <w:tc>
          <w:tcPr>
            <w:tcW w:w="7559" w:type="dxa"/>
            <w:gridSpan w:val="5"/>
            <w:vAlign w:val="center"/>
          </w:tcPr>
          <w:p>
            <w:pPr>
              <w:pStyle w:val="TABLE-cell"/>
            </w:pPr>
            <w:r>
              <w:rPr/>
              <w:t xml:space="preserve">False</w:t>
            </w:r>
          </w:p>
        </w:tc>
      </w:tr>
      <w:tr>
        <w:tc>
          <w:tcPr>
            <w:tcW w:w="1511" w:type="dxa"/>
            <w:vAlign w:val="center"/>
          </w:tcPr>
          <w:p>
            <w:pPr>
              <w:pStyle w:val="TABLE-cell"/>
            </w:pPr>
            <w:r>
              <w:rPr/>
              <w:t xml:space="preserve">References</w:t>
            </w:r>
          </w:p>
        </w:tc>
        <w:tc>
          <w:tcPr>
            <w:tcW w:w="1200" w:type="dxa"/>
            <w:vAlign w:val="center"/>
          </w:tcPr>
          <w:p>
            <w:pPr>
              <w:pStyle w:val="TABLE-cell"/>
            </w:pPr>
            <w:r>
              <w:rPr/>
              <w:t xml:space="preserve">Node Class</w:t>
            </w:r>
          </w:p>
        </w:tc>
        <w:tc>
          <w:tcPr>
            <w:tcW w:w="1915" w:type="dxa"/>
            <w:vAlign w:val="center"/>
          </w:tcPr>
          <w:p>
            <w:pPr>
              <w:pStyle w:val="TABLE-cell"/>
            </w:pPr>
            <w:r>
              <w:rPr/>
              <w:t xml:space="preserve">BrowseName</w:t>
            </w:r>
          </w:p>
        </w:tc>
        <w:tc>
          <w:tcPr>
            <w:tcW w:w="1422" w:type="dxa"/>
            <w:vAlign w:val="center"/>
          </w:tcPr>
          <w:p>
            <w:pPr>
              <w:pStyle w:val="TABLE-cell"/>
            </w:pPr>
            <w:r>
              <w:rPr/>
              <w:t xml:space="preserve">DataType</w:t>
            </w:r>
          </w:p>
        </w:tc>
        <w:tc>
          <w:tcPr>
            <w:tcW w:w="1511" w:type="dxa"/>
            <w:vAlign w:val="center"/>
          </w:tcPr>
          <w:p>
            <w:pPr>
              <w:pStyle w:val="TABLE-cell"/>
            </w:pPr>
            <w:r>
              <w:rPr/>
              <w:t xml:space="preserve">TypeDefinition</w:t>
            </w:r>
          </w:p>
        </w:tc>
        <w:tc>
          <w:tcPr>
            <w:tcW w:w="1511" w:type="dxa"/>
            <w:vAlign w:val="center"/>
          </w:tcPr>
          <w:p>
            <w:pPr>
              <w:pStyle w:val="TABLE-cell"/>
            </w:pPr>
            <w:r>
              <w:rPr/>
              <w:t xml:space="preserve">ModellingRule</w:t>
            </w:r>
          </w:p>
        </w:tc>
      </w:tr>
      <w:tr>
        <w:tc>
          <w:tcPr>
            <w:tcW w:w="9070" w:type="dxa"/>
            <w:gridSpan w:val="6"/>
            <w:vAlign w:val="center"/>
          </w:tcPr>
          <w:p>
            <w:pPr>
              <w:pStyle w:val="TABLE-cell"/>
            </w:pPr>
            <w:r>
              <w:rPr/>
              <w:t xml:space="preserve">Subtype of the 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Variable</w:t>
            </w:r>
          </w:p>
        </w:tc>
        <w:tc>
          <w:tcPr>
            <w:tcW w:w="1915" w:type="dxa"/>
            <w:vAlign w:val="center"/>
          </w:tcPr>
          <w:p>
            <w:pPr>
              <w:pStyle w:val="TABLE-cell"/>
            </w:pPr>
            <w:r>
              <w:rPr/>
              <w:t xml:space="preserve">0:AvailableTransitions</w:t>
            </w:r>
          </w:p>
        </w:tc>
        <w:tc>
          <w:tcPr>
            <w:tcW w:w="1422" w:type="dxa"/>
            <w:vAlign w:val="center"/>
          </w:tcPr>
          <w:p>
            <w:pPr>
              <w:pStyle w:val="TABLE-cell"/>
            </w:pPr>
            <w:r>
              <w:rPr/>
              <w:t xml:space="preserve">NodeId[]</w:t>
            </w:r>
          </w:p>
        </w:tc>
        <w:tc>
          <w:tcPr>
            <w:tcW w:w="1511" w:type="dxa"/>
            <w:vAlign w:val="center"/>
          </w:tcPr>
          <w:p>
            <w:pPr>
              <w:pStyle w:val="TABLE-cell"/>
            </w:pPr>
            <w:r>
              <w:rPr/>
              <w:t xml:space="preserve">BaseDataVariableType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Variable</w:t>
            </w:r>
          </w:p>
        </w:tc>
        <w:tc>
          <w:tcPr>
            <w:tcW w:w="1915" w:type="dxa"/>
            <w:vAlign w:val="center"/>
          </w:tcPr>
          <w:p>
            <w:pPr>
              <w:pStyle w:val="TABLE-cell"/>
            </w:pPr>
            <w:r>
              <w:rPr/>
              <w:t xml:space="preserve">0:AvailableStates</w:t>
            </w:r>
          </w:p>
        </w:tc>
        <w:tc>
          <w:tcPr>
            <w:tcW w:w="1422" w:type="dxa"/>
            <w:vAlign w:val="center"/>
          </w:tcPr>
          <w:p>
            <w:pPr>
              <w:pStyle w:val="TABLE-cell"/>
            </w:pPr>
            <w:r>
              <w:rPr/>
              <w:t xml:space="preserve">NodeId[]</w:t>
            </w:r>
          </w:p>
        </w:tc>
        <w:tc>
          <w:tcPr>
            <w:tcW w:w="1511" w:type="dxa"/>
            <w:vAlign w:val="center"/>
          </w:tcPr>
          <w:p>
            <w:pPr>
              <w:pStyle w:val="TABLE-cell"/>
            </w:pPr>
            <w:r>
              <w:rPr/>
              <w:t xml:space="preserve">BaseDataVariableType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Aborting</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Aborted</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Cleared</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MachineState</w:t>
            </w:r>
          </w:p>
        </w:tc>
        <w:tc>
          <w:tcPr>
            <w:tcW w:w="1422" w:type="dxa"/>
            <w:vAlign w:val="center"/>
          </w:tcPr>
          <w:p>
            <w:pPr>
              <w:pStyle w:val="TABLE-cell"/>
            </w:pPr>
          </w:p>
        </w:tc>
        <w:tc>
          <w:tcPr>
            <w:tcW w:w="1511" w:type="dxa"/>
            <w:vAlign w:val="center"/>
          </w:tcPr>
          <w:p>
            <w:pPr>
              <w:pStyle w:val="TABLE-cell"/>
            </w:pPr>
            <w:r>
              <w:rPr/>
              <w:t xml:space="preserve">PackMLMachineStateMachineType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AbortedToCleared</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AbortingToAborted</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ClearedToAborting</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Method</w:t>
            </w:r>
          </w:p>
        </w:tc>
        <w:tc>
          <w:tcPr>
            <w:tcW w:w="1915" w:type="dxa"/>
            <w:vAlign w:val="center"/>
          </w:tcPr>
          <w:p>
            <w:pPr>
              <w:pStyle w:val="TABLE-cell"/>
            </w:pPr>
            <w:r>
              <w:rPr/>
              <w:t xml:space="preserve">Abort</w:t>
            </w:r>
          </w:p>
        </w:tc>
        <w:tc>
          <w:tcPr>
            <w:tcW w:w="1422" w:type="dxa"/>
            <w:vAlign w:val="center"/>
          </w:tcPr>
          <w:p>
            <w:pPr>
              <w:pStyle w:val="TABLE-cell"/>
            </w:pPr>
            <w:r>
              <w:rPr/>
              <w:t xml:space="preserve">Defined in 6.7.5</w:t>
            </w:r>
          </w:p>
        </w:tc>
        <w:tc>
          <w:tcPr>
            <w:tcW w:w="1511" w:type="dxa"/>
            <w:vAlign w:val="center"/>
          </w:tcPr>
          <w:p>
            <w:pPr>
              <w:pStyle w:val="TABLE-cell"/>
            </w:pPr>
          </w:p>
        </w:tc>
        <w:tc>
          <w:tcPr>
            <w:tcW w:w="1511"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Method</w:t>
            </w:r>
          </w:p>
        </w:tc>
        <w:tc>
          <w:tcPr>
            <w:tcW w:w="1915" w:type="dxa"/>
            <w:vAlign w:val="center"/>
          </w:tcPr>
          <w:p>
            <w:pPr>
              <w:pStyle w:val="TABLE-cell"/>
            </w:pPr>
            <w:r>
              <w:rPr/>
              <w:t xml:space="preserve">Clear</w:t>
            </w:r>
          </w:p>
        </w:tc>
        <w:tc>
          <w:tcPr>
            <w:tcW w:w="1422" w:type="dxa"/>
            <w:vAlign w:val="center"/>
          </w:tcPr>
          <w:p>
            <w:pPr>
              <w:pStyle w:val="TABLE-cell"/>
            </w:pPr>
            <w:r>
              <w:rPr/>
              <w:t xml:space="preserve">Defined in 6.7.6</w:t>
            </w:r>
          </w:p>
        </w:tc>
        <w:tc>
          <w:tcPr>
            <w:tcW w:w="1511" w:type="dxa"/>
            <w:vAlign w:val="center"/>
          </w:tcPr>
          <w:p>
            <w:pPr>
              <w:pStyle w:val="TABLE-cell"/>
            </w:pPr>
          </w:p>
        </w:tc>
        <w:tc>
          <w:tcPr>
            <w:tcW w:w="1511" w:type="dxa"/>
            <w:vAlign w:val="center"/>
          </w:tcPr>
          <w:p>
            <w:pPr>
              <w:pStyle w:val="TABLE-cell"/>
            </w:pPr>
            <w:r>
              <w:rPr/>
              <w:t xml:space="preserve">Optional</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PackMLBaseStateMachine</w:t>
      </w:r>
      <w:r>
        <w:rPr/>
        <w:t xml:space="preserve"> and are made </w:t>
      </w:r>
      <w:r>
        <w:rPr>
          <w:i/>
        </w:rPr>
        <w:t xml:space="preserve">Mandatory</w:t>
      </w:r>
      <w:r>
        <w:rPr/>
        <w:t xml:space="preserve">. The </w:t>
      </w:r>
      <w:r>
        <w:rPr>
          <w:i/>
        </w:rPr>
        <w:t xml:space="preserve">PackMLBaseStateMachine</w:t>
      </w:r>
      <w:r>
        <w:rPr/>
        <w:t xml:space="preserve"> does include a sub-state machine that provides sub-states for the </w:t>
      </w:r>
      <w:r>
        <w:rPr>
          <w:i/>
        </w:rPr>
        <w:t xml:space="preserve">Cleared</w:t>
      </w:r>
      <w:r>
        <w:rPr/>
        <w:t xml:space="preserve"> </w:t>
      </w:r>
      <w:r>
        <w:rPr>
          <w:i/>
        </w:rPr>
        <w:t xml:space="preserve">State</w:t>
      </w:r>
      <w:r>
        <w:rPr/>
        <w:t xml:space="preserve">.</w:t>
      </w:r>
    </w:p>
    <w:p>
      <w:pPr>
        <w:pStyle w:val="PARAGRAPH"/>
      </w:pPr>
      <w:r>
        <w:rPr>
          <w:i/>
        </w:rPr>
        <w:t xml:space="preserve">Aborting</w:t>
      </w:r>
      <w:r>
        <w:rPr/>
        <w:t xml:space="preserve"> - The ABORTING state can be entered at any time in response to the </w:t>
      </w:r>
      <w:r>
        <w:rPr>
          <w:i/>
        </w:rPr>
        <w:t xml:space="preserve">Abort</w:t>
      </w:r>
      <w:r>
        <w:rPr/>
        <w:t xml:space="preserve"> command or on the occurrence of a machine fault. The aborting logic will bring the machine to a rapid safe stop. Operation of the emergency stop will cause the machine to be tripped by its safety system. It will also provide a signal to initiate the ABORT State. The value of this </w:t>
      </w:r>
      <w:r>
        <w:rPr>
          <w:i/>
        </w:rPr>
        <w:t xml:space="preserve">StateType</w:t>
      </w:r>
      <w:r>
        <w:rPr/>
        <w:t xml:space="preserve"> is 8.</w:t>
      </w:r>
    </w:p>
    <w:p>
      <w:pPr>
        <w:pStyle w:val="PARAGRAPH"/>
      </w:pPr>
      <w:r>
        <w:rPr>
          <w:i/>
        </w:rPr>
        <w:t xml:space="preserve">Aborted</w:t>
      </w:r>
      <w:r>
        <w:rPr/>
        <w:t xml:space="preserve"> - This state maintains machine status information relevant to the Abort condition. The machine can only exit the ABORTED state after an explicit Clear command, subsequently to manual intervention to correct and reset the detected machine faults. The value of this </w:t>
      </w:r>
      <w:r>
        <w:rPr>
          <w:i/>
        </w:rPr>
        <w:t xml:space="preserve">StateType</w:t>
      </w:r>
      <w:r>
        <w:rPr/>
        <w:t xml:space="preserve"> is 9.</w:t>
      </w:r>
    </w:p>
    <w:p>
      <w:pPr>
        <w:pStyle w:val="PARAGRAPH"/>
      </w:pPr>
      <w:r>
        <w:rPr>
          <w:i/>
        </w:rPr>
        <w:t xml:space="preserve">Cleared</w:t>
      </w:r>
      <w:r>
        <w:rPr/>
        <w:t xml:space="preserve"> - this state exposes the MachineState sub StateMachine and state associated with this substate machine. The value of this </w:t>
      </w:r>
      <w:r>
        <w:rPr>
          <w:i/>
        </w:rPr>
        <w:t xml:space="preserve">StateType</w:t>
      </w:r>
      <w:r>
        <w:rPr/>
        <w:t xml:space="preserve"> is 19.</w:t>
      </w:r>
    </w:p>
    <w:p>
      <w:pPr>
        <w:pStyle w:val="PARAGRAPH"/>
      </w:pPr>
      <w:r>
        <w:rPr>
          <w:i/>
        </w:rPr>
        <w:t xml:space="preserve">MachineState</w:t>
      </w:r>
      <w:r>
        <w:rPr/>
        <w:t xml:space="preserve"> - A PackMLMachineStateMachineType defined in section </w:t>
      </w:r>
      <w:r>
        <w:fldChar w:fldCharType="begin"/>
      </w:r>
      <w:r>
        <w:instrText xml:space="preserve"> REF Sts_sec_6_3_7 \r \h \* MERGEFORMAT </w:instrText>
      </w:r>
      <w:r>
        <w:fldChar w:fldCharType="separate"/>
      </w:r>
      <w:r>
        <w:rPr/>
        <w:t xml:space="preserve">6.3.7</w:t>
      </w:r>
      <w:r>
        <w:fldChar w:fldCharType="end"/>
      </w:r>
      <w:r>
        <w:rPr/>
        <w:t xml:space="preserve">.</w:t>
      </w:r>
    </w:p>
    <w:p>
      <w:pPr>
        <w:pStyle w:val="PARAGRAPH"/>
      </w:pPr>
      <w:r>
        <w:rPr>
          <w:i/>
        </w:rPr>
        <w:t xml:space="preserve">Abort</w:t>
      </w:r>
      <w:r>
        <w:rPr/>
        <w:t xml:space="preserve"> - a </w:t>
      </w:r>
      <w:r>
        <w:rPr>
          <w:i/>
        </w:rPr>
        <w:t xml:space="preserve">Method</w:t>
      </w:r>
      <w:r>
        <w:rPr/>
        <w:t xml:space="preserve"> to trigger a change of state to </w:t>
      </w:r>
      <w:r>
        <w:rPr>
          <w:i/>
        </w:rPr>
        <w:t xml:space="preserve">Aborting</w:t>
      </w:r>
      <w:r>
        <w:rPr/>
        <w:t xml:space="preserve">. This will affect all sub-states in cleared state. Defined in </w:t>
      </w:r>
      <w:r>
        <w:fldChar w:fldCharType="begin"/>
      </w:r>
      <w:r>
        <w:instrText xml:space="preserve"> REF Sts_sec_6_7_5 \r \h \* MERGEFORMAT </w:instrText>
      </w:r>
      <w:r>
        <w:fldChar w:fldCharType="separate"/>
      </w:r>
      <w:r>
        <w:rPr/>
        <w:t xml:space="preserve">6.7.5</w:t>
      </w:r>
      <w:r>
        <w:fldChar w:fldCharType="end"/>
      </w:r>
      <w:r>
        <w:rPr/>
        <w:t xml:space="preserve">.</w:t>
      </w:r>
    </w:p>
    <w:p>
      <w:pPr>
        <w:pStyle w:val="PARAGRAPH"/>
      </w:pPr>
      <w:r>
        <w:rPr>
          <w:i/>
        </w:rPr>
        <w:t xml:space="preserve">Clear</w:t>
      </w:r>
      <w:r>
        <w:rPr/>
        <w:t xml:space="preserve"> - a </w:t>
      </w:r>
      <w:r>
        <w:rPr>
          <w:i/>
        </w:rPr>
        <w:t xml:space="preserve">Method</w:t>
      </w:r>
      <w:r>
        <w:rPr/>
        <w:t xml:space="preserve"> to trigger a change of state to the </w:t>
      </w:r>
      <w:r>
        <w:rPr>
          <w:i/>
        </w:rPr>
        <w:t xml:space="preserve">Cleared. Defined in </w:t>
      </w:r>
      <w:r>
        <w:fldChar w:fldCharType="begin"/>
      </w:r>
      <w:r>
        <w:instrText xml:space="preserve"> REF Sts_sec_6_7_6 \r \h \* MERGEFORMAT </w:instrText>
      </w:r>
      <w:r>
        <w:fldChar w:fldCharType="separate"/>
      </w:r>
      <w:r>
        <w:rPr/>
        <w:t xml:space="preserve">6.7.6</w:t>
      </w:r>
      <w:r>
        <w:fldChar w:fldCharType="end"/>
      </w:r>
      <w:r>
        <w:rPr/>
        <w:t xml:space="preserve">.</w:t>
      </w:r>
    </w:p>
    <w:p>
      <w:pPr>
        <w:pStyle w:val="PARAGRAPH"/>
      </w:pPr>
      <w:r>
        <w:fldChar w:fldCharType="begin"/>
      </w:r>
      <w:r>
        <w:instrText xml:space="preserve"> REF Sts_tbl_7 \h \* MERGEFORMAT </w:instrText>
      </w:r>
      <w:r>
        <w:fldChar w:fldCharType="separate"/>
      </w:r>
      <w:r>
        <w:rPr/>
        <w:t xml:space="preserve">Table 7</w:t>
      </w:r>
      <w:r>
        <w:fldChar w:fldCharType="end"/>
      </w:r>
      <w:r>
        <w:rPr/>
        <w:t xml:space="preserve"> defines the available </w:t>
      </w:r>
      <w:r>
        <w:rPr>
          <w:i/>
        </w:rPr>
        <w:t xml:space="preserve">Transitions</w:t>
      </w:r>
      <w:r>
        <w:rPr/>
        <w:t xml:space="preserve"> in the PackMLBaseStateMachineType.</w:t>
      </w:r>
    </w:p>
    <w:p>
      <w:pPr>
        <w:pStyle w:val="TABLE-title"/>
      </w:pPr>
      <w:bookmarkStart w:name="Sts_tbl_7" w:id="89"/>
      <w:r>
        <w:t xml:space="preserve">Table </w:t>
      </w:r>
      <w:r>
        <w:fldChar w:fldCharType="begin"/>
      </w:r>
      <w:r>
        <w:instrText xml:space="preserve"> SEQ Table \* ARABIC </w:instrText>
      </w:r>
      <w:r>
        <w:fldChar w:fldCharType="separate"/>
      </w:r>
      <w:r>
        <w:rPr/>
        <w:t xml:space="preserve">7</w:t>
      </w:r>
      <w:r>
        <w:fldChar w:fldCharType="end"/>
      </w:r>
      <w:bookmarkEnd w:id="89"/>
      <w:r>
        <w:t xml:space="preserve"> – </w:t>
      </w:r>
      <w:r>
        <w:rPr/>
        <w:t xml:space="preserve">PackMLBaseStateMachineType Additional References</w:t>
      </w:r>
    </w:p>
    <w:tbl>
      <w:tblPr>
        <w:tblStyle w:val="TableGrid"/>
        <w:tblW w:w="9070" w:type="dxa"/>
        <w:tblLayout w:type="fixed"/>
      </w:tblPr>
      <w:tblGrid>
        <w:gridCol w:w="2967"/>
        <w:gridCol w:w="2441"/>
        <w:gridCol w:w="1744"/>
        <w:gridCol w:w="1918"/>
      </w:tblGrid>
      <w:tr>
        <w:trPr>
          <w:tblHeader/>
        </w:trPr>
        <w:tc>
          <w:tcPr>
            <w:tcW w:w="2967" w:type="dxa"/>
            <w:vAlign w:val="center"/>
          </w:tcPr>
          <w:p>
            <w:pPr>
              <w:pStyle w:val="TABLE-col-heading"/>
              <w:jc w:val="left"/>
            </w:pPr>
            <w:r>
              <w:rPr/>
              <w:t xml:space="preserve">Source Path</w:t>
            </w:r>
          </w:p>
        </w:tc>
        <w:tc>
          <w:tcPr>
            <w:tcW w:w="2441" w:type="dxa"/>
            <w:vAlign w:val="center"/>
          </w:tcPr>
          <w:p>
            <w:pPr>
              <w:pStyle w:val="TABLE-col-heading"/>
              <w:jc w:val="left"/>
            </w:pPr>
            <w:r>
              <w:rPr/>
              <w:t xml:space="preserve">Reference Type</w:t>
            </w:r>
          </w:p>
        </w:tc>
        <w:tc>
          <w:tcPr>
            <w:tcW w:w="1744" w:type="dxa"/>
            <w:vAlign w:val="center"/>
          </w:tcPr>
          <w:p>
            <w:pPr>
              <w:pStyle w:val="TABLE-col-heading"/>
              <w:jc w:val="left"/>
            </w:pPr>
            <w:r>
              <w:rPr/>
              <w:t xml:space="preserve">Is Forward</w:t>
            </w:r>
          </w:p>
        </w:tc>
        <w:tc>
          <w:tcPr>
            <w:tcW w:w="1918" w:type="dxa"/>
            <w:vAlign w:val="center"/>
          </w:tcPr>
          <w:p>
            <w:pPr>
              <w:pStyle w:val="TABLE-col-heading"/>
              <w:jc w:val="left"/>
            </w:pPr>
            <w:r>
              <w:rPr/>
              <w:t xml:space="preserve">Target Path</w:t>
            </w:r>
          </w:p>
        </w:tc>
      </w:tr>
      <w:tr>
        <w:tc>
          <w:tcPr>
            <w:tcW w:w="2967" w:type="dxa"/>
            <w:vAlign w:val="center"/>
          </w:tcPr>
          <w:p>
            <w:pPr>
              <w:pStyle w:val="TABLE-cell"/>
            </w:pPr>
            <w:r>
              <w:rPr/>
              <w:t xml:space="preserve">ClearedToAborting</w:t>
            </w: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Aborting</w:t>
            </w:r>
          </w:p>
        </w:tc>
      </w:tr>
      <w:tr>
        <w:tc>
          <w:tcPr>
            <w:tcW w:w="2967" w:type="dxa"/>
            <w:vAlign w:val="center"/>
          </w:tcPr>
          <w:p>
            <w:pPr>
              <w:pStyle w:val="TABLE-cell"/>
            </w:pP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Cleared</w:t>
            </w:r>
          </w:p>
        </w:tc>
      </w:tr>
      <w:tr>
        <w:tc>
          <w:tcPr>
            <w:tcW w:w="2967" w:type="dxa"/>
            <w:vAlign w:val="center"/>
          </w:tcPr>
          <w:p>
            <w:pPr>
              <w:pStyle w:val="TABLE-cell"/>
            </w:pPr>
          </w:p>
        </w:tc>
        <w:tc>
          <w:tcPr>
            <w:tcW w:w="2441" w:type="dxa"/>
            <w:vAlign w:val="center"/>
          </w:tcPr>
          <w:p>
            <w:pPr>
              <w:pStyle w:val="TABLE-cell"/>
            </w:pPr>
            <w:r>
              <w:rPr/>
              <w:t xml:space="preserve">HasCause</w:t>
            </w:r>
          </w:p>
        </w:tc>
        <w:tc>
          <w:tcPr>
            <w:tcW w:w="1744" w:type="dxa"/>
            <w:vAlign w:val="center"/>
          </w:tcPr>
          <w:p>
            <w:pPr>
              <w:pStyle w:val="TABLE-cell"/>
            </w:pPr>
            <w:r>
              <w:rPr/>
              <w:t xml:space="preserve">True</w:t>
            </w:r>
          </w:p>
        </w:tc>
        <w:tc>
          <w:tcPr>
            <w:tcW w:w="1918" w:type="dxa"/>
            <w:vAlign w:val="center"/>
          </w:tcPr>
          <w:p>
            <w:pPr>
              <w:pStyle w:val="TABLE-cell"/>
            </w:pPr>
            <w:r>
              <w:rPr/>
              <w:t xml:space="preserve">Abort</w:t>
            </w:r>
          </w:p>
        </w:tc>
      </w:tr>
      <w:tr>
        <w:tc>
          <w:tcPr>
            <w:tcW w:w="2967" w:type="dxa"/>
            <w:vAlign w:val="center"/>
          </w:tcPr>
          <w:p>
            <w:pPr>
              <w:pStyle w:val="TABLE-cell"/>
            </w:pPr>
            <w:r>
              <w:rPr/>
              <w:t xml:space="preserve">AbortingToAborted</w:t>
            </w: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Aborted</w:t>
            </w:r>
          </w:p>
        </w:tc>
      </w:tr>
      <w:tr>
        <w:tc>
          <w:tcPr>
            <w:tcW w:w="2967" w:type="dxa"/>
            <w:vAlign w:val="center"/>
          </w:tcPr>
          <w:p>
            <w:pPr>
              <w:pStyle w:val="TABLE-cell"/>
            </w:pP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Aborting</w:t>
            </w:r>
          </w:p>
        </w:tc>
      </w:tr>
      <w:tr>
        <w:tc>
          <w:tcPr>
            <w:tcW w:w="2967" w:type="dxa"/>
            <w:vAlign w:val="center"/>
          </w:tcPr>
          <w:p>
            <w:pPr>
              <w:pStyle w:val="TABLE-cell"/>
            </w:pPr>
            <w:r>
              <w:rPr/>
              <w:t xml:space="preserve">AbortedToCleared</w:t>
            </w: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Cleared</w:t>
            </w:r>
          </w:p>
        </w:tc>
      </w:tr>
      <w:tr>
        <w:tc>
          <w:tcPr>
            <w:tcW w:w="2967" w:type="dxa"/>
            <w:vAlign w:val="center"/>
          </w:tcPr>
          <w:p>
            <w:pPr>
              <w:pStyle w:val="TABLE-cell"/>
            </w:pP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Aborted</w:t>
            </w:r>
          </w:p>
        </w:tc>
      </w:tr>
      <w:tr>
        <w:tc>
          <w:tcPr>
            <w:tcW w:w="2967" w:type="dxa"/>
            <w:vAlign w:val="center"/>
          </w:tcPr>
          <w:p>
            <w:pPr>
              <w:pStyle w:val="TABLE-cell"/>
            </w:pPr>
          </w:p>
        </w:tc>
        <w:tc>
          <w:tcPr>
            <w:tcW w:w="2441" w:type="dxa"/>
            <w:vAlign w:val="center"/>
          </w:tcPr>
          <w:p>
            <w:pPr>
              <w:pStyle w:val="TABLE-cell"/>
            </w:pPr>
            <w:r>
              <w:rPr/>
              <w:t xml:space="preserve">HasCause</w:t>
            </w:r>
          </w:p>
        </w:tc>
        <w:tc>
          <w:tcPr>
            <w:tcW w:w="1744" w:type="dxa"/>
            <w:vAlign w:val="center"/>
          </w:tcPr>
          <w:p>
            <w:pPr>
              <w:pStyle w:val="TABLE-cell"/>
            </w:pPr>
            <w:r>
              <w:rPr/>
              <w:t xml:space="preserve">True</w:t>
            </w:r>
          </w:p>
        </w:tc>
        <w:tc>
          <w:tcPr>
            <w:tcW w:w="1918" w:type="dxa"/>
            <w:vAlign w:val="center"/>
          </w:tcPr>
          <w:p>
            <w:pPr>
              <w:pStyle w:val="TABLE-cell"/>
            </w:pPr>
            <w:r>
              <w:rPr/>
              <w:t xml:space="preserve">Clear</w:t>
            </w:r>
          </w:p>
        </w:tc>
      </w:tr>
    </w:tbl>
    <w:p>
      <w:pPr>
        <w:pStyle w:val="spacer"/>
      </w:pPr>
    </w:p>
    <w:p>
      <w:pPr>
        <w:pStyle w:val="Heading3"/>
      </w:pPr>
      <w:bookmarkStart w:name="Sts_sec_6_3_7" w:id="90"/>
      <w:r>
        <w:rPr/>
        <w:t xml:space="preserve">PackMLMachineStateMachineType</w:t>
      </w:r>
      <w:bookmarkEnd w:id="90"/>
    </w:p>
    <w:p>
      <w:pPr>
        <w:pStyle w:val="PARAGRAPH"/>
      </w:pPr>
      <w:r>
        <w:rPr/>
        <w:t xml:space="preserve">The </w:t>
      </w:r>
      <w:r>
        <w:rPr>
          <w:i/>
        </w:rPr>
        <w:t xml:space="preserve">PackMLMachineStateMachineType</w:t>
      </w:r>
      <w:r>
        <w:rPr/>
        <w:t xml:space="preserve"> defines the machine level state machine. It is illustrated in </w:t>
      </w:r>
      <w:r>
        <w:fldChar w:fldCharType="begin"/>
      </w:r>
      <w:r>
        <w:instrText xml:space="preserve"> REF Sts_fig_17 \h \* MERGEFORMAT </w:instrText>
      </w:r>
      <w:r>
        <w:fldChar w:fldCharType="separate"/>
      </w:r>
      <w:r>
        <w:rPr/>
        <w:t xml:space="preserve">Figure 17</w:t>
      </w:r>
      <w:r>
        <w:fldChar w:fldCharType="end"/>
      </w:r>
      <w:r>
        <w:rPr/>
        <w:t xml:space="preserve">.</w:t>
      </w:r>
    </w:p>
    <w:p>
      <w:pPr>
        <w:pStyle w:val="PARAGRAPH"/>
      </w:pPr>
      <w:r>
        <w:rPr/>
        <w:t xml:space="preserve">The TR-88 specification does not define an initial </w:t>
      </w:r>
      <w:r>
        <w:rPr>
          <w:i/>
        </w:rPr>
        <w:t xml:space="preserve">State</w:t>
      </w:r>
      <w:r>
        <w:rPr/>
        <w:t xml:space="preserve"> for this </w:t>
      </w:r>
      <w:r>
        <w:rPr>
          <w:i/>
        </w:rPr>
        <w:t xml:space="preserve">StateMachine</w:t>
      </w:r>
      <w:r>
        <w:rPr/>
        <w:t xml:space="preserve">, but typically the state machine uses </w:t>
      </w:r>
      <w:r>
        <w:rPr>
          <w:i/>
        </w:rPr>
        <w:t xml:space="preserve">Stopped</w:t>
      </w:r>
      <w:r>
        <w:rPr/>
        <w:t xml:space="preserve">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provides recommended display names for the various states.</w:t>
      </w:r>
    </w:p>
    <w:p>
      <w:pPr>
        <w:pStyle w:val="FIGURE"/>
      </w:pPr>
      <w:r>
        <w:drawing>
          <wp:inline xmlns:wp="http://schemas.openxmlformats.org/drawingml/2006/wordprocessingDrawing" distT="0" distB="0" distL="0" distR="0">
            <wp:extent cx="5759450" cy="4868744"/>
            <wp:effectExtent l="0" t="0" r="0" b="0"/>
            <wp:docPr id="19" name="Figure 19" descr="PackMLMachin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
                    <pic:cNvPicPr/>
                  </pic:nvPicPr>
                  <pic:blipFill>
                    <a:blip r:embed="Ra4a5641bbfc045ff"/>
                    <a:stretch>
                      <a:fillRect/>
                    </a:stretch>
                  </pic:blipFill>
                  <pic:spPr>
                    <a:xfrm>
                      <a:off x="0" y="0"/>
                      <a:ext cx="5759450" cy="4868744"/>
                    </a:xfrm>
                    <a:prstGeom prst="rect">
                      <a:avLst/>
                    </a:prstGeom>
                  </pic:spPr>
                </pic:pic>
              </a:graphicData>
            </a:graphic>
          </wp:inline>
        </w:drawing>
      </w:r>
    </w:p>
    <w:p>
      <w:pPr>
        <w:pStyle w:val="FIGURE-title"/>
      </w:pPr>
      <w:bookmarkStart w:name="Sts_fig_17" w:id="91"/>
      <w:r>
        <w:t xml:space="preserve">Figure </w:t>
      </w:r>
      <w:r>
        <w:fldChar w:fldCharType="begin"/>
      </w:r>
      <w:r>
        <w:instrText xml:space="preserve"> SEQ Figure \* ARABIC </w:instrText>
      </w:r>
      <w:r>
        <w:fldChar w:fldCharType="separate"/>
      </w:r>
      <w:r>
        <w:rPr/>
        <w:t xml:space="preserve">17</w:t>
      </w:r>
      <w:r>
        <w:fldChar w:fldCharType="end"/>
      </w:r>
      <w:bookmarkEnd w:id="91"/>
      <w:r>
        <w:t xml:space="preserve"> – </w:t>
      </w:r>
      <w:r>
        <w:rPr/>
        <w:t xml:space="preserve">PackMLMachineStateMachineType illustration</w:t>
      </w:r>
    </w:p>
    <w:p>
      <w:pPr>
        <w:pStyle w:val="PARAGRAPH"/>
      </w:pPr>
      <w:r>
        <w:fldChar w:fldCharType="begin"/>
      </w:r>
      <w:r>
        <w:instrText xml:space="preserve"> REF Sts_tbl_8 \h \* MERGEFORMAT </w:instrText>
      </w:r>
      <w:r>
        <w:fldChar w:fldCharType="separate"/>
      </w:r>
      <w:r>
        <w:rPr/>
        <w:t xml:space="preserve">Table 8</w:t>
      </w:r>
      <w:r>
        <w:fldChar w:fldCharType="end"/>
      </w:r>
      <w:r>
        <w:rPr/>
        <w:t xml:space="preserve"> defines the </w:t>
      </w:r>
      <w:r>
        <w:rPr>
          <w:i/>
        </w:rPr>
        <w:t xml:space="preserve">PackMLMachineStateMachineType</w:t>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8" w:id="92"/>
      <w:r>
        <w:t xml:space="preserve">Table </w:t>
      </w:r>
      <w:r>
        <w:fldChar w:fldCharType="begin"/>
      </w:r>
      <w:r>
        <w:instrText xml:space="preserve"> SEQ Table \* ARABIC </w:instrText>
      </w:r>
      <w:r>
        <w:fldChar w:fldCharType="separate"/>
      </w:r>
      <w:r>
        <w:rPr/>
        <w:t xml:space="preserve">8</w:t>
      </w:r>
      <w:r>
        <w:fldChar w:fldCharType="end"/>
      </w:r>
      <w:bookmarkEnd w:id="92"/>
      <w:r>
        <w:t xml:space="preserve"> – </w:t>
      </w:r>
      <w:r>
        <w:rPr/>
        <w:t xml:space="preserve">PackMLMachineStateMachineType Definition</w:t>
      </w:r>
    </w:p>
    <w:tbl>
      <w:tblPr>
        <w:tblStyle w:val="TableGrid"/>
        <w:tblW w:w="9070" w:type="dxa"/>
        <w:tblLayout w:type="fixed"/>
      </w:tblPr>
      <w:tblGrid>
        <w:gridCol w:w="1511"/>
        <w:gridCol w:w="1200"/>
        <w:gridCol w:w="1915"/>
        <w:gridCol w:w="1422"/>
        <w:gridCol w:w="1511"/>
        <w:gridCol w:w="1511"/>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PackMLMachineStateMachineType</w:t>
            </w:r>
          </w:p>
        </w:tc>
      </w:tr>
      <w:tr>
        <w:tc>
          <w:tcPr>
            <w:tcW w:w="1511" w:type="dxa"/>
            <w:vAlign w:val="center"/>
          </w:tcPr>
          <w:p>
            <w:pPr>
              <w:pStyle w:val="TABLE-cell"/>
            </w:pPr>
            <w:r>
              <w:rPr/>
              <w:t xml:space="preserve">IsAbstract</w:t>
            </w:r>
          </w:p>
        </w:tc>
        <w:tc>
          <w:tcPr>
            <w:tcW w:w="7559" w:type="dxa"/>
            <w:gridSpan w:val="5"/>
            <w:vAlign w:val="center"/>
          </w:tcPr>
          <w:p>
            <w:pPr>
              <w:pStyle w:val="TABLE-cell"/>
            </w:pPr>
            <w:r>
              <w:rPr/>
              <w:t xml:space="preserve">False</w:t>
            </w:r>
          </w:p>
        </w:tc>
      </w:tr>
      <w:tr>
        <w:tc>
          <w:tcPr>
            <w:tcW w:w="1511" w:type="dxa"/>
            <w:vAlign w:val="center"/>
          </w:tcPr>
          <w:p>
            <w:pPr>
              <w:pStyle w:val="TABLE-cell"/>
            </w:pPr>
            <w:r>
              <w:rPr/>
              <w:t xml:space="preserve">Reference</w:t>
            </w:r>
          </w:p>
        </w:tc>
        <w:tc>
          <w:tcPr>
            <w:tcW w:w="1200" w:type="dxa"/>
            <w:vAlign w:val="center"/>
          </w:tcPr>
          <w:p>
            <w:pPr>
              <w:pStyle w:val="TABLE-cell"/>
            </w:pPr>
            <w:r>
              <w:rPr/>
              <w:t xml:space="preserve">Node Class</w:t>
            </w:r>
          </w:p>
        </w:tc>
        <w:tc>
          <w:tcPr>
            <w:tcW w:w="1915" w:type="dxa"/>
            <w:vAlign w:val="center"/>
          </w:tcPr>
          <w:p>
            <w:pPr>
              <w:pStyle w:val="TABLE-cell"/>
            </w:pPr>
            <w:r>
              <w:rPr/>
              <w:t xml:space="preserve">BrowseName</w:t>
            </w:r>
          </w:p>
        </w:tc>
        <w:tc>
          <w:tcPr>
            <w:tcW w:w="1422" w:type="dxa"/>
            <w:vAlign w:val="center"/>
          </w:tcPr>
          <w:p>
            <w:pPr>
              <w:pStyle w:val="TABLE-cell"/>
            </w:pPr>
            <w:r>
              <w:rPr/>
              <w:t xml:space="preserve">DataType</w:t>
            </w:r>
          </w:p>
        </w:tc>
        <w:tc>
          <w:tcPr>
            <w:tcW w:w="1511" w:type="dxa"/>
            <w:vAlign w:val="center"/>
          </w:tcPr>
          <w:p>
            <w:pPr>
              <w:pStyle w:val="TABLE-cell"/>
            </w:pPr>
            <w:r>
              <w:rPr/>
              <w:t xml:space="preserve">TypeDefinition</w:t>
            </w:r>
          </w:p>
        </w:tc>
        <w:tc>
          <w:tcPr>
            <w:tcW w:w="1511" w:type="dxa"/>
            <w:vAlign w:val="center"/>
          </w:tcPr>
          <w:p>
            <w:pPr>
              <w:pStyle w:val="TABLE-cell"/>
            </w:pPr>
            <w:r>
              <w:rPr/>
              <w:t xml:space="preserve">ModellingRule</w:t>
            </w:r>
          </w:p>
        </w:tc>
      </w:tr>
      <w:tr>
        <w:tc>
          <w:tcPr>
            <w:tcW w:w="9070" w:type="dxa"/>
            <w:gridSpan w:val="6"/>
            <w:vAlign w:val="center"/>
          </w:tcPr>
          <w:p>
            <w:pPr>
              <w:pStyle w:val="TABLE-cell"/>
            </w:pPr>
            <w:r>
              <w:rPr/>
              <w:t xml:space="preserve">Subtype of the FiniteStateMachineType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Variable</w:t>
            </w:r>
          </w:p>
        </w:tc>
        <w:tc>
          <w:tcPr>
            <w:tcW w:w="1915" w:type="dxa"/>
            <w:vAlign w:val="center"/>
          </w:tcPr>
          <w:p>
            <w:pPr>
              <w:pStyle w:val="TABLE-cell"/>
            </w:pPr>
            <w:r>
              <w:rPr/>
              <w:t xml:space="preserve">0:AvailableTransitions</w:t>
            </w:r>
          </w:p>
        </w:tc>
        <w:tc>
          <w:tcPr>
            <w:tcW w:w="1422" w:type="dxa"/>
            <w:vAlign w:val="center"/>
          </w:tcPr>
          <w:p>
            <w:pPr>
              <w:pStyle w:val="TABLE-cell"/>
            </w:pPr>
            <w:r>
              <w:rPr/>
              <w:t xml:space="preserve">NodeId[]</w:t>
            </w:r>
          </w:p>
        </w:tc>
        <w:tc>
          <w:tcPr>
            <w:tcW w:w="1511" w:type="dxa"/>
            <w:vAlign w:val="center"/>
          </w:tcPr>
          <w:p>
            <w:pPr>
              <w:pStyle w:val="TABLE-cell"/>
            </w:pPr>
            <w:r>
              <w:rPr/>
              <w:t xml:space="preserve">BaseDataVariableType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Variable</w:t>
            </w:r>
          </w:p>
        </w:tc>
        <w:tc>
          <w:tcPr>
            <w:tcW w:w="1915" w:type="dxa"/>
            <w:vAlign w:val="center"/>
          </w:tcPr>
          <w:p>
            <w:pPr>
              <w:pStyle w:val="TABLE-cell"/>
            </w:pPr>
            <w:r>
              <w:rPr/>
              <w:t xml:space="preserve">0:AvailableStates</w:t>
            </w:r>
          </w:p>
        </w:tc>
        <w:tc>
          <w:tcPr>
            <w:tcW w:w="1422" w:type="dxa"/>
            <w:vAlign w:val="center"/>
          </w:tcPr>
          <w:p>
            <w:pPr>
              <w:pStyle w:val="TABLE-cell"/>
            </w:pPr>
            <w:r>
              <w:rPr/>
              <w:t xml:space="preserve">NodeId[]</w:t>
            </w:r>
          </w:p>
        </w:tc>
        <w:tc>
          <w:tcPr>
            <w:tcW w:w="1511" w:type="dxa"/>
            <w:vAlign w:val="center"/>
          </w:tcPr>
          <w:p>
            <w:pPr>
              <w:pStyle w:val="TABLE-cell"/>
            </w:pPr>
            <w:r>
              <w:rPr/>
              <w:t xml:space="preserve">BaseDataVariableType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Stopped</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Stopping</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Clearing</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Running</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ExecuteState</w:t>
            </w:r>
          </w:p>
        </w:tc>
        <w:tc>
          <w:tcPr>
            <w:tcW w:w="1422" w:type="dxa"/>
            <w:vAlign w:val="center"/>
          </w:tcPr>
          <w:p>
            <w:pPr>
              <w:pStyle w:val="TABLE-cell"/>
            </w:pPr>
          </w:p>
        </w:tc>
        <w:tc>
          <w:tcPr>
            <w:tcW w:w="1511" w:type="dxa"/>
            <w:vAlign w:val="center"/>
          </w:tcPr>
          <w:p>
            <w:pPr>
              <w:pStyle w:val="TABLE-cell"/>
            </w:pPr>
            <w:r>
              <w:rPr/>
              <w:t xml:space="preserve">PackMLExecuteStateMachineType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StoppingToStopped</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ClearingToStopped</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StoppedToRunning</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RunningToStopping</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Method</w:t>
            </w:r>
          </w:p>
        </w:tc>
        <w:tc>
          <w:tcPr>
            <w:tcW w:w="1915" w:type="dxa"/>
            <w:vAlign w:val="center"/>
          </w:tcPr>
          <w:p>
            <w:pPr>
              <w:pStyle w:val="TABLE-cell"/>
            </w:pPr>
            <w:r>
              <w:rPr/>
              <w:t xml:space="preserve">Stop</w:t>
            </w:r>
          </w:p>
        </w:tc>
        <w:tc>
          <w:tcPr>
            <w:tcW w:w="1422" w:type="dxa"/>
            <w:vAlign w:val="center"/>
          </w:tcPr>
          <w:p>
            <w:pPr>
              <w:pStyle w:val="TABLE-cell"/>
            </w:pPr>
            <w:r>
              <w:rPr/>
              <w:t xml:space="preserve">Defined in 6.7.7</w:t>
            </w:r>
          </w:p>
        </w:tc>
        <w:tc>
          <w:tcPr>
            <w:tcW w:w="1511" w:type="dxa"/>
            <w:vAlign w:val="center"/>
          </w:tcPr>
          <w:p>
            <w:pPr>
              <w:pStyle w:val="TABLE-cell"/>
            </w:pPr>
          </w:p>
        </w:tc>
        <w:tc>
          <w:tcPr>
            <w:tcW w:w="1511"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Method</w:t>
            </w:r>
          </w:p>
        </w:tc>
        <w:tc>
          <w:tcPr>
            <w:tcW w:w="1915" w:type="dxa"/>
            <w:vAlign w:val="center"/>
          </w:tcPr>
          <w:p>
            <w:pPr>
              <w:pStyle w:val="TABLE-cell"/>
            </w:pPr>
            <w:r>
              <w:rPr/>
              <w:t xml:space="preserve">Reset</w:t>
            </w:r>
          </w:p>
        </w:tc>
        <w:tc>
          <w:tcPr>
            <w:tcW w:w="1422" w:type="dxa"/>
            <w:vAlign w:val="center"/>
          </w:tcPr>
          <w:p>
            <w:pPr>
              <w:pStyle w:val="TABLE-cell"/>
            </w:pPr>
            <w:r>
              <w:rPr/>
              <w:t xml:space="preserve">Defined in 6.7.8</w:t>
            </w:r>
          </w:p>
        </w:tc>
        <w:tc>
          <w:tcPr>
            <w:tcW w:w="1511" w:type="dxa"/>
            <w:vAlign w:val="center"/>
          </w:tcPr>
          <w:p>
            <w:pPr>
              <w:pStyle w:val="TABLE-cell"/>
            </w:pPr>
          </w:p>
        </w:tc>
        <w:tc>
          <w:tcPr>
            <w:tcW w:w="1511" w:type="dxa"/>
            <w:vAlign w:val="center"/>
          </w:tcPr>
          <w:p>
            <w:pPr>
              <w:pStyle w:val="TABLE-cell"/>
            </w:pPr>
            <w:r>
              <w:rPr/>
              <w:t xml:space="preserve">Optional</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PackMLMachineStateMachineType</w:t>
      </w:r>
      <w:r>
        <w:rPr/>
        <w:t xml:space="preserve"> and are made </w:t>
      </w:r>
      <w:r>
        <w:rPr>
          <w:i/>
        </w:rPr>
        <w:t xml:space="preserve">Mandatory</w:t>
      </w:r>
      <w:r>
        <w:rPr/>
        <w:t xml:space="preserve">. The </w:t>
      </w:r>
      <w:r>
        <w:rPr>
          <w:i/>
        </w:rPr>
        <w:t xml:space="preserve">PackMLMachineStateMachineType</w:t>
      </w:r>
      <w:r>
        <w:rPr/>
        <w:t xml:space="preserve"> does include a sub-state machine that provides sub-states for the Run State.</w:t>
      </w:r>
    </w:p>
    <w:p>
      <w:pPr>
        <w:pStyle w:val="PARAGRAPH"/>
      </w:pPr>
      <w:r>
        <w:rPr>
          <w:i/>
        </w:rPr>
        <w:t xml:space="preserve">Stopped</w:t>
      </w:r>
      <w:r>
        <w:rPr/>
        <w:t xml:space="preserve"> - The machine is powered and stationary after completing the STOPPING state. All communications with other systems are functioning (if applicable). The value of this StateType is 2</w:t>
      </w:r>
    </w:p>
    <w:p>
      <w:pPr>
        <w:pStyle w:val="PARAGRAPH"/>
      </w:pPr>
      <w:r>
        <w:rPr>
          <w:i/>
        </w:rPr>
        <w:t xml:space="preserve">Stopping</w:t>
      </w:r>
      <w:r>
        <w:rPr/>
        <w:t xml:space="preserve"> - This state executes the logic which brings the machine to a controlled stop as reflected by the STOPPED state. The value of this StateType is 7.</w:t>
      </w:r>
    </w:p>
    <w:p>
      <w:pPr>
        <w:pStyle w:val="PARAGRAPH"/>
      </w:pPr>
      <w:r>
        <w:rPr>
          <w:i/>
        </w:rPr>
        <w:t xml:space="preserve">Clearing</w:t>
      </w:r>
      <w:r>
        <w:rPr/>
        <w:t xml:space="preserve"> - Initiated by a state command to clear faults that may have occurred when ABORTING, and are present in the ABORTED state. The value of this StateType is 1.</w:t>
      </w:r>
    </w:p>
    <w:p>
      <w:pPr>
        <w:pStyle w:val="PARAGRAPH"/>
      </w:pPr>
      <w:r>
        <w:rPr>
          <w:i/>
        </w:rPr>
        <w:t xml:space="preserve">Running</w:t>
      </w:r>
      <w:r>
        <w:rPr/>
        <w:t xml:space="preserve"> - the </w:t>
      </w:r>
      <w:r>
        <w:rPr>
          <w:i/>
        </w:rPr>
        <w:t xml:space="preserve">State</w:t>
      </w:r>
      <w:r>
        <w:rPr/>
        <w:t xml:space="preserve"> that allows the </w:t>
      </w:r>
      <w:r>
        <w:rPr>
          <w:i/>
        </w:rPr>
        <w:t xml:space="preserve">ExecuteState</w:t>
      </w:r>
      <w:r>
        <w:rPr/>
        <w:t xml:space="preserve"> machine to become active, enabling sub-states provided by this </w:t>
      </w:r>
      <w:r>
        <w:rPr>
          <w:i/>
        </w:rPr>
        <w:t xml:space="preserve">StateMachine.</w:t>
      </w:r>
      <w:r>
        <w:rPr/>
        <w:t xml:space="preserve"> The value of this StateType is 18.</w:t>
      </w:r>
    </w:p>
    <w:p>
      <w:pPr>
        <w:pStyle w:val="PARAGRAPH"/>
      </w:pPr>
      <w:r>
        <w:rPr>
          <w:i/>
        </w:rPr>
        <w:t xml:space="preserve">ExecuteState</w:t>
      </w:r>
      <w:r>
        <w:rPr/>
        <w:t xml:space="preserve"> - </w:t>
      </w:r>
      <w:r>
        <w:rPr>
          <w:i/>
        </w:rPr>
        <w:t xml:space="preserve">StateMachine</w:t>
      </w:r>
      <w:r>
        <w:rPr/>
        <w:t xml:space="preserve"> that provides additional sub states.</w:t>
      </w:r>
    </w:p>
    <w:p>
      <w:pPr>
        <w:pStyle w:val="PARAGRAPH"/>
      </w:pPr>
      <w:r>
        <w:rPr>
          <w:i/>
        </w:rPr>
        <w:t xml:space="preserve">Stop</w:t>
      </w:r>
      <w:r>
        <w:rPr/>
        <w:t xml:space="preserve"> - A </w:t>
      </w:r>
      <w:r>
        <w:rPr>
          <w:i/>
        </w:rPr>
        <w:t xml:space="preserve">Method</w:t>
      </w:r>
      <w:r>
        <w:rPr/>
        <w:t xml:space="preserve"> to trigger a change of state to </w:t>
      </w:r>
      <w:r>
        <w:rPr>
          <w:i/>
        </w:rPr>
        <w:t xml:space="preserve">Stopping</w:t>
      </w:r>
      <w:r>
        <w:rPr/>
        <w:t xml:space="preserve">. This will affect all sub-states in </w:t>
      </w:r>
      <w:r>
        <w:rPr>
          <w:i/>
        </w:rPr>
        <w:t xml:space="preserve">Run</w:t>
      </w:r>
      <w:r>
        <w:rPr/>
        <w:t xml:space="preserve"> state. Defined in </w:t>
      </w:r>
      <w:r>
        <w:fldChar w:fldCharType="begin"/>
      </w:r>
      <w:r>
        <w:instrText xml:space="preserve"> REF Sts_sec_6_7_7 \r \h \* MERGEFORMAT </w:instrText>
      </w:r>
      <w:r>
        <w:fldChar w:fldCharType="separate"/>
      </w:r>
      <w:r>
        <w:rPr/>
        <w:t xml:space="preserve">6.7.7</w:t>
      </w:r>
      <w:r>
        <w:fldChar w:fldCharType="end"/>
      </w:r>
    </w:p>
    <w:p>
      <w:pPr>
        <w:pStyle w:val="PARAGRAPH"/>
      </w:pPr>
      <w:r>
        <w:rPr>
          <w:i/>
        </w:rPr>
        <w:t xml:space="preserve">Reset</w:t>
      </w:r>
      <w:r>
        <w:rPr/>
        <w:t xml:space="preserve"> - A </w:t>
      </w:r>
      <w:r>
        <w:rPr>
          <w:i/>
        </w:rPr>
        <w:t xml:space="preserve">Method</w:t>
      </w:r>
      <w:r>
        <w:rPr/>
        <w:t xml:space="preserve"> to trigger a change of state to </w:t>
      </w:r>
      <w:r>
        <w:rPr>
          <w:i/>
        </w:rPr>
        <w:t xml:space="preserve">Running, *enabling all of the sub-states of *Running</w:t>
      </w:r>
      <w:r>
        <w:rPr/>
        <w:t xml:space="preserve"> and the respective </w:t>
      </w:r>
      <w:r>
        <w:rPr>
          <w:i/>
        </w:rPr>
        <w:t xml:space="preserve">Methods</w:t>
      </w:r>
      <w:r>
        <w:rPr/>
        <w:t xml:space="preserve"> that they expose. Defined in </w:t>
      </w:r>
      <w:r>
        <w:fldChar w:fldCharType="begin"/>
      </w:r>
      <w:r>
        <w:instrText xml:space="preserve"> REF Sts_sec_6_7_8 \r \h \* MERGEFORMAT </w:instrText>
      </w:r>
      <w:r>
        <w:fldChar w:fldCharType="separate"/>
      </w:r>
      <w:r>
        <w:rPr/>
        <w:t xml:space="preserve">6.7.8</w:t>
      </w:r>
      <w:r>
        <w:fldChar w:fldCharType="end"/>
      </w:r>
    </w:p>
    <w:p>
      <w:pPr>
        <w:pStyle w:val="PARAGRAPH"/>
      </w:pPr>
      <w:r>
        <w:rPr/>
        <w:t xml:space="preserve">The transitions are defined in </w:t>
      </w:r>
      <w:r>
        <w:fldChar w:fldCharType="begin"/>
      </w:r>
      <w:r>
        <w:instrText xml:space="preserve"> REF Sts_tbl_9 \h \* MERGEFORMAT </w:instrText>
      </w:r>
      <w:r>
        <w:fldChar w:fldCharType="separate"/>
      </w:r>
      <w:r>
        <w:rPr/>
        <w:t xml:space="preserve">Table 9</w:t>
      </w:r>
      <w:r>
        <w:fldChar w:fldCharType="end"/>
      </w:r>
      <w:r>
        <w:rPr/>
        <w:t xml:space="preserve">.</w:t>
      </w:r>
    </w:p>
    <w:p>
      <w:pPr>
        <w:pStyle w:val="TABLE-title"/>
      </w:pPr>
      <w:bookmarkStart w:name="Sts_tbl_9" w:id="93"/>
      <w:r>
        <w:t xml:space="preserve">Table </w:t>
      </w:r>
      <w:r>
        <w:fldChar w:fldCharType="begin"/>
      </w:r>
      <w:r>
        <w:instrText xml:space="preserve"> SEQ Table \* ARABIC </w:instrText>
      </w:r>
      <w:r>
        <w:fldChar w:fldCharType="separate"/>
      </w:r>
      <w:r>
        <w:rPr/>
        <w:t xml:space="preserve">9</w:t>
      </w:r>
      <w:r>
        <w:fldChar w:fldCharType="end"/>
      </w:r>
      <w:bookmarkEnd w:id="93"/>
      <w:r>
        <w:t xml:space="preserve"> – </w:t>
      </w:r>
      <w:r>
        <w:rPr/>
        <w:t xml:space="preserve">PackMLMachineStateMachineType Additional References</w:t>
      </w:r>
    </w:p>
    <w:tbl>
      <w:tblPr>
        <w:tblStyle w:val="TableGrid"/>
        <w:tblW w:w="9070" w:type="dxa"/>
        <w:tblLayout w:type="fixed"/>
      </w:tblPr>
      <w:tblGrid>
        <w:gridCol w:w="2967"/>
        <w:gridCol w:w="2441"/>
        <w:gridCol w:w="1744"/>
        <w:gridCol w:w="1918"/>
      </w:tblGrid>
      <w:tr>
        <w:trPr>
          <w:tblHeader/>
        </w:trPr>
        <w:tc>
          <w:tcPr>
            <w:tcW w:w="2967" w:type="dxa"/>
            <w:vAlign w:val="center"/>
          </w:tcPr>
          <w:p>
            <w:pPr>
              <w:pStyle w:val="TABLE-col-heading"/>
              <w:jc w:val="left"/>
            </w:pPr>
            <w:r>
              <w:rPr/>
              <w:t xml:space="preserve">Source Path</w:t>
            </w:r>
          </w:p>
        </w:tc>
        <w:tc>
          <w:tcPr>
            <w:tcW w:w="2441" w:type="dxa"/>
            <w:vAlign w:val="center"/>
          </w:tcPr>
          <w:p>
            <w:pPr>
              <w:pStyle w:val="TABLE-col-heading"/>
              <w:jc w:val="left"/>
            </w:pPr>
            <w:r>
              <w:rPr/>
              <w:t xml:space="preserve">Reference Type</w:t>
            </w:r>
          </w:p>
        </w:tc>
        <w:tc>
          <w:tcPr>
            <w:tcW w:w="1744" w:type="dxa"/>
            <w:vAlign w:val="center"/>
          </w:tcPr>
          <w:p>
            <w:pPr>
              <w:pStyle w:val="TABLE-col-heading"/>
              <w:jc w:val="left"/>
            </w:pPr>
            <w:r>
              <w:rPr/>
              <w:t xml:space="preserve">Is Forward</w:t>
            </w:r>
          </w:p>
        </w:tc>
        <w:tc>
          <w:tcPr>
            <w:tcW w:w="1918" w:type="dxa"/>
            <w:vAlign w:val="center"/>
          </w:tcPr>
          <w:p>
            <w:pPr>
              <w:pStyle w:val="TABLE-col-heading"/>
              <w:jc w:val="left"/>
            </w:pPr>
            <w:r>
              <w:rPr/>
              <w:t xml:space="preserve">Target Path</w:t>
            </w:r>
          </w:p>
        </w:tc>
      </w:tr>
      <w:tr>
        <w:tc>
          <w:tcPr>
            <w:tcW w:w="2967" w:type="dxa"/>
            <w:vAlign w:val="center"/>
          </w:tcPr>
          <w:p>
            <w:pPr>
              <w:pStyle w:val="TABLE-cell"/>
            </w:pPr>
            <w:r>
              <w:rPr/>
              <w:t xml:space="preserve">StoppedToRunning</w:t>
            </w: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Stopped</w:t>
            </w:r>
          </w:p>
        </w:tc>
      </w:tr>
      <w:tr>
        <w:tc>
          <w:tcPr>
            <w:tcW w:w="2967" w:type="dxa"/>
            <w:vAlign w:val="center"/>
          </w:tcPr>
          <w:p>
            <w:pPr>
              <w:pStyle w:val="TABLE-cell"/>
            </w:pP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Running</w:t>
            </w:r>
          </w:p>
        </w:tc>
      </w:tr>
      <w:tr>
        <w:tc>
          <w:tcPr>
            <w:tcW w:w="2967" w:type="dxa"/>
            <w:vAlign w:val="center"/>
          </w:tcPr>
          <w:p>
            <w:pPr>
              <w:pStyle w:val="TABLE-cell"/>
            </w:pPr>
          </w:p>
        </w:tc>
        <w:tc>
          <w:tcPr>
            <w:tcW w:w="2441" w:type="dxa"/>
            <w:vAlign w:val="center"/>
          </w:tcPr>
          <w:p>
            <w:pPr>
              <w:pStyle w:val="TABLE-cell"/>
            </w:pPr>
            <w:r>
              <w:rPr/>
              <w:t xml:space="preserve">HasCause</w:t>
            </w:r>
          </w:p>
        </w:tc>
        <w:tc>
          <w:tcPr>
            <w:tcW w:w="1744" w:type="dxa"/>
            <w:vAlign w:val="center"/>
          </w:tcPr>
          <w:p>
            <w:pPr>
              <w:pStyle w:val="TABLE-cell"/>
            </w:pPr>
            <w:r>
              <w:rPr/>
              <w:t xml:space="preserve">True</w:t>
            </w:r>
          </w:p>
        </w:tc>
        <w:tc>
          <w:tcPr>
            <w:tcW w:w="1918" w:type="dxa"/>
            <w:vAlign w:val="center"/>
          </w:tcPr>
          <w:p>
            <w:pPr>
              <w:pStyle w:val="TABLE-cell"/>
            </w:pPr>
            <w:r>
              <w:rPr/>
              <w:t xml:space="preserve">Reset</w:t>
            </w:r>
          </w:p>
        </w:tc>
      </w:tr>
      <w:tr>
        <w:tc>
          <w:tcPr>
            <w:tcW w:w="2967" w:type="dxa"/>
            <w:vAlign w:val="center"/>
          </w:tcPr>
          <w:p>
            <w:pPr>
              <w:pStyle w:val="TABLE-cell"/>
            </w:pPr>
            <w:r>
              <w:rPr/>
              <w:t xml:space="preserve">StoppingToStopped</w:t>
            </w: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Stopping</w:t>
            </w:r>
          </w:p>
        </w:tc>
      </w:tr>
      <w:tr>
        <w:tc>
          <w:tcPr>
            <w:tcW w:w="2967" w:type="dxa"/>
            <w:vAlign w:val="center"/>
          </w:tcPr>
          <w:p>
            <w:pPr>
              <w:pStyle w:val="TABLE-cell"/>
            </w:pP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Stopped</w:t>
            </w:r>
          </w:p>
        </w:tc>
      </w:tr>
      <w:tr>
        <w:tc>
          <w:tcPr>
            <w:tcW w:w="2967" w:type="dxa"/>
            <w:vAlign w:val="center"/>
          </w:tcPr>
          <w:p>
            <w:pPr>
              <w:pStyle w:val="TABLE-cell"/>
            </w:pPr>
            <w:r>
              <w:rPr/>
              <w:t xml:space="preserve">ClearingToStopped</w:t>
            </w: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Clearing</w:t>
            </w:r>
          </w:p>
        </w:tc>
      </w:tr>
      <w:tr>
        <w:tc>
          <w:tcPr>
            <w:tcW w:w="2967" w:type="dxa"/>
            <w:vAlign w:val="center"/>
          </w:tcPr>
          <w:p>
            <w:pPr>
              <w:pStyle w:val="TABLE-cell"/>
            </w:pP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Stopped</w:t>
            </w:r>
          </w:p>
        </w:tc>
      </w:tr>
      <w:tr>
        <w:tc>
          <w:tcPr>
            <w:tcW w:w="2967" w:type="dxa"/>
            <w:vAlign w:val="center"/>
          </w:tcPr>
          <w:p>
            <w:pPr>
              <w:pStyle w:val="TABLE-cell"/>
            </w:pPr>
            <w:r>
              <w:rPr/>
              <w:t xml:space="preserve">RunningToStopping</w:t>
            </w: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Running</w:t>
            </w:r>
          </w:p>
        </w:tc>
      </w:tr>
      <w:tr>
        <w:tc>
          <w:tcPr>
            <w:tcW w:w="2967" w:type="dxa"/>
            <w:vAlign w:val="center"/>
          </w:tcPr>
          <w:p>
            <w:pPr>
              <w:pStyle w:val="TABLE-cell"/>
            </w:pP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Stopping</w:t>
            </w:r>
          </w:p>
        </w:tc>
      </w:tr>
      <w:tr>
        <w:tc>
          <w:tcPr>
            <w:tcW w:w="2967" w:type="dxa"/>
            <w:vAlign w:val="center"/>
          </w:tcPr>
          <w:p>
            <w:pPr>
              <w:pStyle w:val="TABLE-cell"/>
            </w:pPr>
          </w:p>
        </w:tc>
        <w:tc>
          <w:tcPr>
            <w:tcW w:w="2441" w:type="dxa"/>
            <w:vAlign w:val="center"/>
          </w:tcPr>
          <w:p>
            <w:pPr>
              <w:pStyle w:val="TABLE-cell"/>
            </w:pPr>
            <w:r>
              <w:rPr/>
              <w:t xml:space="preserve">HasCause</w:t>
            </w:r>
          </w:p>
        </w:tc>
        <w:tc>
          <w:tcPr>
            <w:tcW w:w="1744" w:type="dxa"/>
            <w:vAlign w:val="center"/>
          </w:tcPr>
          <w:p>
            <w:pPr>
              <w:pStyle w:val="TABLE-cell"/>
            </w:pPr>
            <w:r>
              <w:rPr/>
              <w:t xml:space="preserve">True</w:t>
            </w:r>
          </w:p>
        </w:tc>
        <w:tc>
          <w:tcPr>
            <w:tcW w:w="1918" w:type="dxa"/>
            <w:vAlign w:val="center"/>
          </w:tcPr>
          <w:p>
            <w:pPr>
              <w:pStyle w:val="TABLE-cell"/>
            </w:pPr>
            <w:r>
              <w:rPr/>
              <w:t xml:space="preserve">Stop</w:t>
            </w:r>
          </w:p>
        </w:tc>
      </w:tr>
    </w:tbl>
    <w:p>
      <w:pPr>
        <w:pStyle w:val="spacer"/>
      </w:pPr>
    </w:p>
    <w:p>
      <w:pPr>
        <w:pStyle w:val="Heading3"/>
      </w:pPr>
      <w:bookmarkStart w:name="Sts_sec_6_3_8" w:id="94"/>
      <w:r>
        <w:rPr/>
        <w:t xml:space="preserve">PackMLExecuteStateMachineType</w:t>
      </w:r>
      <w:bookmarkEnd w:id="94"/>
    </w:p>
    <w:p>
      <w:pPr>
        <w:pStyle w:val="PARAGRAPH"/>
      </w:pPr>
      <w:r>
        <w:rPr/>
        <w:t xml:space="preserve">The </w:t>
      </w:r>
      <w:r>
        <w:rPr>
          <w:i/>
        </w:rPr>
        <w:t xml:space="preserve">PackMLExecuteStateMachineType</w:t>
      </w:r>
      <w:r>
        <w:rPr/>
        <w:t xml:space="preserve"> provides all of the base states defined in PackML. It is illustrated in </w:t>
      </w:r>
      <w:r>
        <w:fldChar w:fldCharType="begin"/>
      </w:r>
      <w:r>
        <w:instrText xml:space="preserve"> REF Sts_fig_18 \h \* MERGEFORMAT </w:instrText>
      </w:r>
      <w:r>
        <w:fldChar w:fldCharType="separate"/>
      </w:r>
      <w:r>
        <w:rPr/>
        <w:t xml:space="preserve">Figure 18</w:t>
      </w:r>
      <w:r>
        <w:fldChar w:fldCharType="end"/>
      </w:r>
      <w:r>
        <w:rPr/>
        <w:t xml:space="preserve">. The TR-88 specification does not define an initial State for this StateMachine, but typically the state machine use either the </w:t>
      </w:r>
      <w:r>
        <w:rPr>
          <w:i/>
        </w:rPr>
        <w:t xml:space="preserve">Idle</w:t>
      </w:r>
      <w:r>
        <w:rPr/>
        <w:t xml:space="preserve"> or </w:t>
      </w:r>
      <w:r>
        <w:rPr>
          <w:i/>
        </w:rPr>
        <w:t xml:space="preserve">Resetting</w:t>
      </w:r>
      <w:r>
        <w:rPr/>
        <w:t xml:space="preserve">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 recommended display names for the various states.</w:t>
      </w:r>
    </w:p>
    <w:p>
      <w:pPr>
        <w:pStyle w:val="FIGURE"/>
      </w:pPr>
      <w:r>
        <w:drawing>
          <wp:inline xmlns:wp="http://schemas.openxmlformats.org/drawingml/2006/wordprocessingDrawing" distT="0" distB="0" distL="0" distR="0">
            <wp:extent cx="5759450" cy="8345619"/>
            <wp:effectExtent l="0" t="0" r="0" b="0"/>
            <wp:docPr id="20" name="Figure 20" descr="PackMLExecut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pic:nvPicPr>
                  <pic:blipFill>
                    <a:blip r:embed="R3e37d43e672e4086"/>
                    <a:stretch>
                      <a:fillRect/>
                    </a:stretch>
                  </pic:blipFill>
                  <pic:spPr>
                    <a:xfrm>
                      <a:off x="0" y="0"/>
                      <a:ext cx="5759450" cy="8345619"/>
                    </a:xfrm>
                    <a:prstGeom prst="rect">
                      <a:avLst/>
                    </a:prstGeom>
                  </pic:spPr>
                </pic:pic>
              </a:graphicData>
            </a:graphic>
          </wp:inline>
        </w:drawing>
      </w:r>
    </w:p>
    <w:p>
      <w:pPr>
        <w:pStyle w:val="FIGURE-title"/>
      </w:pPr>
      <w:bookmarkStart w:name="Sts_fig_18" w:id="95"/>
      <w:r>
        <w:t xml:space="preserve">Figure </w:t>
      </w:r>
      <w:r>
        <w:fldChar w:fldCharType="begin"/>
      </w:r>
      <w:r>
        <w:instrText xml:space="preserve"> SEQ Figure \* ARABIC </w:instrText>
      </w:r>
      <w:r>
        <w:fldChar w:fldCharType="separate"/>
      </w:r>
      <w:r>
        <w:rPr/>
        <w:t xml:space="preserve">18</w:t>
      </w:r>
      <w:r>
        <w:fldChar w:fldCharType="end"/>
      </w:r>
      <w:bookmarkEnd w:id="95"/>
      <w:r>
        <w:t xml:space="preserve"> – </w:t>
      </w:r>
      <w:r>
        <w:rPr/>
        <w:t xml:space="preserve">PackMLExecuteStateMachineType illustration</w:t>
      </w:r>
    </w:p>
    <w:p>
      <w:pPr>
        <w:pStyle w:val="PARAGRAPH"/>
      </w:pPr>
      <w:r>
        <w:rPr/>
        <w:t xml:space="preserve">The </w:t>
      </w:r>
      <w:r>
        <w:rPr>
          <w:i/>
        </w:rPr>
        <w:t xml:space="preserve">PackMLExecuteStateMachineType</w:t>
      </w:r>
      <w:r>
        <w:rPr/>
        <w:t xml:space="preserve"> is defined in </w:t>
      </w:r>
      <w:r>
        <w:fldChar w:fldCharType="begin"/>
      </w:r>
      <w:r>
        <w:instrText xml:space="preserve"> REF Sts_tbl_10 \h \* MERGEFORMAT </w:instrText>
      </w:r>
      <w:r>
        <w:fldChar w:fldCharType="separate"/>
      </w:r>
      <w:r>
        <w:rPr/>
        <w:t xml:space="preserve">Table 10</w:t>
      </w:r>
      <w:r>
        <w:fldChar w:fldCharType="end"/>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10" w:id="96"/>
      <w:r>
        <w:t xml:space="preserve">Table </w:t>
      </w:r>
      <w:r>
        <w:fldChar w:fldCharType="begin"/>
      </w:r>
      <w:r>
        <w:instrText xml:space="preserve"> SEQ Table \* ARABIC </w:instrText>
      </w:r>
      <w:r>
        <w:fldChar w:fldCharType="separate"/>
      </w:r>
      <w:r>
        <w:rPr/>
        <w:t xml:space="preserve">10</w:t>
      </w:r>
      <w:r>
        <w:fldChar w:fldCharType="end"/>
      </w:r>
      <w:bookmarkEnd w:id="96"/>
      <w:r>
        <w:t xml:space="preserve"> – </w:t>
      </w:r>
      <w:r>
        <w:rPr/>
        <w:t xml:space="preserve">PackMLExecuteStateMachineType Definition</w:t>
      </w:r>
    </w:p>
    <w:tbl>
      <w:tblPr>
        <w:tblStyle w:val="TableGrid"/>
        <w:tblW w:w="9070" w:type="dxa"/>
        <w:tblLayout w:type="fixed"/>
      </w:tblPr>
      <w:tblGrid>
        <w:gridCol w:w="1511"/>
        <w:gridCol w:w="1320"/>
        <w:gridCol w:w="1941"/>
        <w:gridCol w:w="1200"/>
        <w:gridCol w:w="1778"/>
        <w:gridCol w:w="1320"/>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PackMLExecuteStateMachineType</w:t>
            </w:r>
          </w:p>
        </w:tc>
      </w:tr>
      <w:tr>
        <w:tc>
          <w:tcPr>
            <w:tcW w:w="1511" w:type="dxa"/>
            <w:vAlign w:val="center"/>
          </w:tcPr>
          <w:p>
            <w:pPr>
              <w:pStyle w:val="TABLE-cell"/>
            </w:pPr>
            <w:r>
              <w:rPr/>
              <w:t xml:space="preserve">IsAbstract</w:t>
            </w:r>
          </w:p>
        </w:tc>
        <w:tc>
          <w:tcPr>
            <w:tcW w:w="7559" w:type="dxa"/>
            <w:gridSpan w:val="5"/>
            <w:vAlign w:val="center"/>
          </w:tcPr>
          <w:p>
            <w:pPr>
              <w:pStyle w:val="TABLE-cell"/>
            </w:pPr>
            <w:r>
              <w:rPr/>
              <w:t xml:space="preserve">False</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941" w:type="dxa"/>
            <w:vAlign w:val="center"/>
          </w:tcPr>
          <w:p>
            <w:pPr>
              <w:pStyle w:val="TABLE-cell"/>
            </w:pPr>
            <w:r>
              <w:rPr/>
              <w:t xml:space="preserve">BrowseName</w:t>
            </w:r>
          </w:p>
        </w:tc>
        <w:tc>
          <w:tcPr>
            <w:tcW w:w="1200" w:type="dxa"/>
            <w:vAlign w:val="center"/>
          </w:tcPr>
          <w:p>
            <w:pPr>
              <w:pStyle w:val="TABLE-cell"/>
            </w:pPr>
            <w:r>
              <w:rPr/>
              <w:t xml:space="preserve">DataType</w:t>
            </w:r>
          </w:p>
        </w:tc>
        <w:tc>
          <w:tcPr>
            <w:tcW w:w="1778" w:type="dxa"/>
            <w:vAlign w:val="center"/>
          </w:tcPr>
          <w:p>
            <w:pPr>
              <w:pStyle w:val="TABLE-cell"/>
            </w:pPr>
            <w:r>
              <w:rPr/>
              <w:t xml:space="preserve">TypeDefinition</w:t>
            </w:r>
          </w:p>
        </w:tc>
        <w:tc>
          <w:tcPr>
            <w:tcW w:w="1320" w:type="dxa"/>
            <w:vAlign w:val="center"/>
          </w:tcPr>
          <w:p>
            <w:pPr>
              <w:pStyle w:val="TABLE-cell"/>
            </w:pPr>
            <w:r>
              <w:rPr/>
              <w:t xml:space="preserve">Modelling Rule</w:t>
            </w:r>
          </w:p>
        </w:tc>
      </w:tr>
      <w:tr>
        <w:tc>
          <w:tcPr>
            <w:tcW w:w="9070" w:type="dxa"/>
            <w:gridSpan w:val="6"/>
            <w:vAlign w:val="center"/>
          </w:tcPr>
          <w:p>
            <w:pPr>
              <w:pStyle w:val="TABLE-cell"/>
            </w:pPr>
            <w:r>
              <w:rPr/>
              <w:t xml:space="preserve">Subtype of the 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Variable</w:t>
            </w:r>
          </w:p>
        </w:tc>
        <w:tc>
          <w:tcPr>
            <w:tcW w:w="1941" w:type="dxa"/>
            <w:vAlign w:val="center"/>
          </w:tcPr>
          <w:p>
            <w:pPr>
              <w:pStyle w:val="TABLE-cell"/>
            </w:pPr>
            <w:r>
              <w:rPr/>
              <w:t xml:space="preserve">0:AvailableTransitions</w:t>
            </w:r>
          </w:p>
        </w:tc>
        <w:tc>
          <w:tcPr>
            <w:tcW w:w="1200" w:type="dxa"/>
            <w:vAlign w:val="center"/>
          </w:tcPr>
          <w:p>
            <w:pPr>
              <w:pStyle w:val="TABLE-cell"/>
            </w:pPr>
            <w:r>
              <w:rPr/>
              <w:t xml:space="preserve">NodeId[]</w:t>
            </w:r>
          </w:p>
        </w:tc>
        <w:tc>
          <w:tcPr>
            <w:tcW w:w="1778" w:type="dxa"/>
            <w:vAlign w:val="center"/>
          </w:tcPr>
          <w:p>
            <w:pPr>
              <w:pStyle w:val="TABLE-cell"/>
            </w:pPr>
            <w:r>
              <w:rPr/>
              <w:t xml:space="preserve">BaseDataVariableType</w:t>
            </w:r>
          </w:p>
        </w:tc>
        <w:tc>
          <w:tcPr>
            <w:tcW w:w="1320"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Variable</w:t>
            </w:r>
          </w:p>
        </w:tc>
        <w:tc>
          <w:tcPr>
            <w:tcW w:w="1941" w:type="dxa"/>
            <w:vAlign w:val="center"/>
          </w:tcPr>
          <w:p>
            <w:pPr>
              <w:pStyle w:val="TABLE-cell"/>
            </w:pPr>
            <w:r>
              <w:rPr/>
              <w:t xml:space="preserve">0:AvailableStates</w:t>
            </w:r>
          </w:p>
        </w:tc>
        <w:tc>
          <w:tcPr>
            <w:tcW w:w="1200" w:type="dxa"/>
            <w:vAlign w:val="center"/>
          </w:tcPr>
          <w:p>
            <w:pPr>
              <w:pStyle w:val="TABLE-cell"/>
            </w:pPr>
            <w:r>
              <w:rPr/>
              <w:t xml:space="preserve">NodeId[]</w:t>
            </w:r>
          </w:p>
        </w:tc>
        <w:tc>
          <w:tcPr>
            <w:tcW w:w="1778" w:type="dxa"/>
            <w:vAlign w:val="center"/>
          </w:tcPr>
          <w:p>
            <w:pPr>
              <w:pStyle w:val="TABLE-cell"/>
            </w:pPr>
            <w:r>
              <w:rPr/>
              <w:t xml:space="preserve">BaseDataVariableType</w:t>
            </w:r>
          </w:p>
        </w:tc>
        <w:tc>
          <w:tcPr>
            <w:tcW w:w="1320"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Resetting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Idle</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Starting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Suspended</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Unsuspending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Holding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Held</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Unholding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Execute</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Completing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Complete</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ResettingToIdle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IdleToStarting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StartingToExecute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ExecuteToSuspending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SuspendingToSuspended</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SuspendedToUnsuspending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UnsuspendingToExecute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ExecuteToHolding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HoldingToHeld</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HeldToUnholding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UnholdingToExecute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ExecuteToCompleting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CompletingToComplete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CompleteToResetting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StartingToHolding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UnsuspendingToHolding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SuspendedToHolding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SuspendingToHolding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UnholdingToHolding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Reset</w:t>
            </w:r>
          </w:p>
        </w:tc>
        <w:tc>
          <w:tcPr>
            <w:tcW w:w="1200" w:type="dxa"/>
            <w:vAlign w:val="center"/>
          </w:tcPr>
          <w:p>
            <w:pPr>
              <w:pStyle w:val="TABLE-cell"/>
            </w:pPr>
            <w:r>
              <w:rPr/>
              <w:t xml:space="preserve">Defined in Clause 6.7.8</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ToComplete</w:t>
            </w:r>
          </w:p>
        </w:tc>
        <w:tc>
          <w:tcPr>
            <w:tcW w:w="1200" w:type="dxa"/>
            <w:vAlign w:val="center"/>
          </w:tcPr>
          <w:p>
            <w:pPr>
              <w:pStyle w:val="TABLE-cell"/>
            </w:pPr>
            <w:r>
              <w:rPr/>
              <w:t xml:space="preserve">Defined in Clause 6.7.9</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Start</w:t>
            </w:r>
          </w:p>
        </w:tc>
        <w:tc>
          <w:tcPr>
            <w:tcW w:w="1200" w:type="dxa"/>
            <w:vAlign w:val="center"/>
          </w:tcPr>
          <w:p>
            <w:pPr>
              <w:pStyle w:val="TABLE-cell"/>
            </w:pPr>
            <w:r>
              <w:rPr/>
              <w:t xml:space="preserve">Defined in Clause 6.7.10</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Unhold</w:t>
            </w:r>
          </w:p>
        </w:tc>
        <w:tc>
          <w:tcPr>
            <w:tcW w:w="1200" w:type="dxa"/>
            <w:vAlign w:val="center"/>
          </w:tcPr>
          <w:p>
            <w:pPr>
              <w:pStyle w:val="TABLE-cell"/>
            </w:pPr>
            <w:r>
              <w:rPr/>
              <w:t xml:space="preserve">Defined in Clause 6.7.11</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Suspend</w:t>
            </w:r>
          </w:p>
        </w:tc>
        <w:tc>
          <w:tcPr>
            <w:tcW w:w="1200" w:type="dxa"/>
            <w:vAlign w:val="center"/>
          </w:tcPr>
          <w:p>
            <w:pPr>
              <w:pStyle w:val="TABLE-cell"/>
            </w:pPr>
            <w:r>
              <w:rPr/>
              <w:t xml:space="preserve">Defined in Clause 6.7.12</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Hold</w:t>
            </w:r>
          </w:p>
        </w:tc>
        <w:tc>
          <w:tcPr>
            <w:tcW w:w="1200" w:type="dxa"/>
            <w:vAlign w:val="center"/>
          </w:tcPr>
          <w:p>
            <w:pPr>
              <w:pStyle w:val="TABLE-cell"/>
            </w:pPr>
            <w:r>
              <w:rPr/>
              <w:t xml:space="preserve">Defined in Clause 6.7.14</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Unsuspend</w:t>
            </w:r>
          </w:p>
        </w:tc>
        <w:tc>
          <w:tcPr>
            <w:tcW w:w="1200" w:type="dxa"/>
            <w:vAlign w:val="center"/>
          </w:tcPr>
          <w:p>
            <w:pPr>
              <w:pStyle w:val="TABLE-cell"/>
            </w:pPr>
            <w:r>
              <w:rPr/>
              <w:t xml:space="preserve">Defined in Clause 6.7.13</w:t>
            </w:r>
          </w:p>
        </w:tc>
        <w:tc>
          <w:tcPr>
            <w:tcW w:w="1778" w:type="dxa"/>
            <w:vAlign w:val="center"/>
          </w:tcPr>
          <w:p>
            <w:pPr>
              <w:pStyle w:val="TABLE-cell"/>
            </w:pPr>
          </w:p>
        </w:tc>
        <w:tc>
          <w:tcPr>
            <w:tcW w:w="1320" w:type="dxa"/>
            <w:vAlign w:val="center"/>
          </w:tcPr>
          <w:p>
            <w:pPr>
              <w:pStyle w:val="TABLE-cell"/>
            </w:pPr>
            <w:r>
              <w:rPr/>
              <w:t xml:space="preserve">Optional</w:t>
            </w:r>
          </w:p>
        </w:tc>
      </w:tr>
    </w:tbl>
    <w:p>
      <w:pPr>
        <w:pStyle w:val="spacer"/>
      </w:pPr>
    </w:p>
    <w:p>
      <w:pPr>
        <w:pStyle w:val="PARAGRAPH"/>
      </w:pPr>
      <w:r>
        <w:rPr/>
        <w:t xml:space="preserve">Not all transitions defined in ANSI/ISA - TR88.00.02 - 2015. Following additional transitions in the object prepared for potential future extensions in TR88: StartingToHolding, UnsuspendingToHolding, SuspendedToHolding, SuspendingToHolding, UnholdingToHolding.</w:t>
      </w:r>
    </w:p>
    <w:p>
      <w:pPr>
        <w:pStyle w:val="PARAGRAPH"/>
      </w:pPr>
      <w:r>
        <w:rPr/>
        <w:t xml:space="preserve">This </w:t>
      </w:r>
      <w:r>
        <w:rPr>
          <w:i/>
        </w:rPr>
        <w:t xml:space="preserve">FiniteStateMachine</w:t>
      </w:r>
      <w:r>
        <w:rPr/>
        <w:t xml:space="preserve"> supports multiple </w:t>
      </w:r>
      <w:r>
        <w:rPr>
          <w:i/>
        </w:rPr>
        <w:t xml:space="preserve">Active</w:t>
      </w:r>
      <w:r>
        <w:rPr/>
        <w:t xml:space="preserve"> states. It also supports 19 </w:t>
      </w:r>
      <w:r>
        <w:rPr>
          <w:i/>
        </w:rPr>
        <w:t xml:space="preserve">Transitions</w:t>
      </w:r>
      <w:r>
        <w:rPr/>
        <w:t xml:space="preserve"> and a </w:t>
      </w:r>
      <w:r>
        <w:rPr>
          <w:i/>
        </w:rPr>
        <w:t xml:space="preserve">Method</w:t>
      </w:r>
      <w:r>
        <w:rPr/>
        <w:t xml:space="preserve"> for transition between states.</w:t>
      </w:r>
    </w:p>
    <w:p>
      <w:pPr>
        <w:pStyle w:val="PARAGRAPH"/>
      </w:pPr>
      <w:r>
        <w:rPr>
          <w:i/>
        </w:rPr>
        <w:t xml:space="preserve">Resetting</w:t>
      </w:r>
      <w:r>
        <w:rPr/>
        <w:t xml:space="preserve">: In response to a </w:t>
      </w:r>
      <w:r>
        <w:rPr>
          <w:i/>
        </w:rPr>
        <w:t xml:space="preserve">Reset</w:t>
      </w:r>
      <w:r>
        <w:rPr/>
        <w:t xml:space="preserve"> command, the unit/machine will transition to </w:t>
      </w:r>
      <w:r>
        <w:rPr>
          <w:i/>
        </w:rPr>
        <w:t xml:space="preserve">Resetting</w:t>
      </w:r>
      <w:r>
        <w:rPr/>
        <w:t xml:space="preserve"> from either </w:t>
      </w:r>
      <w:r>
        <w:rPr>
          <w:i/>
        </w:rPr>
        <w:t xml:space="preserve">Stopped</w:t>
      </w:r>
      <w:r>
        <w:rPr/>
        <w:t xml:space="preserve"> or </w:t>
      </w:r>
      <w:r>
        <w:rPr>
          <w:i/>
        </w:rPr>
        <w:t xml:space="preserve">Complete</w:t>
      </w:r>
      <w:r>
        <w:rPr/>
        <w:t xml:space="preserve">. In this state the unit/machine attempts to clear any standing errors or stop causes. If successful, the unit/machine transitions to </w:t>
      </w:r>
      <w:r>
        <w:rPr>
          <w:i/>
        </w:rPr>
        <w:t xml:space="preserve">Idle</w:t>
      </w:r>
      <w:r>
        <w:rPr/>
        <w:t xml:space="preserve">. No hazardous motion should happen in this state. The value of this </w:t>
      </w:r>
      <w:r>
        <w:rPr>
          <w:i/>
        </w:rPr>
        <w:t xml:space="preserve">StateType</w:t>
      </w:r>
      <w:r>
        <w:rPr/>
        <w:t xml:space="preserve"> is 15</w:t>
      </w:r>
    </w:p>
    <w:p>
      <w:pPr>
        <w:pStyle w:val="PARAGRAPH"/>
      </w:pPr>
      <w:r>
        <w:rPr>
          <w:i/>
        </w:rPr>
        <w:t xml:space="preserve">Idle</w:t>
      </w:r>
      <w:r>
        <w:rPr/>
        <w:t xml:space="preserve">: The unit/machine is in an error-free state, waiting to start. The unit/machine transitions automatically to </w:t>
      </w:r>
      <w:r>
        <w:rPr>
          <w:i/>
        </w:rPr>
        <w:t xml:space="preserve">Idle</w:t>
      </w:r>
      <w:r>
        <w:rPr/>
        <w:t xml:space="preserve"> after all steps necessary for </w:t>
      </w:r>
      <w:r>
        <w:rPr>
          <w:i/>
        </w:rPr>
        <w:t xml:space="preserve">Resetting</w:t>
      </w:r>
      <w:r>
        <w:rPr/>
        <w:t xml:space="preserve"> have been completed. All conditions achieved during </w:t>
      </w:r>
      <w:r>
        <w:rPr>
          <w:i/>
        </w:rPr>
        <w:t xml:space="preserve">Resetting</w:t>
      </w:r>
      <w:r>
        <w:rPr/>
        <w:t xml:space="preserve"> are maintained. A </w:t>
      </w:r>
      <w:r>
        <w:rPr>
          <w:i/>
        </w:rPr>
        <w:t xml:space="preserve">Start</w:t>
      </w:r>
      <w:r>
        <w:rPr/>
        <w:t xml:space="preserve"> command will transition the unit/machine from </w:t>
      </w:r>
      <w:r>
        <w:rPr>
          <w:i/>
        </w:rPr>
        <w:t xml:space="preserve">Idle</w:t>
      </w:r>
      <w:r>
        <w:rPr/>
        <w:t xml:space="preserve"> to </w:t>
      </w:r>
      <w:r>
        <w:rPr>
          <w:i/>
        </w:rPr>
        <w:t xml:space="preserve">Starting. *The value of this *StateType</w:t>
      </w:r>
      <w:r>
        <w:rPr/>
        <w:t xml:space="preserve"> is 4.</w:t>
      </w:r>
    </w:p>
    <w:p>
      <w:pPr>
        <w:pStyle w:val="PARAGRAPH"/>
      </w:pPr>
      <w:r>
        <w:rPr>
          <w:i/>
        </w:rPr>
        <w:t xml:space="preserve">Starting</w:t>
      </w:r>
      <w:r>
        <w:rPr/>
        <w:t xml:space="preserve">: The unit/machine completes all steps necessary to begin execution of the active machine mode. A </w:t>
      </w:r>
      <w:r>
        <w:rPr>
          <w:i/>
        </w:rPr>
        <w:t xml:space="preserve">Start</w:t>
      </w:r>
      <w:r>
        <w:rPr/>
        <w:t xml:space="preserve"> command will cause the unit/machine to transition from Idle to </w:t>
      </w:r>
      <w:r>
        <w:rPr>
          <w:i/>
        </w:rPr>
        <w:t xml:space="preserve">Starting</w:t>
      </w:r>
      <w:r>
        <w:rPr/>
        <w:t xml:space="preserve">. The unit/machine will transition automatically from </w:t>
      </w:r>
      <w:r>
        <w:rPr>
          <w:i/>
        </w:rPr>
        <w:t xml:space="preserve">Starting</w:t>
      </w:r>
      <w:r>
        <w:rPr/>
        <w:t xml:space="preserve"> to </w:t>
      </w:r>
      <w:r>
        <w:rPr>
          <w:i/>
        </w:rPr>
        <w:t xml:space="preserve">Execute</w:t>
      </w:r>
      <w:r>
        <w:rPr/>
        <w:t xml:space="preserve"> once all required steps have been completed. The value of this </w:t>
      </w:r>
      <w:r>
        <w:rPr>
          <w:i/>
        </w:rPr>
        <w:t xml:space="preserve">StateType</w:t>
      </w:r>
      <w:r>
        <w:rPr/>
        <w:t xml:space="preserve"> is 3.</w:t>
      </w:r>
    </w:p>
    <w:p>
      <w:pPr>
        <w:pStyle w:val="PARAGRAPH"/>
      </w:pPr>
      <w:r>
        <w:rPr>
          <w:i/>
        </w:rPr>
        <w:t xml:space="preserve">Suspending</w:t>
      </w:r>
      <w:r>
        <w:rPr/>
        <w:t xml:space="preserve">: The unit/machine will transition from </w:t>
      </w:r>
      <w:r>
        <w:rPr>
          <w:i/>
        </w:rPr>
        <w:t xml:space="preserve">Execute</w:t>
      </w:r>
      <w:r>
        <w:rPr/>
        <w:t xml:space="preserve"> to </w:t>
      </w:r>
      <w:r>
        <w:rPr>
          <w:i/>
        </w:rPr>
        <w:t xml:space="preserve">Suspending</w:t>
      </w:r>
      <w:r>
        <w:rPr/>
        <w:t xml:space="preserve"> if conditions external to the unit/machine require a pause in production. Such conditions include faults to upstream or downstream equipment. The decision to </w:t>
      </w:r>
      <w:r>
        <w:rPr>
          <w:i/>
        </w:rPr>
        <w:t xml:space="preserve">Suspend</w:t>
      </w:r>
      <w:r>
        <w:rPr/>
        <w:t xml:space="preserve"> may be made be a supervisory system monitoring the production line conditions or by unit/machine sensors detecting downstream blockages or upstream product scarcity. (In the former case, the unit/machine is 'blocked"; in the latter case, the unit/machine is "starved") After all steps required to suspend the machine have been completed, the unit/machine will automatically transition to </w:t>
      </w:r>
      <w:r>
        <w:rPr>
          <w:i/>
        </w:rPr>
        <w:t xml:space="preserve">Suspended</w:t>
      </w:r>
      <w:r>
        <w:rPr/>
        <w:t xml:space="preserve"> state. The value of this </w:t>
      </w:r>
      <w:r>
        <w:rPr>
          <w:i/>
        </w:rPr>
        <w:t xml:space="preserve">StateType</w:t>
      </w:r>
      <w:r>
        <w:rPr/>
        <w:t xml:space="preserve"> is 13.</w:t>
      </w:r>
    </w:p>
    <w:p>
      <w:pPr>
        <w:pStyle w:val="PARAGRAPH"/>
      </w:pPr>
      <w:r>
        <w:rPr>
          <w:i/>
        </w:rPr>
        <w:t xml:space="preserve">Suspended</w:t>
      </w:r>
      <w:r>
        <w:rPr/>
        <w:t xml:space="preserve">: The unit/machine is paused, waiting for external process conditions to clear. In this state, the unit/machine shall not produce product, but may, if required, dry-cycle. Once external conditions have returned to normal, the unit/machine will transition to </w:t>
      </w:r>
      <w:r>
        <w:rPr>
          <w:i/>
        </w:rPr>
        <w:t xml:space="preserve">Unsuspending</w:t>
      </w:r>
      <w:r>
        <w:rPr/>
        <w:t xml:space="preserve">, typically without operator intervention. The value of this </w:t>
      </w:r>
      <w:r>
        <w:rPr>
          <w:i/>
        </w:rPr>
        <w:t xml:space="preserve">StateType</w:t>
      </w:r>
      <w:r>
        <w:rPr/>
        <w:t xml:space="preserve"> is 5.</w:t>
      </w:r>
    </w:p>
    <w:p>
      <w:pPr>
        <w:pStyle w:val="PARAGRAPH"/>
      </w:pPr>
      <w:r>
        <w:rPr>
          <w:i/>
        </w:rPr>
        <w:t xml:space="preserve">Unsuspending</w:t>
      </w:r>
      <w:r>
        <w:rPr/>
        <w:t xml:space="preserve">: After all external process conditions that caused the unit/machine to suspend have cleared, the unit/machine completes all steps required to resume execution of the active machine mode. Once all required actions to unsuspend the unit/machine have been completed, the unit/machine will automatically transition to </w:t>
      </w:r>
      <w:r>
        <w:rPr>
          <w:i/>
        </w:rPr>
        <w:t xml:space="preserve">Execute</w:t>
      </w:r>
      <w:r>
        <w:rPr/>
        <w:t xml:space="preserve"> state. The value of this </w:t>
      </w:r>
      <w:r>
        <w:rPr>
          <w:i/>
        </w:rPr>
        <w:t xml:space="preserve">StateType</w:t>
      </w:r>
      <w:r>
        <w:rPr/>
        <w:t xml:space="preserve"> is 14.</w:t>
      </w:r>
    </w:p>
    <w:p>
      <w:pPr>
        <w:pStyle w:val="PARAGRAPH"/>
      </w:pPr>
      <w:r>
        <w:rPr>
          <w:i/>
        </w:rPr>
        <w:t xml:space="preserve">Holding</w:t>
      </w:r>
      <w:r>
        <w:rPr/>
        <w:t xml:space="preserve">: The unit/machine will transition from </w:t>
      </w:r>
      <w:r>
        <w:rPr>
          <w:i/>
        </w:rPr>
        <w:t xml:space="preserve">Execute</w:t>
      </w:r>
      <w:r>
        <w:rPr/>
        <w:t xml:space="preserve"> to </w:t>
      </w:r>
      <w:r>
        <w:rPr>
          <w:i/>
        </w:rPr>
        <w:t xml:space="preserve">Holding</w:t>
      </w:r>
      <w:r>
        <w:rPr/>
        <w:t xml:space="preserve"> if conditions internal to the unit/machine require a pause in production. Such conditions would include low levels on materials required for production or other minor issues requiring operator service, for example. The decision to hold may be made automatically by the unit/machine itself or by an operator. After all steps required to hold the machine have been completed, the unit/machine will transition automatically to </w:t>
      </w:r>
      <w:r>
        <w:rPr>
          <w:i/>
        </w:rPr>
        <w:t xml:space="preserve">Held</w:t>
      </w:r>
      <w:r>
        <w:rPr/>
        <w:t xml:space="preserve"> state. The value of this </w:t>
      </w:r>
      <w:r>
        <w:rPr>
          <w:i/>
        </w:rPr>
        <w:t xml:space="preserve">StateType</w:t>
      </w:r>
      <w:r>
        <w:rPr/>
        <w:t xml:space="preserve"> is 10.</w:t>
      </w:r>
    </w:p>
    <w:p>
      <w:pPr>
        <w:pStyle w:val="PARAGRAPH"/>
      </w:pPr>
      <w:r>
        <w:rPr>
          <w:i/>
        </w:rPr>
        <w:t xml:space="preserve">Held</w:t>
      </w:r>
      <w:r>
        <w:rPr/>
        <w:t xml:space="preserve">: The unit/machine is paused, waiting for internal process conditions to clear. In this state, the unit/machine shall not produce product, though it may, if required, dry-cycle. A transition to </w:t>
      </w:r>
      <w:r>
        <w:rPr>
          <w:i/>
        </w:rPr>
        <w:t xml:space="preserve">Unholding</w:t>
      </w:r>
      <w:r>
        <w:rPr/>
        <w:t xml:space="preserve"> will occur once internal machine conditions have cleared or if the </w:t>
      </w:r>
      <w:r>
        <w:rPr>
          <w:i/>
        </w:rPr>
        <w:t xml:space="preserve">Unhold</w:t>
      </w:r>
      <w:r>
        <w:rPr/>
        <w:t xml:space="preserve"> command is initiated by an operator. The value of this </w:t>
      </w:r>
      <w:r>
        <w:rPr>
          <w:i/>
        </w:rPr>
        <w:t xml:space="preserve">StateType</w:t>
      </w:r>
      <w:r>
        <w:rPr/>
        <w:t xml:space="preserve"> is 11.</w:t>
      </w:r>
    </w:p>
    <w:p>
      <w:pPr>
        <w:pStyle w:val="PARAGRAPH"/>
      </w:pPr>
      <w:r>
        <w:rPr>
          <w:i/>
        </w:rPr>
        <w:t xml:space="preserve">Unholding</w:t>
      </w:r>
      <w:r>
        <w:rPr/>
        <w:t xml:space="preserve">: After all internal process conditions that caused the unit/machine to hold have cleared, the unit/machine completes all steps required to resume execution of the active machine mode. Once all required actions to unhold the machine have been completed, the unit/machine will transition automatically to </w:t>
      </w:r>
      <w:r>
        <w:rPr>
          <w:i/>
        </w:rPr>
        <w:t xml:space="preserve">Execute</w:t>
      </w:r>
      <w:r>
        <w:rPr/>
        <w:t xml:space="preserve"> state. The value of this </w:t>
      </w:r>
      <w:r>
        <w:rPr>
          <w:i/>
        </w:rPr>
        <w:t xml:space="preserve">StateType</w:t>
      </w:r>
      <w:r>
        <w:rPr/>
        <w:t xml:space="preserve"> is 12.</w:t>
      </w:r>
    </w:p>
    <w:p>
      <w:pPr>
        <w:pStyle w:val="PARAGRAPH"/>
      </w:pPr>
      <w:r>
        <w:rPr>
          <w:i/>
        </w:rPr>
        <w:t xml:space="preserve">Execute</w:t>
      </w:r>
      <w:r>
        <w:rPr/>
        <w:t xml:space="preserve">: If the unit/machine is actively carrying out the behaviour or activity defined by the selected mode, then the machine is in </w:t>
      </w:r>
      <w:r>
        <w:rPr>
          <w:i/>
        </w:rPr>
        <w:t xml:space="preserve">Execute</w:t>
      </w:r>
      <w:r>
        <w:rPr/>
        <w:t xml:space="preserve"> state. If the unit/machine is in production mode, for example, this means that the machine is producing product. The value of this </w:t>
      </w:r>
      <w:r>
        <w:rPr>
          <w:i/>
        </w:rPr>
        <w:t xml:space="preserve">StateType</w:t>
      </w:r>
      <w:r>
        <w:rPr/>
        <w:t xml:space="preserve"> is 6.</w:t>
      </w:r>
    </w:p>
    <w:p>
      <w:pPr>
        <w:pStyle w:val="PARAGRAPH"/>
      </w:pPr>
      <w:r>
        <w:rPr>
          <w:i/>
        </w:rPr>
        <w:t xml:space="preserve">Completing</w:t>
      </w:r>
      <w:r>
        <w:rPr/>
        <w:t xml:space="preserve">: Once the process associated with the current mode has reached a defined threshold (e.g. the required number of products for the current job have been produced), the unit/machine transitions from </w:t>
      </w:r>
      <w:r>
        <w:rPr>
          <w:i/>
        </w:rPr>
        <w:t xml:space="preserve">Execute</w:t>
      </w:r>
      <w:r>
        <w:rPr/>
        <w:t xml:space="preserve"> to </w:t>
      </w:r>
      <w:r>
        <w:rPr>
          <w:i/>
        </w:rPr>
        <w:t xml:space="preserve">Completing</w:t>
      </w:r>
      <w:r>
        <w:rPr/>
        <w:t xml:space="preserve">. In this state all steps necessary to shut down the current process are carried out. The machine then transitions automatically to </w:t>
      </w:r>
      <w:r>
        <w:rPr>
          <w:i/>
        </w:rPr>
        <w:t xml:space="preserve">Complete</w:t>
      </w:r>
      <w:r>
        <w:rPr/>
        <w:t xml:space="preserve"> state. The value of this </w:t>
      </w:r>
      <w:r>
        <w:rPr>
          <w:i/>
        </w:rPr>
        <w:t xml:space="preserve">StateType</w:t>
      </w:r>
      <w:r>
        <w:rPr/>
        <w:t xml:space="preserve"> is 16.</w:t>
      </w:r>
    </w:p>
    <w:p>
      <w:pPr>
        <w:pStyle w:val="PARAGRAPH"/>
      </w:pPr>
      <w:r>
        <w:rPr>
          <w:i/>
        </w:rPr>
        <w:t xml:space="preserve">Complete</w:t>
      </w:r>
      <w:r>
        <w:rPr/>
        <w:t xml:space="preserve">: </w:t>
      </w:r>
      <w:r>
        <w:rPr>
          <w:i/>
        </w:rPr>
        <w:t xml:space="preserve">Complete</w:t>
      </w:r>
      <w:r>
        <w:rPr/>
        <w:t xml:space="preserve"> indicates the process associated with the active mode has come to its defined end. The unit/machine will wait in this state until a </w:t>
      </w:r>
      <w:r>
        <w:rPr>
          <w:i/>
        </w:rPr>
        <w:t xml:space="preserve">Reset</w:t>
      </w:r>
      <w:r>
        <w:rPr/>
        <w:t xml:space="preserve"> command is issued (in which case it will transition to </w:t>
      </w:r>
      <w:r>
        <w:rPr>
          <w:i/>
        </w:rPr>
        <w:t xml:space="preserve">Resetting</w:t>
      </w:r>
      <w:r>
        <w:rPr/>
        <w:t xml:space="preserve">), or until the unit/machine is </w:t>
      </w:r>
      <w:r>
        <w:rPr>
          <w:i/>
        </w:rPr>
        <w:t xml:space="preserve">Stopped</w:t>
      </w:r>
      <w:r>
        <w:rPr/>
        <w:t xml:space="preserve"> or </w:t>
      </w:r>
      <w:r>
        <w:rPr>
          <w:i/>
        </w:rPr>
        <w:t xml:space="preserve">Aborted</w:t>
      </w:r>
      <w:r>
        <w:rPr/>
        <w:t xml:space="preserve">. The value of this </w:t>
      </w:r>
      <w:r>
        <w:rPr>
          <w:i/>
        </w:rPr>
        <w:t xml:space="preserve">StateType</w:t>
      </w:r>
      <w:r>
        <w:rPr/>
        <w:t xml:space="preserve"> is 17.</w:t>
      </w:r>
    </w:p>
    <w:p>
      <w:pPr>
        <w:pStyle w:val="PARAGRAPH"/>
      </w:pPr>
      <w:r>
        <w:rPr/>
        <w:t xml:space="preserve">The </w:t>
      </w:r>
      <w:r>
        <w:rPr>
          <w:i/>
        </w:rPr>
        <w:t xml:space="preserve">Transitions</w:t>
      </w:r>
      <w:r>
        <w:rPr/>
        <w:t xml:space="preserve"> are described in </w:t>
      </w:r>
      <w:r>
        <w:fldChar w:fldCharType="begin"/>
      </w:r>
      <w:r>
        <w:instrText xml:space="preserve"> REF Sts_tbl_11 \h \* MERGEFORMAT </w:instrText>
      </w:r>
      <w:r>
        <w:fldChar w:fldCharType="separate"/>
      </w:r>
      <w:r>
        <w:rPr/>
        <w:t xml:space="preserve">Table 11</w:t>
      </w:r>
      <w:r>
        <w:fldChar w:fldCharType="end"/>
      </w:r>
      <w:r>
        <w:rPr/>
        <w:t xml:space="preserve">. This </w:t>
      </w:r>
      <w:r>
        <w:rPr>
          <w:i/>
        </w:rPr>
        <w:t xml:space="preserve">FiniteStateMachine</w:t>
      </w:r>
      <w:r>
        <w:rPr/>
        <w:t xml:space="preserve"> also supports six </w:t>
      </w:r>
      <w:r>
        <w:rPr>
          <w:i/>
        </w:rPr>
        <w:t xml:space="preserve">Method</w:t>
      </w:r>
      <w:r>
        <w:rPr/>
        <w:t xml:space="preserve">s, for transitioning between states. This </w:t>
      </w:r>
      <w:r>
        <w:rPr>
          <w:i/>
        </w:rPr>
        <w:t xml:space="preserve">StateMachine</w:t>
      </w:r>
      <w:r>
        <w:rPr/>
        <w:t xml:space="preserve"> includes transition to Holding from Unholding, </w:t>
      </w:r>
      <w:r>
        <w:rPr>
          <w:i/>
        </w:rPr>
        <w:t xml:space="preserve">Starting</w:t>
      </w:r>
      <w:r>
        <w:rPr/>
        <w:t xml:space="preserve">, </w:t>
      </w:r>
      <w:r>
        <w:rPr>
          <w:i/>
        </w:rPr>
        <w:t xml:space="preserve">Unsuspending</w:t>
      </w:r>
      <w:r>
        <w:rPr/>
        <w:t xml:space="preserve">, </w:t>
      </w:r>
      <w:r>
        <w:rPr>
          <w:i/>
        </w:rPr>
        <w:t xml:space="preserve">Suspended</w:t>
      </w:r>
      <w:r>
        <w:rPr/>
        <w:t xml:space="preserve">, </w:t>
      </w:r>
      <w:r>
        <w:rPr>
          <w:i/>
        </w:rPr>
        <w:t xml:space="preserve">Suspending</w:t>
      </w:r>
      <w:r>
        <w:rPr/>
        <w:t xml:space="preserve">, all of which are extension to the </w:t>
      </w:r>
      <w:r>
        <w:fldChar w:fldCharType="begin"/>
      </w:r>
      <w:r>
        <w:instrText xml:space="preserve"> REF Sts_ref_tr88 \h \* MERGEFORMAT </w:instrText>
      </w:r>
      <w:r>
        <w:fldChar w:fldCharType="separate"/>
      </w:r>
      <w:r>
        <w:rPr/>
        <w:t xml:space="preserve">ISA-TR88.00.02-2022</w:t>
      </w:r>
      <w:r>
        <w:fldChar w:fldCharType="end"/>
      </w:r>
      <w:r>
        <w:rPr/>
        <w:t xml:space="preserve"> specification.</w:t>
      </w:r>
    </w:p>
    <w:p>
      <w:pPr>
        <w:pStyle w:val="TABLE-title"/>
      </w:pPr>
      <w:bookmarkStart w:name="Sts_tbl_11" w:id="97"/>
      <w:r>
        <w:t xml:space="preserve">Table </w:t>
      </w:r>
      <w:r>
        <w:fldChar w:fldCharType="begin"/>
      </w:r>
      <w:r>
        <w:instrText xml:space="preserve"> SEQ Table \* ARABIC </w:instrText>
      </w:r>
      <w:r>
        <w:fldChar w:fldCharType="separate"/>
      </w:r>
      <w:r>
        <w:rPr/>
        <w:t xml:space="preserve">11</w:t>
      </w:r>
      <w:r>
        <w:fldChar w:fldCharType="end"/>
      </w:r>
      <w:bookmarkEnd w:id="97"/>
      <w:r>
        <w:t xml:space="preserve"> – </w:t>
      </w:r>
      <w:r>
        <w:rPr/>
        <w:t xml:space="preserve">PackMLExecuteStateMachineType Additional References</w:t>
      </w:r>
    </w:p>
    <w:tbl>
      <w:tblPr>
        <w:tblStyle w:val="TableGrid"/>
        <w:tblW w:w="9070" w:type="dxa"/>
        <w:tblLayout w:type="fixed"/>
      </w:tblPr>
      <w:tblGrid>
        <w:gridCol w:w="3537"/>
        <w:gridCol w:w="2152"/>
        <w:gridCol w:w="1537"/>
        <w:gridCol w:w="1844"/>
      </w:tblGrid>
      <w:tr>
        <w:trPr>
          <w:tblHeader/>
        </w:trPr>
        <w:tc>
          <w:tcPr>
            <w:tcW w:w="3537" w:type="dxa"/>
            <w:vAlign w:val="center"/>
          </w:tcPr>
          <w:p>
            <w:pPr>
              <w:pStyle w:val="TABLE-col-heading"/>
              <w:jc w:val="left"/>
            </w:pPr>
            <w:r>
              <w:rPr/>
              <w:t xml:space="preserve">Source Path</w:t>
            </w:r>
          </w:p>
        </w:tc>
        <w:tc>
          <w:tcPr>
            <w:tcW w:w="2152" w:type="dxa"/>
            <w:vAlign w:val="center"/>
          </w:tcPr>
          <w:p>
            <w:pPr>
              <w:pStyle w:val="TABLE-col-heading"/>
              <w:jc w:val="left"/>
            </w:pPr>
            <w:r>
              <w:rPr/>
              <w:t xml:space="preserve">Reference Type</w:t>
            </w:r>
          </w:p>
        </w:tc>
        <w:tc>
          <w:tcPr>
            <w:tcW w:w="1537" w:type="dxa"/>
            <w:vAlign w:val="center"/>
          </w:tcPr>
          <w:p>
            <w:pPr>
              <w:pStyle w:val="TABLE-col-heading"/>
              <w:jc w:val="left"/>
            </w:pPr>
            <w:r>
              <w:rPr/>
              <w:t xml:space="preserve">Is Forward</w:t>
            </w:r>
          </w:p>
        </w:tc>
        <w:tc>
          <w:tcPr>
            <w:tcW w:w="1844" w:type="dxa"/>
            <w:vAlign w:val="center"/>
          </w:tcPr>
          <w:p>
            <w:pPr>
              <w:pStyle w:val="TABLE-col-heading"/>
              <w:jc w:val="left"/>
            </w:pPr>
            <w:r>
              <w:rPr/>
              <w:t xml:space="preserve">Target Path</w:t>
            </w:r>
          </w:p>
        </w:tc>
      </w:tr>
      <w:tr>
        <w:tc>
          <w:tcPr>
            <w:tcW w:w="3537" w:type="dxa"/>
            <w:vAlign w:val="center"/>
          </w:tcPr>
          <w:p>
            <w:pPr>
              <w:pStyle w:val="TABLE-cell"/>
            </w:pPr>
            <w:r>
              <w:rPr/>
              <w:t xml:space="preserve">ResettingToIdle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Resetting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Idle</w:t>
            </w:r>
          </w:p>
        </w:tc>
      </w:tr>
      <w:tr>
        <w:tc>
          <w:tcPr>
            <w:tcW w:w="3537" w:type="dxa"/>
            <w:vAlign w:val="center"/>
          </w:tcPr>
          <w:p>
            <w:pPr>
              <w:pStyle w:val="TABLE-cell"/>
            </w:pPr>
            <w:r>
              <w:rPr/>
              <w:t xml:space="preserve">IdleToStarting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Idle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Starting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Start</w:t>
            </w:r>
          </w:p>
        </w:tc>
      </w:tr>
      <w:tr>
        <w:tc>
          <w:tcPr>
            <w:tcW w:w="3537" w:type="dxa"/>
            <w:vAlign w:val="center"/>
          </w:tcPr>
          <w:p>
            <w:pPr>
              <w:pStyle w:val="TABLE-cell"/>
            </w:pPr>
            <w:r>
              <w:rPr/>
              <w:t xml:space="preserve">StartingToExecute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Starting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r>
              <w:rPr/>
              <w:t xml:space="preserve">ExecuteToSuspending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Suspending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Suspend</w:t>
            </w:r>
          </w:p>
        </w:tc>
      </w:tr>
      <w:tr>
        <w:tc>
          <w:tcPr>
            <w:tcW w:w="3537" w:type="dxa"/>
            <w:vAlign w:val="center"/>
          </w:tcPr>
          <w:p>
            <w:pPr>
              <w:pStyle w:val="TABLE-cell"/>
            </w:pPr>
            <w:r>
              <w:rPr/>
              <w:t xml:space="preserve">SuspendingToSuspended</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Suspending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Suspended</w:t>
            </w:r>
          </w:p>
        </w:tc>
      </w:tr>
      <w:tr>
        <w:tc>
          <w:tcPr>
            <w:tcW w:w="3537" w:type="dxa"/>
            <w:vAlign w:val="center"/>
          </w:tcPr>
          <w:p>
            <w:pPr>
              <w:pStyle w:val="TABLE-cell"/>
            </w:pPr>
            <w:r>
              <w:rPr/>
              <w:t xml:space="preserve">SuspendedToUnsuspending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Suspended</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Unsuspending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Unsuspend</w:t>
            </w:r>
          </w:p>
        </w:tc>
      </w:tr>
      <w:tr>
        <w:tc>
          <w:tcPr>
            <w:tcW w:w="3537" w:type="dxa"/>
            <w:vAlign w:val="center"/>
          </w:tcPr>
          <w:p>
            <w:pPr>
              <w:pStyle w:val="TABLE-cell"/>
            </w:pPr>
            <w:r>
              <w:rPr/>
              <w:t xml:space="preserve">UnsuspendingToExecute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Unsuspending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r>
              <w:rPr/>
              <w:t xml:space="preserve">ExecuteToHolding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StartingToHolding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Starting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SuspendingToHolding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Suspending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SuspendedToHolding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Suspended</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UnsuspendingToHolding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Unsuspending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UnholdingToHolding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Unholding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HoldingToHeld</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Held</w:t>
            </w:r>
          </w:p>
        </w:tc>
      </w:tr>
      <w:tr>
        <w:tc>
          <w:tcPr>
            <w:tcW w:w="3537" w:type="dxa"/>
            <w:vAlign w:val="center"/>
          </w:tcPr>
          <w:p>
            <w:pPr>
              <w:pStyle w:val="TABLE-cell"/>
            </w:pPr>
            <w:r>
              <w:rPr/>
              <w:t xml:space="preserve">HeldToUnholding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Held</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Unholding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Unhold</w:t>
            </w:r>
          </w:p>
        </w:tc>
      </w:tr>
      <w:tr>
        <w:tc>
          <w:tcPr>
            <w:tcW w:w="3537" w:type="dxa"/>
            <w:vAlign w:val="center"/>
          </w:tcPr>
          <w:p>
            <w:pPr>
              <w:pStyle w:val="TABLE-cell"/>
            </w:pPr>
            <w:r>
              <w:rPr/>
              <w:t xml:space="preserve">UnholdingToExecute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Unholding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r>
              <w:rPr/>
              <w:t xml:space="preserve">ExecuteToCompleting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Completing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ToComplete</w:t>
            </w:r>
          </w:p>
        </w:tc>
      </w:tr>
      <w:tr>
        <w:tc>
          <w:tcPr>
            <w:tcW w:w="3537" w:type="dxa"/>
            <w:vAlign w:val="center"/>
          </w:tcPr>
          <w:p>
            <w:pPr>
              <w:pStyle w:val="TABLE-cell"/>
            </w:pPr>
            <w:r>
              <w:rPr/>
              <w:t xml:space="preserve">CompletingToComplete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Completing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Complete</w:t>
            </w:r>
          </w:p>
        </w:tc>
      </w:tr>
      <w:tr>
        <w:tc>
          <w:tcPr>
            <w:tcW w:w="3537" w:type="dxa"/>
            <w:vAlign w:val="center"/>
          </w:tcPr>
          <w:p>
            <w:pPr>
              <w:pStyle w:val="TABLE-cell"/>
            </w:pPr>
            <w:r>
              <w:rPr/>
              <w:t xml:space="preserve">CompleteToResetting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Complete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Resetting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Reset</w:t>
            </w:r>
          </w:p>
        </w:tc>
      </w:tr>
    </w:tbl>
    <w:p>
      <w:pPr>
        <w:pStyle w:val="spacer"/>
      </w:pPr>
    </w:p>
    <w:p>
      <w:pPr>
        <w:pStyle w:val="PARAGRAPH"/>
      </w:pPr>
      <w:r>
        <w:rPr/>
        <w:t xml:space="preserve">Not all transitions defined in ANSI/ISA - TR88.00.02 - 2015. Following additional transitions in the object prepared for potential future extensions in TR88: StartingToHolding, UnsuspendingToHolding, SuspendedToHolding, SuspendingToHolding, UnholdingToHolding.</w:t>
      </w:r>
    </w:p>
    <w:p>
      <w:pPr>
        <w:pStyle w:val="Heading2"/>
      </w:pPr>
      <w:bookmarkStart w:name="Sts_sec_6_4" w:id="98"/>
      <w:r>
        <w:rPr/>
        <w:t xml:space="preserve">Variables and VariableTypes</w:t>
      </w:r>
      <w:bookmarkEnd w:id="98"/>
    </w:p>
    <w:p>
      <w:pPr>
        <w:pStyle w:val="PARAGRAPH"/>
      </w:pPr>
      <w:r>
        <w:rPr/>
        <w:t xml:space="preserve">This section left blank.</w:t>
      </w:r>
    </w:p>
    <w:p>
      <w:pPr>
        <w:pStyle w:val="Heading2"/>
      </w:pPr>
      <w:bookmarkStart w:name="Sts_sec_6_5" w:id="99"/>
      <w:r>
        <w:rPr/>
        <w:t xml:space="preserve">DataTypes</w:t>
      </w:r>
      <w:bookmarkEnd w:id="99"/>
    </w:p>
    <w:p>
      <w:pPr>
        <w:pStyle w:val="Heading3"/>
      </w:pPr>
      <w:bookmarkStart w:name="Sts_sec_6_5_1" w:id="100"/>
      <w:r>
        <w:rPr/>
        <w:t xml:space="preserve">Overview</w:t>
      </w:r>
      <w:bookmarkEnd w:id="100"/>
    </w:p>
    <w:p>
      <w:pPr>
        <w:pStyle w:val="PARAGRAPH"/>
      </w:pPr>
      <w:r>
        <w:rPr/>
        <w:t xml:space="preserve">This section defines any enumeration or structure that are defined as part of the PackML specification.</w:t>
      </w:r>
    </w:p>
    <w:p>
      <w:pPr>
        <w:pStyle w:val="Heading3"/>
      </w:pPr>
      <w:bookmarkStart w:name="Sts_sec_6_5_2" w:id="101"/>
      <w:r>
        <w:rPr/>
        <w:t xml:space="preserve">ProductionMaintenanceModeEnum</w:t>
      </w:r>
      <w:bookmarkEnd w:id="101"/>
    </w:p>
    <w:p>
      <w:pPr>
        <w:pStyle w:val="PARAGRAPH"/>
      </w:pPr>
      <w:r>
        <w:rPr>
          <w:i/>
        </w:rPr>
        <w:t xml:space="preserve">ProductionMaintenanceModeEnum</w:t>
      </w:r>
      <w:r>
        <w:rPr/>
        <w:t xml:space="preserve"> describes the predefined modes. This is a default mode enumeration. A </w:t>
      </w:r>
      <w:r>
        <w:rPr>
          <w:i/>
        </w:rPr>
        <w:t xml:space="preserve">Server</w:t>
      </w:r>
      <w:r>
        <w:rPr/>
        <w:t xml:space="preserve"> may define additional enumerations that describe the modes it supports, but any such enumeration must include "Production" as enumeration 1 and if Maintenance or Manual are included, they must be 2 and 3 respectively. Any additional modes must start at 4 or greater. If vendor specific or end user specific mode enumerations are included, they shall be defined as a subtype of this enumeration. ProductionMaintenanceModeEnum is the default enumeration that shall be used if no vendor or end user mode enumeration is defined. </w:t>
      </w:r>
      <w:r>
        <w:rPr>
          <w:i/>
        </w:rPr>
        <w:t xml:space="preserve">ProductionMaintenanceModeEnum</w:t>
      </w:r>
      <w:r>
        <w:rPr/>
        <w:t xml:space="preserve"> is defined in </w:t>
      </w:r>
      <w:r>
        <w:fldChar w:fldCharType="begin"/>
      </w:r>
      <w:r>
        <w:instrText xml:space="preserve"> REF Sts_tbl_12 \h \* MERGEFORMAT </w:instrText>
      </w:r>
      <w:r>
        <w:fldChar w:fldCharType="separate"/>
      </w:r>
      <w:r>
        <w:rPr/>
        <w:t xml:space="preserve">Table 12</w:t>
      </w:r>
      <w:r>
        <w:fldChar w:fldCharType="end"/>
      </w:r>
      <w:r>
        <w:rPr/>
        <w:t xml:space="preserve">.</w:t>
      </w:r>
    </w:p>
    <w:p>
      <w:pPr>
        <w:pStyle w:val="TABLE-title"/>
      </w:pPr>
      <w:bookmarkStart w:name="Sts_tbl_12" w:id="102"/>
      <w:r>
        <w:t xml:space="preserve">Table </w:t>
      </w:r>
      <w:r>
        <w:fldChar w:fldCharType="begin"/>
      </w:r>
      <w:r>
        <w:instrText xml:space="preserve"> SEQ Table \* ARABIC </w:instrText>
      </w:r>
      <w:r>
        <w:fldChar w:fldCharType="separate"/>
      </w:r>
      <w:r>
        <w:rPr/>
        <w:t xml:space="preserve">12</w:t>
      </w:r>
      <w:r>
        <w:fldChar w:fldCharType="end"/>
      </w:r>
      <w:bookmarkEnd w:id="102"/>
      <w:r>
        <w:t xml:space="preserve"> – </w:t>
      </w:r>
      <w:r>
        <w:rPr/>
        <w:t xml:space="preserve">ProductionMaintenanceModeEnum values</w:t>
      </w:r>
    </w:p>
    <w:tbl>
      <w:tblPr>
        <w:tblStyle w:val="TableGrid"/>
        <w:tblW w:w="9070" w:type="dxa"/>
        <w:tblLayout w:type="fixed"/>
      </w:tblPr>
      <w:tblGrid>
        <w:gridCol w:w="2122"/>
        <w:gridCol w:w="1157"/>
        <w:gridCol w:w="5791"/>
      </w:tblGrid>
      <w:tr>
        <w:trPr>
          <w:tblHeader/>
        </w:trPr>
        <w:tc>
          <w:tcPr>
            <w:tcW w:w="2122" w:type="dxa"/>
            <w:vAlign w:val="center"/>
          </w:tcPr>
          <w:p>
            <w:pPr>
              <w:pStyle w:val="TABLE-col-heading"/>
              <w:jc w:val="left"/>
            </w:pPr>
            <w:r>
              <w:rPr/>
              <w:t xml:space="preserve">Name</w:t>
            </w:r>
          </w:p>
        </w:tc>
        <w:tc>
          <w:tcPr>
            <w:tcW w:w="1157" w:type="dxa"/>
            <w:vAlign w:val="center"/>
          </w:tcPr>
          <w:p>
            <w:pPr>
              <w:pStyle w:val="TABLE-col-heading"/>
              <w:jc w:val="left"/>
            </w:pPr>
            <w:r>
              <w:rPr/>
              <w:t xml:space="preserve">Value</w:t>
            </w:r>
          </w:p>
        </w:tc>
        <w:tc>
          <w:tcPr>
            <w:tcW w:w="5791" w:type="dxa"/>
            <w:vAlign w:val="center"/>
          </w:tcPr>
          <w:p>
            <w:pPr>
              <w:pStyle w:val="TABLE-col-heading"/>
              <w:jc w:val="left"/>
            </w:pPr>
            <w:r>
              <w:rPr/>
              <w:t xml:space="preserve">Description</w:t>
            </w:r>
          </w:p>
        </w:tc>
      </w:tr>
      <w:tr>
        <w:tc>
          <w:tcPr>
            <w:tcW w:w="2122" w:type="dxa"/>
            <w:vAlign w:val="center"/>
          </w:tcPr>
          <w:p>
            <w:pPr>
              <w:pStyle w:val="TABLE-cell"/>
            </w:pPr>
            <w:r>
              <w:rPr/>
              <w:t xml:space="preserve">Invalid</w:t>
            </w:r>
          </w:p>
        </w:tc>
        <w:tc>
          <w:tcPr>
            <w:tcW w:w="1157" w:type="dxa"/>
            <w:vAlign w:val="center"/>
          </w:tcPr>
          <w:p>
            <w:pPr>
              <w:pStyle w:val="TABLE-cell"/>
            </w:pPr>
            <w:r>
              <w:rPr/>
              <w:t xml:space="preserve">0</w:t>
            </w:r>
          </w:p>
        </w:tc>
        <w:tc>
          <w:tcPr>
            <w:tcW w:w="5791" w:type="dxa"/>
            <w:vAlign w:val="center"/>
          </w:tcPr>
          <w:p>
            <w:pPr>
              <w:pStyle w:val="TABLE-cell"/>
            </w:pPr>
            <w:r>
              <w:rPr/>
              <w:t xml:space="preserve">Not used</w:t>
            </w:r>
          </w:p>
        </w:tc>
      </w:tr>
      <w:tr>
        <w:tc>
          <w:tcPr>
            <w:tcW w:w="2122" w:type="dxa"/>
            <w:vAlign w:val="center"/>
          </w:tcPr>
          <w:p>
            <w:pPr>
              <w:pStyle w:val="TABLE-cell"/>
            </w:pPr>
            <w:r>
              <w:rPr/>
              <w:t xml:space="preserve">Production</w:t>
            </w:r>
          </w:p>
        </w:tc>
        <w:tc>
          <w:tcPr>
            <w:tcW w:w="1157" w:type="dxa"/>
            <w:vAlign w:val="center"/>
          </w:tcPr>
          <w:p>
            <w:pPr>
              <w:pStyle w:val="TABLE-cell"/>
            </w:pPr>
            <w:r>
              <w:rPr/>
              <w:t xml:space="preserve">1</w:t>
            </w:r>
          </w:p>
        </w:tc>
        <w:tc>
          <w:tcPr>
            <w:tcW w:w="5791" w:type="dxa"/>
            <w:vAlign w:val="center"/>
          </w:tcPr>
          <w:p>
            <w:pPr>
              <w:pStyle w:val="TABLE-cell"/>
            </w:pPr>
            <w:r>
              <w:rPr/>
              <w:t xml:space="preserve">Machine is in production mode</w:t>
            </w:r>
          </w:p>
        </w:tc>
      </w:tr>
      <w:tr>
        <w:tc>
          <w:tcPr>
            <w:tcW w:w="2122" w:type="dxa"/>
            <w:vAlign w:val="center"/>
          </w:tcPr>
          <w:p>
            <w:pPr>
              <w:pStyle w:val="TABLE-cell"/>
            </w:pPr>
            <w:r>
              <w:rPr/>
              <w:t xml:space="preserve">Maintenance</w:t>
            </w:r>
          </w:p>
        </w:tc>
        <w:tc>
          <w:tcPr>
            <w:tcW w:w="1157" w:type="dxa"/>
            <w:vAlign w:val="center"/>
          </w:tcPr>
          <w:p>
            <w:pPr>
              <w:pStyle w:val="TABLE-cell"/>
            </w:pPr>
            <w:r>
              <w:rPr/>
              <w:t xml:space="preserve">2</w:t>
            </w:r>
          </w:p>
        </w:tc>
        <w:tc>
          <w:tcPr>
            <w:tcW w:w="5791" w:type="dxa"/>
            <w:vAlign w:val="center"/>
          </w:tcPr>
          <w:p>
            <w:pPr>
              <w:pStyle w:val="TABLE-cell"/>
            </w:pPr>
            <w:r>
              <w:rPr/>
              <w:t xml:space="preserve">Machine is in maintenance mode</w:t>
            </w:r>
          </w:p>
        </w:tc>
      </w:tr>
      <w:tr>
        <w:tc>
          <w:tcPr>
            <w:tcW w:w="2122" w:type="dxa"/>
            <w:vAlign w:val="center"/>
          </w:tcPr>
          <w:p>
            <w:pPr>
              <w:pStyle w:val="TABLE-cell"/>
            </w:pPr>
            <w:r>
              <w:rPr/>
              <w:t xml:space="preserve">Manual</w:t>
            </w:r>
          </w:p>
        </w:tc>
        <w:tc>
          <w:tcPr>
            <w:tcW w:w="1157" w:type="dxa"/>
            <w:vAlign w:val="center"/>
          </w:tcPr>
          <w:p>
            <w:pPr>
              <w:pStyle w:val="TABLE-cell"/>
            </w:pPr>
            <w:r>
              <w:rPr/>
              <w:t xml:space="preserve">3</w:t>
            </w:r>
          </w:p>
        </w:tc>
        <w:tc>
          <w:tcPr>
            <w:tcW w:w="5791" w:type="dxa"/>
            <w:vAlign w:val="center"/>
          </w:tcPr>
          <w:p>
            <w:pPr>
              <w:pStyle w:val="TABLE-cell"/>
            </w:pPr>
            <w:r>
              <w:rPr/>
              <w:t xml:space="preserve">Machine is in manual mode</w:t>
            </w:r>
          </w:p>
        </w:tc>
      </w:tr>
    </w:tbl>
    <w:p>
      <w:pPr>
        <w:pStyle w:val="spacer"/>
      </w:pPr>
    </w:p>
    <w:p>
      <w:pPr>
        <w:pStyle w:val="PARAGRAPH"/>
      </w:pPr>
      <w:r>
        <w:rPr/>
        <w:t xml:space="preserve">where the following definitions apply:</w:t>
      </w:r>
    </w:p>
    <w:p>
      <w:pPr>
        <w:pStyle w:val="PARAGRAPH"/>
      </w:pPr>
      <w:r>
        <w:rPr/>
        <w:t xml:space="preserve">-Production corresponds to the PackML Production Mode which is routine production.</w:t>
      </w:r>
    </w:p>
    <w:p>
      <w:pPr>
        <w:pStyle w:val="PARAGRAPH"/>
      </w:pPr>
      <w:r>
        <w:rPr/>
        <w:t xml:space="preserve">-Maintenance corresponds to the PackML Maintenance Mode which is the ability to run a machine independent of other machine in a production line.</w:t>
      </w:r>
    </w:p>
    <w:p>
      <w:pPr>
        <w:pStyle w:val="PARAGRAPH"/>
      </w:pPr>
      <w:r>
        <w:rPr/>
        <w:t xml:space="preserve">-Manual corresponds to the PackML Manual Mode which provides direct control of the individual machine elements.</w:t>
      </w:r>
    </w:p>
    <w:p>
      <w:pPr>
        <w:pStyle w:val="Heading3"/>
      </w:pPr>
      <w:bookmarkStart w:name="Sts_sec_6_5_3" w:id="103"/>
      <w:r>
        <w:rPr/>
        <w:t xml:space="preserve">PackMLCountDataType</w:t>
      </w:r>
      <w:bookmarkEnd w:id="103"/>
    </w:p>
    <w:p>
      <w:pPr>
        <w:pStyle w:val="PARAGRAPH"/>
      </w:pPr>
      <w:r>
        <w:rPr/>
        <w:t xml:space="preserve">The </w:t>
      </w:r>
      <w:r>
        <w:rPr>
          <w:i/>
        </w:rPr>
        <w:t xml:space="preserve">PackMLCountDataType</w:t>
      </w:r>
      <w:r>
        <w:rPr/>
        <w:t xml:space="preserve"> is used to generate summary information about the system.  The information depending on the use might be related to produced product, defective materials or any other information that needs to be tracked. It is formally defined in </w:t>
      </w:r>
      <w:r>
        <w:fldChar w:fldCharType="begin"/>
      </w:r>
      <w:r>
        <w:instrText xml:space="preserve"> REF Sts_tbl_13 \h \* MERGEFORMAT </w:instrText>
      </w:r>
      <w:r>
        <w:fldChar w:fldCharType="separate"/>
      </w:r>
      <w:r>
        <w:rPr/>
        <w:t xml:space="preserve">Table 13</w:t>
      </w:r>
      <w:r>
        <w:fldChar w:fldCharType="end"/>
      </w:r>
    </w:p>
    <w:p>
      <w:pPr>
        <w:pStyle w:val="TABLE-title"/>
      </w:pPr>
      <w:bookmarkStart w:name="Sts_tbl_13" w:id="104"/>
      <w:r>
        <w:t xml:space="preserve">Table </w:t>
      </w:r>
      <w:r>
        <w:fldChar w:fldCharType="begin"/>
      </w:r>
      <w:r>
        <w:instrText xml:space="preserve"> SEQ Table \* ARABIC </w:instrText>
      </w:r>
      <w:r>
        <w:fldChar w:fldCharType="separate"/>
      </w:r>
      <w:r>
        <w:rPr/>
        <w:t xml:space="preserve">13</w:t>
      </w:r>
      <w:r>
        <w:fldChar w:fldCharType="end"/>
      </w:r>
      <w:bookmarkEnd w:id="104"/>
      <w:r>
        <w:t xml:space="preserve"> – </w:t>
      </w:r>
      <w:r>
        <w:rPr/>
        <w:t xml:space="preserve">PackMLCountDataType Structure</w:t>
      </w:r>
    </w:p>
    <w:tbl>
      <w:tblPr>
        <w:tblStyle w:val="TableGrid"/>
        <w:tblW w:w="9070" w:type="dxa"/>
        <w:tblLayout w:type="fixed"/>
      </w:tblPr>
      <w:tblGrid>
        <w:gridCol w:w="2520"/>
        <w:gridCol w:w="1800"/>
        <w:gridCol w:w="4750"/>
      </w:tblGrid>
      <w:tr>
        <w:trPr>
          <w:tblHeader/>
        </w:trPr>
        <w:tc>
          <w:tcPr>
            <w:tcW w:w="2520" w:type="dxa"/>
            <w:vAlign w:val="center"/>
          </w:tcPr>
          <w:p>
            <w:pPr>
              <w:pStyle w:val="TABLE-col-heading"/>
              <w:jc w:val="left"/>
            </w:pPr>
            <w:r>
              <w:rPr/>
              <w:t xml:space="preserve">Name</w:t>
            </w:r>
          </w:p>
        </w:tc>
        <w:tc>
          <w:tcPr>
            <w:tcW w:w="1800" w:type="dxa"/>
            <w:vAlign w:val="center"/>
          </w:tcPr>
          <w:p>
            <w:pPr>
              <w:pStyle w:val="TABLE-col-heading"/>
              <w:jc w:val="left"/>
            </w:pPr>
            <w:r>
              <w:rPr/>
              <w:t xml:space="preserve">Type</w:t>
            </w:r>
          </w:p>
        </w:tc>
        <w:tc>
          <w:tcPr>
            <w:tcW w:w="4750" w:type="dxa"/>
            <w:vAlign w:val="center"/>
          </w:tcPr>
          <w:p>
            <w:pPr>
              <w:pStyle w:val="TABLE-col-heading"/>
              <w:jc w:val="left"/>
            </w:pPr>
            <w:r>
              <w:rPr/>
              <w:t xml:space="preserve">Description</w:t>
            </w:r>
          </w:p>
        </w:tc>
      </w:tr>
      <w:tr>
        <w:tc>
          <w:tcPr>
            <w:tcW w:w="2520" w:type="dxa"/>
            <w:vAlign w:val="center"/>
          </w:tcPr>
          <w:p>
            <w:pPr>
              <w:pStyle w:val="TABLE-cell"/>
            </w:pPr>
            <w:r>
              <w:rPr/>
              <w:t xml:space="preserve">PackMLCountDataType</w:t>
            </w:r>
          </w:p>
        </w:tc>
        <w:tc>
          <w:tcPr>
            <w:tcW w:w="6550" w:type="dxa"/>
            <w:gridSpan w:val="2"/>
            <w:vAlign w:val="center"/>
          </w:tcPr>
          <w:p>
            <w:pPr>
              <w:pStyle w:val="TABLE-cell"/>
            </w:pPr>
            <w:r>
              <w:rPr/>
              <w:t xml:space="preserve">Structure</w:t>
            </w:r>
          </w:p>
        </w:tc>
      </w:tr>
      <w:tr>
        <w:tc>
          <w:tcPr>
            <w:tcW w:w="2520" w:type="dxa"/>
            <w:vAlign w:val="center"/>
          </w:tcPr>
          <w:p>
            <w:pPr>
              <w:pStyle w:val="TABLE-cell"/>
            </w:pPr>
            <w:r>
              <w:rPr/>
              <w:t xml:space="preserve">ID</w:t>
            </w:r>
          </w:p>
        </w:tc>
        <w:tc>
          <w:tcPr>
            <w:tcW w:w="1800" w:type="dxa"/>
            <w:vAlign w:val="center"/>
          </w:tcPr>
          <w:p>
            <w:pPr>
              <w:pStyle w:val="TABLE-cell"/>
            </w:pPr>
            <w:r>
              <w:rPr/>
              <w:t xml:space="preserve">Int32</w:t>
            </w:r>
          </w:p>
        </w:tc>
        <w:tc>
          <w:tcPr>
            <w:tcW w:w="4750" w:type="dxa"/>
            <w:vAlign w:val="center"/>
          </w:tcPr>
          <w:p>
            <w:pPr>
              <w:pStyle w:val="TABLE-cell"/>
            </w:pPr>
            <w:r>
              <w:rPr/>
              <w:t xml:space="preserve">A user defined value that represents the consumed (processed or defective) material. Typically, this is an SKU number or a user material master number.</w:t>
            </w:r>
          </w:p>
        </w:tc>
      </w:tr>
      <w:tr>
        <w:tc>
          <w:tcPr>
            <w:tcW w:w="2520" w:type="dxa"/>
            <w:vAlign w:val="center"/>
          </w:tcPr>
          <w:p>
            <w:pPr>
              <w:pStyle w:val="TABLE-cell"/>
            </w:pPr>
            <w:r>
              <w:rPr/>
              <w:t xml:space="preserve">Name</w:t>
            </w:r>
          </w:p>
        </w:tc>
        <w:tc>
          <w:tcPr>
            <w:tcW w:w="1800" w:type="dxa"/>
            <w:vAlign w:val="center"/>
          </w:tcPr>
          <w:p>
            <w:pPr>
              <w:pStyle w:val="TABLE-cell"/>
            </w:pPr>
            <w:r>
              <w:rPr/>
              <w:t xml:space="preserve">String</w:t>
            </w:r>
          </w:p>
        </w:tc>
        <w:tc>
          <w:tcPr>
            <w:tcW w:w="4750" w:type="dxa"/>
            <w:vAlign w:val="center"/>
          </w:tcPr>
          <w:p>
            <w:pPr>
              <w:pStyle w:val="TABLE-cell"/>
            </w:pPr>
            <w:r>
              <w:rPr/>
              <w:t xml:space="preserve">The name is used to literally describe the material ID, and its associated material.</w:t>
            </w:r>
          </w:p>
        </w:tc>
      </w:tr>
      <w:tr>
        <w:tc>
          <w:tcPr>
            <w:tcW w:w="2520" w:type="dxa"/>
            <w:vAlign w:val="center"/>
          </w:tcPr>
          <w:p>
            <w:pPr>
              <w:pStyle w:val="TABLE-cell"/>
            </w:pPr>
            <w:r>
              <w:rPr/>
              <w:t xml:space="preserve">Unit</w:t>
            </w:r>
          </w:p>
        </w:tc>
        <w:tc>
          <w:tcPr>
            <w:tcW w:w="1800" w:type="dxa"/>
            <w:vAlign w:val="center"/>
          </w:tcPr>
          <w:p>
            <w:pPr>
              <w:pStyle w:val="TABLE-cell"/>
            </w:pPr>
            <w:r>
              <w:rPr/>
              <w:t xml:space="preserve">EUInformation</w:t>
            </w:r>
          </w:p>
        </w:tc>
        <w:tc>
          <w:tcPr>
            <w:tcW w:w="4750" w:type="dxa"/>
            <w:vAlign w:val="center"/>
          </w:tcPr>
          <w:p>
            <w:pPr>
              <w:pStyle w:val="TABLE-cell"/>
            </w:pPr>
            <w:r>
              <w:rPr/>
              <w:t xml:space="preserve">The unit tag is used to describe the names associated with a specific material used by the machine.</w:t>
            </w:r>
          </w:p>
        </w:tc>
      </w:tr>
      <w:tr>
        <w:tc>
          <w:tcPr>
            <w:tcW w:w="2520" w:type="dxa"/>
            <w:vAlign w:val="center"/>
          </w:tcPr>
          <w:p>
            <w:pPr>
              <w:pStyle w:val="TABLE-cell"/>
            </w:pPr>
            <w:r>
              <w:rPr/>
              <w:t xml:space="preserve">Count</w:t>
            </w:r>
          </w:p>
        </w:tc>
        <w:tc>
          <w:tcPr>
            <w:tcW w:w="1800" w:type="dxa"/>
            <w:vAlign w:val="center"/>
          </w:tcPr>
          <w:p>
            <w:pPr>
              <w:pStyle w:val="TABLE-cell"/>
            </w:pPr>
            <w:r>
              <w:rPr/>
              <w:t xml:space="preserve">Int32</w:t>
            </w:r>
          </w:p>
        </w:tc>
        <w:tc>
          <w:tcPr>
            <w:tcW w:w="4750" w:type="dxa"/>
            <w:vAlign w:val="center"/>
          </w:tcPr>
          <w:p>
            <w:pPr>
              <w:pStyle w:val="TABLE-cell"/>
            </w:pPr>
            <w:r>
              <w:rPr/>
              <w:t xml:space="preserve">The amount of consumed (processed or defective) material on the current production job.</w:t>
            </w:r>
          </w:p>
        </w:tc>
      </w:tr>
      <w:tr>
        <w:tc>
          <w:tcPr>
            <w:tcW w:w="2520" w:type="dxa"/>
            <w:vAlign w:val="center"/>
          </w:tcPr>
          <w:p>
            <w:pPr>
              <w:pStyle w:val="TABLE-cell"/>
            </w:pPr>
            <w:r>
              <w:rPr/>
              <w:t xml:space="preserve">AccCount</w:t>
            </w:r>
          </w:p>
        </w:tc>
        <w:tc>
          <w:tcPr>
            <w:tcW w:w="1800" w:type="dxa"/>
            <w:vAlign w:val="center"/>
          </w:tcPr>
          <w:p>
            <w:pPr>
              <w:pStyle w:val="TABLE-cell"/>
            </w:pPr>
            <w:r>
              <w:rPr/>
              <w:t xml:space="preserve">Int32</w:t>
            </w:r>
          </w:p>
        </w:tc>
        <w:tc>
          <w:tcPr>
            <w:tcW w:w="4750" w:type="dxa"/>
            <w:vAlign w:val="center"/>
          </w:tcPr>
          <w:p>
            <w:pPr>
              <w:pStyle w:val="TABLE-cell"/>
            </w:pPr>
            <w:r>
              <w:rPr/>
              <w:t xml:space="preserve">The cumulative count value of the material produced (or consumed). This counter gives the user a non-resetting counter that may be used for OEE calculations</w:t>
            </w:r>
          </w:p>
        </w:tc>
      </w:tr>
    </w:tbl>
    <w:p>
      <w:pPr>
        <w:pStyle w:val="spacer"/>
      </w:pPr>
    </w:p>
    <w:p>
      <w:pPr>
        <w:pStyle w:val="Heading3"/>
      </w:pPr>
      <w:bookmarkStart w:name="Sts_sec_6_5_4" w:id="105"/>
      <w:r>
        <w:rPr/>
        <w:t xml:space="preserve">PackMLDescriptorDataType</w:t>
      </w:r>
      <w:bookmarkEnd w:id="105"/>
    </w:p>
    <w:p>
      <w:pPr>
        <w:pStyle w:val="PARAGRAPH"/>
      </w:pPr>
      <w:r>
        <w:rPr/>
        <w:t xml:space="preserve">The </w:t>
      </w:r>
      <w:r>
        <w:rPr>
          <w:i/>
        </w:rPr>
        <w:t xml:space="preserve">PackMLDescriptorDataType</w:t>
      </w:r>
      <w:r>
        <w:rPr/>
        <w:t xml:space="preserve"> provides the PackML Parameter structure. The </w:t>
      </w:r>
      <w:r>
        <w:rPr>
          <w:i/>
        </w:rPr>
        <w:t xml:space="preserve">PackMLDescriptorDataType</w:t>
      </w:r>
      <w:r>
        <w:rPr/>
        <w:t xml:space="preserve"> is formally defined in </w:t>
      </w:r>
      <w:r>
        <w:fldChar w:fldCharType="begin"/>
      </w:r>
      <w:r>
        <w:instrText xml:space="preserve"> REF Sts_tbl_14 \h \* MERGEFORMAT </w:instrText>
      </w:r>
      <w:r>
        <w:fldChar w:fldCharType="separate"/>
      </w:r>
      <w:r>
        <w:rPr/>
        <w:t xml:space="preserve">Table 14</w:t>
      </w:r>
      <w:r>
        <w:fldChar w:fldCharType="end"/>
      </w:r>
    </w:p>
    <w:p>
      <w:pPr>
        <w:pStyle w:val="TABLE-title"/>
      </w:pPr>
      <w:bookmarkStart w:name="Sts_tbl_14" w:id="106"/>
      <w:r>
        <w:t xml:space="preserve">Table </w:t>
      </w:r>
      <w:r>
        <w:fldChar w:fldCharType="begin"/>
      </w:r>
      <w:r>
        <w:instrText xml:space="preserve"> SEQ Table \* ARABIC </w:instrText>
      </w:r>
      <w:r>
        <w:fldChar w:fldCharType="separate"/>
      </w:r>
      <w:r>
        <w:rPr/>
        <w:t xml:space="preserve">14</w:t>
      </w:r>
      <w:r>
        <w:fldChar w:fldCharType="end"/>
      </w:r>
      <w:bookmarkEnd w:id="106"/>
      <w:r>
        <w:t xml:space="preserve"> – </w:t>
      </w:r>
      <w:r>
        <w:rPr/>
        <w:t xml:space="preserve">PackMLDescriptorDataType Structure</w:t>
      </w:r>
    </w:p>
    <w:tbl>
      <w:tblPr>
        <w:tblStyle w:val="TableGrid"/>
        <w:tblW w:w="9070" w:type="dxa"/>
        <w:tblLayout w:type="fixed"/>
      </w:tblPr>
      <w:tblGrid>
        <w:gridCol w:w="3023"/>
        <w:gridCol w:w="1800"/>
        <w:gridCol w:w="4247"/>
      </w:tblGrid>
      <w:tr>
        <w:trPr>
          <w:tblHeader/>
        </w:trPr>
        <w:tc>
          <w:tcPr>
            <w:tcW w:w="3023" w:type="dxa"/>
            <w:vAlign w:val="center"/>
          </w:tcPr>
          <w:p>
            <w:pPr>
              <w:pStyle w:val="TABLE-col-heading"/>
              <w:jc w:val="left"/>
            </w:pPr>
            <w:r>
              <w:rPr/>
              <w:t xml:space="preserve">Name</w:t>
            </w:r>
          </w:p>
        </w:tc>
        <w:tc>
          <w:tcPr>
            <w:tcW w:w="1800" w:type="dxa"/>
            <w:vAlign w:val="center"/>
          </w:tcPr>
          <w:p>
            <w:pPr>
              <w:pStyle w:val="TABLE-col-heading"/>
              <w:jc w:val="left"/>
            </w:pPr>
            <w:r>
              <w:rPr/>
              <w:t xml:space="preserve">Type</w:t>
            </w:r>
          </w:p>
        </w:tc>
        <w:tc>
          <w:tcPr>
            <w:tcW w:w="4247" w:type="dxa"/>
            <w:vAlign w:val="center"/>
          </w:tcPr>
          <w:p>
            <w:pPr>
              <w:pStyle w:val="TABLE-col-heading"/>
              <w:jc w:val="left"/>
            </w:pPr>
            <w:r>
              <w:rPr/>
              <w:t xml:space="preserve">Description</w:t>
            </w:r>
          </w:p>
        </w:tc>
      </w:tr>
      <w:tr>
        <w:tc>
          <w:tcPr>
            <w:tcW w:w="3023" w:type="dxa"/>
            <w:vAlign w:val="center"/>
          </w:tcPr>
          <w:p>
            <w:pPr>
              <w:pStyle w:val="TABLE-cell"/>
            </w:pPr>
            <w:r>
              <w:rPr/>
              <w:t xml:space="preserve">PackMLDescriptorDataType</w:t>
            </w:r>
          </w:p>
        </w:tc>
        <w:tc>
          <w:tcPr>
            <w:tcW w:w="6047" w:type="dxa"/>
            <w:gridSpan w:val="2"/>
            <w:vAlign w:val="center"/>
          </w:tcPr>
          <w:p>
            <w:pPr>
              <w:pStyle w:val="TABLE-cell"/>
            </w:pPr>
            <w:r>
              <w:rPr/>
              <w:t xml:space="preserve">Structure</w:t>
            </w:r>
          </w:p>
        </w:tc>
      </w:tr>
      <w:tr>
        <w:tc>
          <w:tcPr>
            <w:tcW w:w="3023" w:type="dxa"/>
            <w:vAlign w:val="center"/>
          </w:tcPr>
          <w:p>
            <w:pPr>
              <w:pStyle w:val="TABLE-cell"/>
            </w:pPr>
            <w:r>
              <w:rPr/>
              <w:t xml:space="preserve">ID</w:t>
            </w:r>
          </w:p>
        </w:tc>
        <w:tc>
          <w:tcPr>
            <w:tcW w:w="1800" w:type="dxa"/>
            <w:vAlign w:val="center"/>
          </w:tcPr>
          <w:p>
            <w:pPr>
              <w:pStyle w:val="TABLE-cell"/>
            </w:pPr>
            <w:r>
              <w:rPr/>
              <w:t xml:space="preserve">Int32</w:t>
            </w:r>
          </w:p>
        </w:tc>
        <w:tc>
          <w:tcPr>
            <w:tcW w:w="4247" w:type="dxa"/>
            <w:vAlign w:val="center"/>
          </w:tcPr>
          <w:p>
            <w:pPr>
              <w:pStyle w:val="TABLE-cell"/>
            </w:pPr>
            <w:r>
              <w:rPr/>
              <w:t xml:space="preserve">A unique number assigned to the parameter.</w:t>
            </w:r>
          </w:p>
        </w:tc>
      </w:tr>
      <w:tr>
        <w:tc>
          <w:tcPr>
            <w:tcW w:w="3023" w:type="dxa"/>
            <w:vAlign w:val="center"/>
          </w:tcPr>
          <w:p>
            <w:pPr>
              <w:pStyle w:val="TABLE-cell"/>
            </w:pPr>
            <w:r>
              <w:rPr/>
              <w:t xml:space="preserve">Name</w:t>
            </w:r>
          </w:p>
        </w:tc>
        <w:tc>
          <w:tcPr>
            <w:tcW w:w="1800" w:type="dxa"/>
            <w:vAlign w:val="center"/>
          </w:tcPr>
          <w:p>
            <w:pPr>
              <w:pStyle w:val="TABLE-cell"/>
            </w:pPr>
            <w:r>
              <w:rPr/>
              <w:t xml:space="preserve">String</w:t>
            </w:r>
          </w:p>
        </w:tc>
        <w:tc>
          <w:tcPr>
            <w:tcW w:w="4247" w:type="dxa"/>
            <w:vAlign w:val="center"/>
          </w:tcPr>
          <w:p>
            <w:pPr>
              <w:pStyle w:val="TABLE-cell"/>
            </w:pPr>
            <w:r>
              <w:rPr/>
              <w:t xml:space="preserve">The name of the parameter</w:t>
            </w:r>
          </w:p>
        </w:tc>
      </w:tr>
      <w:tr>
        <w:tc>
          <w:tcPr>
            <w:tcW w:w="3023" w:type="dxa"/>
            <w:vAlign w:val="center"/>
          </w:tcPr>
          <w:p>
            <w:pPr>
              <w:pStyle w:val="TABLE-cell"/>
            </w:pPr>
            <w:r>
              <w:rPr/>
              <w:t xml:space="preserve">Unit</w:t>
            </w:r>
          </w:p>
        </w:tc>
        <w:tc>
          <w:tcPr>
            <w:tcW w:w="1800" w:type="dxa"/>
            <w:vAlign w:val="center"/>
          </w:tcPr>
          <w:p>
            <w:pPr>
              <w:pStyle w:val="TABLE-cell"/>
            </w:pPr>
            <w:r>
              <w:rPr/>
              <w:t xml:space="preserve">EUInformation</w:t>
            </w:r>
          </w:p>
        </w:tc>
        <w:tc>
          <w:tcPr>
            <w:tcW w:w="4247" w:type="dxa"/>
            <w:vAlign w:val="center"/>
          </w:tcPr>
          <w:p>
            <w:pPr>
              <w:pStyle w:val="TABLE-cell"/>
            </w:pPr>
            <w:r>
              <w:rPr/>
              <w:t xml:space="preserve">OPC UA engineering unit information</w:t>
            </w:r>
          </w:p>
        </w:tc>
      </w:tr>
      <w:tr>
        <w:tc>
          <w:tcPr>
            <w:tcW w:w="3023" w:type="dxa"/>
            <w:vAlign w:val="center"/>
          </w:tcPr>
          <w:p>
            <w:pPr>
              <w:pStyle w:val="TABLE-cell"/>
            </w:pPr>
            <w:r>
              <w:rPr/>
              <w:t xml:space="preserve">Value</w:t>
            </w:r>
          </w:p>
        </w:tc>
        <w:tc>
          <w:tcPr>
            <w:tcW w:w="1800" w:type="dxa"/>
            <w:vAlign w:val="center"/>
          </w:tcPr>
          <w:p>
            <w:pPr>
              <w:pStyle w:val="TABLE-cell"/>
            </w:pPr>
            <w:r>
              <w:rPr/>
              <w:t xml:space="preserve">Float</w:t>
            </w:r>
          </w:p>
        </w:tc>
        <w:tc>
          <w:tcPr>
            <w:tcW w:w="4247" w:type="dxa"/>
            <w:vAlign w:val="center"/>
          </w:tcPr>
          <w:p>
            <w:pPr>
              <w:pStyle w:val="TABLE-cell"/>
            </w:pPr>
            <w:r>
              <w:rPr/>
              <w:t xml:space="preserve">This is the numeric value of the parameter</w:t>
            </w:r>
          </w:p>
        </w:tc>
      </w:tr>
    </w:tbl>
    <w:p>
      <w:pPr>
        <w:pStyle w:val="spacer"/>
      </w:pPr>
    </w:p>
    <w:p>
      <w:pPr>
        <w:pStyle w:val="Heading3"/>
      </w:pPr>
      <w:bookmarkStart w:name="Sts_sec_6_5_5" w:id="107"/>
      <w:r>
        <w:rPr/>
        <w:t xml:space="preserve">PackMLIngredientsDataType</w:t>
      </w:r>
      <w:bookmarkEnd w:id="107"/>
    </w:p>
    <w:p>
      <w:pPr>
        <w:pStyle w:val="PARAGRAPH"/>
      </w:pPr>
      <w:r>
        <w:rPr/>
        <w:t xml:space="preserve">The </w:t>
      </w:r>
      <w:r>
        <w:rPr>
          <w:i/>
        </w:rPr>
        <w:t xml:space="preserve">PackMLIngredientsDataType</w:t>
      </w:r>
      <w:r>
        <w:rPr/>
        <w:t xml:space="preserve"> provides the PackML Parameter structure. The </w:t>
      </w:r>
      <w:r>
        <w:rPr>
          <w:i/>
        </w:rPr>
        <w:t xml:space="preserve">PackMLIngredientsDataType</w:t>
      </w:r>
      <w:r>
        <w:rPr/>
        <w:t xml:space="preserve"> is formally defined in </w:t>
      </w:r>
      <w:r>
        <w:fldChar w:fldCharType="begin"/>
      </w:r>
      <w:r>
        <w:instrText xml:space="preserve"> REF Sts_tbl_15 \h \* MERGEFORMAT </w:instrText>
      </w:r>
      <w:r>
        <w:fldChar w:fldCharType="separate"/>
      </w:r>
      <w:r>
        <w:rPr/>
        <w:t xml:space="preserve">Table 15</w:t>
      </w:r>
      <w:r>
        <w:fldChar w:fldCharType="end"/>
      </w:r>
      <w:r>
        <w:rPr/>
        <w:t xml:space="preserve">.</w:t>
      </w:r>
    </w:p>
    <w:p>
      <w:pPr>
        <w:pStyle w:val="TABLE-title"/>
      </w:pPr>
      <w:bookmarkStart w:name="Sts_tbl_15" w:id="108"/>
      <w:r>
        <w:t xml:space="preserve">Table </w:t>
      </w:r>
      <w:r>
        <w:fldChar w:fldCharType="begin"/>
      </w:r>
      <w:r>
        <w:instrText xml:space="preserve"> SEQ Table \* ARABIC </w:instrText>
      </w:r>
      <w:r>
        <w:fldChar w:fldCharType="separate"/>
      </w:r>
      <w:r>
        <w:rPr/>
        <w:t xml:space="preserve">15</w:t>
      </w:r>
      <w:r>
        <w:fldChar w:fldCharType="end"/>
      </w:r>
      <w:bookmarkEnd w:id="108"/>
      <w:r>
        <w:t xml:space="preserve"> – </w:t>
      </w:r>
      <w:r>
        <w:rPr/>
        <w:t xml:space="preserve">PackMLIngredientsDataType Structure</w:t>
      </w:r>
    </w:p>
    <w:tbl>
      <w:tblPr>
        <w:tblStyle w:val="TableGrid"/>
        <w:tblW w:w="9070" w:type="dxa"/>
        <w:tblLayout w:type="fixed"/>
      </w:tblPr>
      <w:tblGrid>
        <w:gridCol w:w="3025"/>
        <w:gridCol w:w="3023"/>
        <w:gridCol w:w="3022"/>
      </w:tblGrid>
      <w:tr>
        <w:trPr>
          <w:tblHeader/>
        </w:trPr>
        <w:tc>
          <w:tcPr>
            <w:tcW w:w="3025" w:type="dxa"/>
            <w:vAlign w:val="center"/>
          </w:tcPr>
          <w:p>
            <w:pPr>
              <w:pStyle w:val="TABLE-col-heading"/>
              <w:jc w:val="left"/>
            </w:pPr>
            <w:r>
              <w:rPr/>
              <w:t xml:space="preserve">Name</w:t>
            </w:r>
          </w:p>
        </w:tc>
        <w:tc>
          <w:tcPr>
            <w:tcW w:w="3023" w:type="dxa"/>
            <w:vAlign w:val="center"/>
          </w:tcPr>
          <w:p>
            <w:pPr>
              <w:pStyle w:val="TABLE-col-heading"/>
              <w:jc w:val="left"/>
            </w:pPr>
            <w:r>
              <w:rPr/>
              <w:t xml:space="preserve">Type</w:t>
            </w:r>
          </w:p>
        </w:tc>
        <w:tc>
          <w:tcPr>
            <w:tcW w:w="3022" w:type="dxa"/>
            <w:vAlign w:val="center"/>
          </w:tcPr>
          <w:p>
            <w:pPr>
              <w:pStyle w:val="TABLE-col-heading"/>
              <w:jc w:val="left"/>
            </w:pPr>
            <w:r>
              <w:rPr/>
              <w:t xml:space="preserve">Description</w:t>
            </w:r>
          </w:p>
        </w:tc>
      </w:tr>
      <w:tr>
        <w:tc>
          <w:tcPr>
            <w:tcW w:w="3025" w:type="dxa"/>
            <w:vAlign w:val="center"/>
          </w:tcPr>
          <w:p>
            <w:pPr>
              <w:pStyle w:val="TABLE-cell"/>
            </w:pPr>
            <w:r>
              <w:rPr/>
              <w:t xml:space="preserve">PackMLIngredientsDataType</w:t>
            </w:r>
          </w:p>
        </w:tc>
        <w:tc>
          <w:tcPr>
            <w:tcW w:w="6045" w:type="dxa"/>
            <w:gridSpan w:val="2"/>
            <w:vAlign w:val="center"/>
          </w:tcPr>
          <w:p>
            <w:pPr>
              <w:pStyle w:val="TABLE-cell"/>
            </w:pPr>
            <w:r>
              <w:rPr/>
              <w:t xml:space="preserve">Structure</w:t>
            </w:r>
          </w:p>
        </w:tc>
      </w:tr>
      <w:tr>
        <w:tc>
          <w:tcPr>
            <w:tcW w:w="3025" w:type="dxa"/>
            <w:vAlign w:val="center"/>
          </w:tcPr>
          <w:p>
            <w:pPr>
              <w:pStyle w:val="TABLE-cell"/>
            </w:pPr>
            <w:r>
              <w:rPr/>
              <w:t xml:space="preserve">IngredientID</w:t>
            </w:r>
          </w:p>
        </w:tc>
        <w:tc>
          <w:tcPr>
            <w:tcW w:w="3023" w:type="dxa"/>
            <w:vAlign w:val="center"/>
          </w:tcPr>
          <w:p>
            <w:pPr>
              <w:pStyle w:val="TABLE-cell"/>
            </w:pPr>
            <w:r>
              <w:rPr/>
              <w:t xml:space="preserve">Int32</w:t>
            </w:r>
          </w:p>
        </w:tc>
        <w:tc>
          <w:tcPr>
            <w:tcW w:w="3022" w:type="dxa"/>
            <w:vAlign w:val="center"/>
          </w:tcPr>
          <w:p>
            <w:pPr>
              <w:pStyle w:val="TABLE-cell"/>
            </w:pPr>
            <w:r>
              <w:rPr/>
              <w:t xml:space="preserve">A unique number assigned to the ingredient.</w:t>
            </w:r>
          </w:p>
        </w:tc>
      </w:tr>
      <w:tr>
        <w:tc>
          <w:tcPr>
            <w:tcW w:w="3025" w:type="dxa"/>
            <w:vAlign w:val="center"/>
          </w:tcPr>
          <w:p>
            <w:pPr>
              <w:pStyle w:val="TABLE-cell"/>
            </w:pPr>
            <w:r>
              <w:rPr/>
              <w:t xml:space="preserve">Parameter</w:t>
            </w:r>
          </w:p>
        </w:tc>
        <w:tc>
          <w:tcPr>
            <w:tcW w:w="3023" w:type="dxa"/>
            <w:vAlign w:val="center"/>
          </w:tcPr>
          <w:p>
            <w:pPr>
              <w:pStyle w:val="TABLE-cell"/>
            </w:pPr>
            <w:r>
              <w:rPr/>
              <w:t xml:space="preserve">PackMLDescriptorDataType[]</w:t>
            </w:r>
          </w:p>
        </w:tc>
        <w:tc>
          <w:tcPr>
            <w:tcW w:w="3022" w:type="dxa"/>
            <w:vAlign w:val="center"/>
          </w:tcPr>
          <w:p>
            <w:pPr>
              <w:pStyle w:val="TABLE-cell"/>
            </w:pPr>
            <w:r>
              <w:rPr/>
              <w:t xml:space="preserve">The array of Parameter that correspond to the ingredient</w:t>
            </w:r>
          </w:p>
        </w:tc>
      </w:tr>
    </w:tbl>
    <w:p>
      <w:pPr>
        <w:pStyle w:val="spacer"/>
      </w:pPr>
    </w:p>
    <w:p>
      <w:pPr>
        <w:pStyle w:val="Heading3"/>
      </w:pPr>
      <w:bookmarkStart w:name="Sts_sec_6_5_6" w:id="109"/>
      <w:r>
        <w:rPr/>
        <w:t xml:space="preserve">PackMLProductDataType</w:t>
      </w:r>
      <w:bookmarkEnd w:id="109"/>
    </w:p>
    <w:p>
      <w:pPr>
        <w:pStyle w:val="PARAGRAPH"/>
      </w:pPr>
      <w:r>
        <w:rPr/>
        <w:t xml:space="preserve">The </w:t>
      </w:r>
      <w:r>
        <w:rPr>
          <w:i/>
        </w:rPr>
        <w:t xml:space="preserve">PackMLProductDataType</w:t>
      </w:r>
      <w:r>
        <w:rPr/>
        <w:t xml:space="preserve"> provides the PackML product information. The </w:t>
      </w:r>
      <w:r>
        <w:rPr>
          <w:i/>
        </w:rPr>
        <w:t xml:space="preserve">PackMLProductDataType</w:t>
      </w:r>
      <w:r>
        <w:rPr/>
        <w:t xml:space="preserve"> is formally defined in </w:t>
      </w:r>
      <w:r>
        <w:fldChar w:fldCharType="begin"/>
      </w:r>
      <w:r>
        <w:instrText xml:space="preserve"> REF Sts_tbl_16 \h \* MERGEFORMAT </w:instrText>
      </w:r>
      <w:r>
        <w:fldChar w:fldCharType="separate"/>
      </w:r>
      <w:r>
        <w:rPr/>
        <w:t xml:space="preserve">Table 16</w:t>
      </w:r>
      <w:r>
        <w:fldChar w:fldCharType="end"/>
      </w:r>
      <w:r>
        <w:rPr/>
        <w:t xml:space="preserve">.</w:t>
      </w:r>
    </w:p>
    <w:p>
      <w:pPr>
        <w:pStyle w:val="TABLE-title"/>
      </w:pPr>
      <w:bookmarkStart w:name="Sts_tbl_16" w:id="110"/>
      <w:r>
        <w:t xml:space="preserve">Table </w:t>
      </w:r>
      <w:r>
        <w:fldChar w:fldCharType="begin"/>
      </w:r>
      <w:r>
        <w:instrText xml:space="preserve"> SEQ Table \* ARABIC </w:instrText>
      </w:r>
      <w:r>
        <w:fldChar w:fldCharType="separate"/>
      </w:r>
      <w:r>
        <w:rPr/>
        <w:t xml:space="preserve">16</w:t>
      </w:r>
      <w:r>
        <w:fldChar w:fldCharType="end"/>
      </w:r>
      <w:bookmarkEnd w:id="110"/>
      <w:r>
        <w:t xml:space="preserve"> – </w:t>
      </w:r>
      <w:r>
        <w:rPr/>
        <w:t xml:space="preserve">PackMLProductDataType Structure</w:t>
      </w:r>
    </w:p>
    <w:tbl>
      <w:tblPr>
        <w:tblStyle w:val="TableGrid"/>
        <w:tblW w:w="9070" w:type="dxa"/>
        <w:tblLayout w:type="fixed"/>
      </w:tblPr>
      <w:tblGrid>
        <w:gridCol w:w="2760"/>
        <w:gridCol w:w="3023"/>
        <w:gridCol w:w="3287"/>
      </w:tblGrid>
      <w:tr>
        <w:trPr>
          <w:tblHeader/>
        </w:trPr>
        <w:tc>
          <w:tcPr>
            <w:tcW w:w="2760" w:type="dxa"/>
            <w:vAlign w:val="center"/>
          </w:tcPr>
          <w:p>
            <w:pPr>
              <w:pStyle w:val="TABLE-col-heading"/>
              <w:jc w:val="left"/>
            </w:pPr>
            <w:r>
              <w:rPr/>
              <w:t xml:space="preserve">Name</w:t>
            </w:r>
          </w:p>
        </w:tc>
        <w:tc>
          <w:tcPr>
            <w:tcW w:w="3023" w:type="dxa"/>
            <w:vAlign w:val="center"/>
          </w:tcPr>
          <w:p>
            <w:pPr>
              <w:pStyle w:val="TABLE-col-heading"/>
              <w:jc w:val="left"/>
            </w:pPr>
            <w:r>
              <w:rPr/>
              <w:t xml:space="preserve">Type</w:t>
            </w:r>
          </w:p>
        </w:tc>
        <w:tc>
          <w:tcPr>
            <w:tcW w:w="3287" w:type="dxa"/>
            <w:vAlign w:val="center"/>
          </w:tcPr>
          <w:p>
            <w:pPr>
              <w:pStyle w:val="TABLE-col-heading"/>
              <w:jc w:val="left"/>
            </w:pPr>
            <w:r>
              <w:rPr/>
              <w:t xml:space="preserve">Description</w:t>
            </w:r>
          </w:p>
        </w:tc>
      </w:tr>
      <w:tr>
        <w:tc>
          <w:tcPr>
            <w:tcW w:w="2760" w:type="dxa"/>
            <w:vAlign w:val="center"/>
          </w:tcPr>
          <w:p>
            <w:pPr>
              <w:pStyle w:val="TABLE-cell"/>
            </w:pPr>
            <w:r>
              <w:rPr/>
              <w:t xml:space="preserve">PackMLProductDataType</w:t>
            </w:r>
          </w:p>
        </w:tc>
        <w:tc>
          <w:tcPr>
            <w:tcW w:w="6310" w:type="dxa"/>
            <w:gridSpan w:val="2"/>
            <w:vAlign w:val="center"/>
          </w:tcPr>
          <w:p>
            <w:pPr>
              <w:pStyle w:val="TABLE-cell"/>
            </w:pPr>
            <w:r>
              <w:rPr/>
              <w:t xml:space="preserve">Structure</w:t>
            </w:r>
          </w:p>
        </w:tc>
      </w:tr>
      <w:tr>
        <w:tc>
          <w:tcPr>
            <w:tcW w:w="2760" w:type="dxa"/>
            <w:vAlign w:val="center"/>
          </w:tcPr>
          <w:p>
            <w:pPr>
              <w:pStyle w:val="TABLE-cell"/>
            </w:pPr>
            <w:r>
              <w:rPr/>
              <w:t xml:space="preserve">ProductID</w:t>
            </w:r>
          </w:p>
        </w:tc>
        <w:tc>
          <w:tcPr>
            <w:tcW w:w="3023" w:type="dxa"/>
            <w:vAlign w:val="center"/>
          </w:tcPr>
          <w:p>
            <w:pPr>
              <w:pStyle w:val="TABLE-cell"/>
            </w:pPr>
            <w:r>
              <w:rPr/>
              <w:t xml:space="preserve">Int32</w:t>
            </w:r>
          </w:p>
        </w:tc>
        <w:tc>
          <w:tcPr>
            <w:tcW w:w="3287" w:type="dxa"/>
            <w:vAlign w:val="center"/>
          </w:tcPr>
          <w:p>
            <w:pPr>
              <w:pStyle w:val="TABLE-cell"/>
            </w:pPr>
            <w:r>
              <w:rPr/>
              <w:t xml:space="preserve">A unique number assigned to the product.</w:t>
            </w:r>
          </w:p>
        </w:tc>
      </w:tr>
      <w:tr>
        <w:tc>
          <w:tcPr>
            <w:tcW w:w="2760" w:type="dxa"/>
            <w:vAlign w:val="center"/>
          </w:tcPr>
          <w:p>
            <w:pPr>
              <w:pStyle w:val="TABLE-cell"/>
            </w:pPr>
            <w:r>
              <w:rPr/>
              <w:t xml:space="preserve">ProcessVariables</w:t>
            </w:r>
          </w:p>
        </w:tc>
        <w:tc>
          <w:tcPr>
            <w:tcW w:w="3023" w:type="dxa"/>
            <w:vAlign w:val="center"/>
          </w:tcPr>
          <w:p>
            <w:pPr>
              <w:pStyle w:val="TABLE-cell"/>
            </w:pPr>
            <w:r>
              <w:rPr/>
              <w:t xml:space="preserve">PackMLDescriptorDataType[]</w:t>
            </w:r>
          </w:p>
        </w:tc>
        <w:tc>
          <w:tcPr>
            <w:tcW w:w="3287" w:type="dxa"/>
            <w:vAlign w:val="center"/>
          </w:tcPr>
          <w:p>
            <w:pPr>
              <w:pStyle w:val="TABLE-cell"/>
            </w:pPr>
            <w:r>
              <w:rPr/>
              <w:t xml:space="preserve">The array of Process variables associated with this product</w:t>
            </w:r>
          </w:p>
        </w:tc>
      </w:tr>
      <w:tr>
        <w:tc>
          <w:tcPr>
            <w:tcW w:w="2760" w:type="dxa"/>
            <w:vAlign w:val="center"/>
          </w:tcPr>
          <w:p>
            <w:pPr>
              <w:pStyle w:val="TABLE-cell"/>
            </w:pPr>
            <w:r>
              <w:rPr/>
              <w:t xml:space="preserve">Ingredients</w:t>
            </w:r>
          </w:p>
        </w:tc>
        <w:tc>
          <w:tcPr>
            <w:tcW w:w="3023" w:type="dxa"/>
            <w:vAlign w:val="center"/>
          </w:tcPr>
          <w:p>
            <w:pPr>
              <w:pStyle w:val="TABLE-cell"/>
            </w:pPr>
            <w:r>
              <w:rPr/>
              <w:t xml:space="preserve">PackMLIngredientsDataType[]</w:t>
            </w:r>
          </w:p>
        </w:tc>
        <w:tc>
          <w:tcPr>
            <w:tcW w:w="3287" w:type="dxa"/>
            <w:vAlign w:val="center"/>
          </w:tcPr>
          <w:p>
            <w:pPr>
              <w:pStyle w:val="TABLE-cell"/>
            </w:pPr>
            <w:r>
              <w:rPr/>
              <w:t xml:space="preserve">The array of ingredients associated with this product.</w:t>
            </w:r>
          </w:p>
        </w:tc>
      </w:tr>
    </w:tbl>
    <w:p>
      <w:pPr>
        <w:pStyle w:val="spacer"/>
      </w:pPr>
    </w:p>
    <w:p>
      <w:pPr>
        <w:pStyle w:val="Heading3"/>
      </w:pPr>
      <w:bookmarkStart w:name="Sts_sec_6_5_7" w:id="111"/>
      <w:r>
        <w:rPr/>
        <w:t xml:space="preserve">PackMLRemoteInterfaceDataType</w:t>
      </w:r>
      <w:bookmarkEnd w:id="111"/>
    </w:p>
    <w:p>
      <w:pPr>
        <w:pStyle w:val="PARAGRAPH"/>
      </w:pPr>
      <w:r>
        <w:rPr/>
        <w:t xml:space="preserve">The </w:t>
      </w:r>
      <w:r>
        <w:rPr>
          <w:i/>
        </w:rPr>
        <w:t xml:space="preserve">PackMLRemoteInterfaceDataType</w:t>
      </w:r>
      <w:r>
        <w:rPr/>
        <w:t xml:space="preserve"> provides the PackML remote connection information. The </w:t>
      </w:r>
      <w:r>
        <w:rPr>
          <w:i/>
        </w:rPr>
        <w:t xml:space="preserve">PackMLRemoteInterfaceDataType</w:t>
      </w:r>
      <w:r>
        <w:rPr/>
        <w:t xml:space="preserve"> is formally defined in </w:t>
      </w:r>
      <w:r>
        <w:fldChar w:fldCharType="begin"/>
      </w:r>
      <w:r>
        <w:instrText xml:space="preserve"> REF Sts_tbl_17 \h \* MERGEFORMAT </w:instrText>
      </w:r>
      <w:r>
        <w:fldChar w:fldCharType="separate"/>
      </w:r>
      <w:r>
        <w:rPr/>
        <w:t xml:space="preserve">Table 17</w:t>
      </w:r>
      <w:r>
        <w:fldChar w:fldCharType="end"/>
      </w:r>
      <w:r>
        <w:rPr/>
        <w:t xml:space="preserve">.</w:t>
      </w:r>
    </w:p>
    <w:p>
      <w:pPr>
        <w:pStyle w:val="TABLE-title"/>
      </w:pPr>
      <w:bookmarkStart w:name="Sts_tbl_17" w:id="112"/>
      <w:r>
        <w:t xml:space="preserve">Table </w:t>
      </w:r>
      <w:r>
        <w:fldChar w:fldCharType="begin"/>
      </w:r>
      <w:r>
        <w:instrText xml:space="preserve"> SEQ Table \* ARABIC </w:instrText>
      </w:r>
      <w:r>
        <w:fldChar w:fldCharType="separate"/>
      </w:r>
      <w:r>
        <w:rPr/>
        <w:t xml:space="preserve">17</w:t>
      </w:r>
      <w:r>
        <w:fldChar w:fldCharType="end"/>
      </w:r>
      <w:bookmarkEnd w:id="112"/>
      <w:r>
        <w:t xml:space="preserve"> – </w:t>
      </w:r>
      <w:r>
        <w:rPr/>
        <w:t xml:space="preserve">PackMLRemoteInterfaceDataType Structure</w:t>
      </w:r>
    </w:p>
    <w:tbl>
      <w:tblPr>
        <w:tblStyle w:val="TableGrid"/>
        <w:tblW w:w="9070" w:type="dxa"/>
        <w:tblLayout w:type="fixed"/>
      </w:tblPr>
      <w:tblGrid>
        <w:gridCol w:w="3024"/>
        <w:gridCol w:w="3023"/>
        <w:gridCol w:w="3023"/>
      </w:tblGrid>
      <w:tr>
        <w:trPr>
          <w:tblHeader/>
        </w:trPr>
        <w:tc>
          <w:tcPr>
            <w:tcW w:w="3024" w:type="dxa"/>
            <w:vAlign w:val="center"/>
          </w:tcPr>
          <w:p>
            <w:pPr>
              <w:pStyle w:val="TABLE-col-heading"/>
              <w:jc w:val="left"/>
            </w:pPr>
            <w:r>
              <w:rPr/>
              <w:t xml:space="preserve">Name</w:t>
            </w:r>
          </w:p>
        </w:tc>
        <w:tc>
          <w:tcPr>
            <w:tcW w:w="3023" w:type="dxa"/>
            <w:vAlign w:val="center"/>
          </w:tcPr>
          <w:p>
            <w:pPr>
              <w:pStyle w:val="TABLE-col-heading"/>
              <w:jc w:val="left"/>
            </w:pPr>
            <w:r>
              <w:rPr/>
              <w:t xml:space="preserve">Type</w:t>
            </w:r>
          </w:p>
        </w:tc>
        <w:tc>
          <w:tcPr>
            <w:tcW w:w="3023" w:type="dxa"/>
            <w:vAlign w:val="center"/>
          </w:tcPr>
          <w:p>
            <w:pPr>
              <w:pStyle w:val="TABLE-col-heading"/>
              <w:jc w:val="left"/>
            </w:pPr>
            <w:r>
              <w:rPr/>
              <w:t xml:space="preserve">Description</w:t>
            </w:r>
          </w:p>
        </w:tc>
      </w:tr>
      <w:tr>
        <w:tc>
          <w:tcPr>
            <w:tcW w:w="3024" w:type="dxa"/>
            <w:vAlign w:val="center"/>
          </w:tcPr>
          <w:p>
            <w:pPr>
              <w:pStyle w:val="TABLE-cell"/>
            </w:pPr>
            <w:r>
              <w:rPr/>
              <w:t xml:space="preserve">PackMLRemoteInterfaceDataType</w:t>
            </w:r>
          </w:p>
        </w:tc>
        <w:tc>
          <w:tcPr>
            <w:tcW w:w="3023" w:type="dxa"/>
            <w:vAlign w:val="center"/>
          </w:tcPr>
          <w:p>
            <w:pPr>
              <w:pStyle w:val="TABLE-cell"/>
            </w:pPr>
            <w:r>
              <w:rPr/>
              <w:t xml:space="preserve">Structure</w:t>
            </w:r>
          </w:p>
        </w:tc>
        <w:tc>
          <w:tcPr>
            <w:tcW w:w="3023" w:type="dxa"/>
            <w:vAlign w:val="center"/>
          </w:tcPr>
          <w:p>
            <w:pPr>
              <w:pStyle w:val="TABLE-cell"/>
            </w:pPr>
            <w:r>
              <w:rPr/>
              <w:t xml:space="preserve">This datatype is used with the RemoteCommand Method defined in 6.7.15..</w:t>
            </w:r>
          </w:p>
        </w:tc>
      </w:tr>
      <w:tr>
        <w:tc>
          <w:tcPr>
            <w:tcW w:w="3024" w:type="dxa"/>
            <w:vAlign w:val="center"/>
          </w:tcPr>
          <w:p>
            <w:pPr>
              <w:pStyle w:val="TABLE-cell"/>
            </w:pPr>
            <w:r>
              <w:rPr/>
              <w:t xml:space="preserve">Number</w:t>
            </w:r>
          </w:p>
        </w:tc>
        <w:tc>
          <w:tcPr>
            <w:tcW w:w="3023" w:type="dxa"/>
            <w:vAlign w:val="center"/>
          </w:tcPr>
          <w:p>
            <w:pPr>
              <w:pStyle w:val="TABLE-cell"/>
            </w:pPr>
            <w:r>
              <w:rPr/>
              <w:t xml:space="preserve">Int32</w:t>
            </w:r>
          </w:p>
        </w:tc>
        <w:tc>
          <w:tcPr>
            <w:tcW w:w="3023" w:type="dxa"/>
            <w:vAlign w:val="center"/>
          </w:tcPr>
          <w:p>
            <w:pPr>
              <w:pStyle w:val="TABLE-cell"/>
            </w:pPr>
            <w:r>
              <w:rPr/>
              <w:t xml:space="preserve">This is the unique number for the downstream/upstream unit machine using a common tag structure as the unit machine. The number should correspond to a number on the communication network, such as network ID, or IP address identifier.  This number corresponds to the "information sender" that is setting the command data in the RemoteInterface[#] structure of the unit machine.</w:t>
            </w:r>
          </w:p>
        </w:tc>
      </w:tr>
      <w:tr>
        <w:tc>
          <w:tcPr>
            <w:tcW w:w="3024" w:type="dxa"/>
            <w:vAlign w:val="center"/>
          </w:tcPr>
          <w:p>
            <w:pPr>
              <w:pStyle w:val="TABLE-cell"/>
            </w:pPr>
            <w:r>
              <w:rPr/>
              <w:t xml:space="preserve">ControlCmdNumber</w:t>
            </w:r>
          </w:p>
        </w:tc>
        <w:tc>
          <w:tcPr>
            <w:tcW w:w="3023" w:type="dxa"/>
            <w:vAlign w:val="center"/>
          </w:tcPr>
          <w:p>
            <w:pPr>
              <w:pStyle w:val="TABLE-cell"/>
            </w:pPr>
            <w:r>
              <w:rPr/>
              <w:t xml:space="preserve">Int32</w:t>
            </w:r>
          </w:p>
        </w:tc>
        <w:tc>
          <w:tcPr>
            <w:tcW w:w="3023" w:type="dxa"/>
            <w:vAlign w:val="center"/>
          </w:tcPr>
          <w:p>
            <w:pPr>
              <w:pStyle w:val="TABLE-cell"/>
            </w:pPr>
            <w:r>
              <w:rPr/>
              <w:t xml:space="preserve">A user defined command number associated with coded value from a remote unit. This number is a coded value sent from one node on the network to another. The value can be associated with a unit mode change request, speed change request, a state change request, etc.</w:t>
            </w:r>
          </w:p>
        </w:tc>
      </w:tr>
      <w:tr>
        <w:tc>
          <w:tcPr>
            <w:tcW w:w="3024" w:type="dxa"/>
            <w:vAlign w:val="center"/>
          </w:tcPr>
          <w:p>
            <w:pPr>
              <w:pStyle w:val="TABLE-cell"/>
            </w:pPr>
            <w:r>
              <w:rPr/>
              <w:t xml:space="preserve">CmdValue</w:t>
            </w:r>
          </w:p>
        </w:tc>
        <w:tc>
          <w:tcPr>
            <w:tcW w:w="3023" w:type="dxa"/>
            <w:vAlign w:val="center"/>
          </w:tcPr>
          <w:p>
            <w:pPr>
              <w:pStyle w:val="TABLE-cell"/>
            </w:pPr>
            <w:r>
              <w:rPr/>
              <w:t xml:space="preserve">Int32</w:t>
            </w:r>
          </w:p>
        </w:tc>
        <w:tc>
          <w:tcPr>
            <w:tcW w:w="3023" w:type="dxa"/>
            <w:vAlign w:val="center"/>
          </w:tcPr>
          <w:p>
            <w:pPr>
              <w:pStyle w:val="TABLE-cell"/>
            </w:pPr>
            <w:r>
              <w:rPr/>
              <w:t xml:space="preserve">This is the command value associated with the ControlCmdNumber above. The command value may be the speed requested, state change, etc. </w:t>
            </w:r>
            <w:r>
              <w:br/>
            </w:r>
            <w:r>
              <w:br/>
            </w:r>
            <w:r>
              <w:rPr/>
              <w:t xml:space="preserve">Example:For an upstream machine designated as #2 a control command number of 5 may be related to the speed setting value for the machine. A value of 400 can be used to modify the remote machine setpoint. </w:t>
            </w:r>
            <w:r>
              <w:br/>
            </w:r>
            <w:r>
              <w:br/>
            </w:r>
            <w:r>
              <w:rPr/>
              <w:t xml:space="preserve">Command.RemoteInterface[1].Number = 2 </w:t>
            </w:r>
            <w:r>
              <w:br/>
            </w:r>
            <w:r>
              <w:br/>
            </w:r>
            <w:r>
              <w:rPr/>
              <w:t xml:space="preserve">Command.RemoteInterface[1] </w:t>
            </w:r>
            <w:r>
              <w:br/>
            </w:r>
            <w:r>
              <w:br/>
            </w:r>
            <w:r>
              <w:rPr/>
              <w:t xml:space="preserve">ControlCmdNumber = 5 </w:t>
            </w:r>
            <w:r>
              <w:br/>
            </w:r>
            <w:r>
              <w:br/>
            </w:r>
            <w:r>
              <w:rPr/>
              <w:t xml:space="preserve">Command.RemoteInterface[1].CmdValue = 400</w:t>
            </w:r>
          </w:p>
        </w:tc>
      </w:tr>
      <w:tr>
        <w:tc>
          <w:tcPr>
            <w:tcW w:w="3024" w:type="dxa"/>
            <w:vAlign w:val="center"/>
          </w:tcPr>
          <w:p>
            <w:pPr>
              <w:pStyle w:val="TABLE-cell"/>
            </w:pPr>
            <w:r>
              <w:rPr/>
              <w:t xml:space="preserve">Parameter</w:t>
            </w:r>
          </w:p>
        </w:tc>
        <w:tc>
          <w:tcPr>
            <w:tcW w:w="3023" w:type="dxa"/>
            <w:vAlign w:val="center"/>
          </w:tcPr>
          <w:p>
            <w:pPr>
              <w:pStyle w:val="TABLE-cell"/>
            </w:pPr>
            <w:r>
              <w:rPr/>
              <w:t xml:space="preserve">PackMLDescriptorDataType[]</w:t>
            </w:r>
          </w:p>
        </w:tc>
        <w:tc>
          <w:tcPr>
            <w:tcW w:w="3023" w:type="dxa"/>
            <w:vAlign w:val="center"/>
          </w:tcPr>
          <w:p>
            <w:pPr>
              <w:pStyle w:val="TABLE-cell"/>
            </w:pPr>
            <w:r>
              <w:rPr/>
              <w:t xml:space="preserve">The parameter tags associated to commanded remote interface are typically used for command parameters that are given to the unit machine from remote machines. The parameters are typically needed for coordinating the unit machine or production with other machines. The parameter value may be anything from machine limit parameters to temperatures and counter presets. The parameters are typically limited to machine parameters as product and process parameters are described in later tags.</w:t>
            </w:r>
          </w:p>
        </w:tc>
      </w:tr>
    </w:tbl>
    <w:p>
      <w:pPr>
        <w:pStyle w:val="spacer"/>
      </w:pPr>
    </w:p>
    <w:p>
      <w:pPr>
        <w:pStyle w:val="Heading2"/>
      </w:pPr>
      <w:bookmarkStart w:name="Sts_sec_6_6" w:id="113"/>
      <w:r>
        <w:rPr/>
        <w:t xml:space="preserve">ReferenceTypes</w:t>
      </w:r>
      <w:bookmarkEnd w:id="113"/>
    </w:p>
    <w:p>
      <w:pPr>
        <w:pStyle w:val="Heading3"/>
      </w:pPr>
      <w:bookmarkStart w:name="Sts_sec_6_6_1" w:id="114"/>
      <w:r>
        <w:rPr/>
        <w:t xml:space="preserve">HasInterlock</w:t>
      </w:r>
      <w:bookmarkEnd w:id="114"/>
    </w:p>
    <w:p>
      <w:pPr>
        <w:pStyle w:val="PARAGRAPH"/>
      </w:pPr>
      <w:r>
        <w:rPr/>
        <w:t xml:space="preserve">This reference type is used to point to an Interlock. It is defined in </w:t>
      </w:r>
      <w:r>
        <w:fldChar w:fldCharType="begin"/>
      </w:r>
      <w:r>
        <w:instrText xml:space="preserve"> REF Sts_tbl_18 \h \* MERGEFORMAT </w:instrText>
      </w:r>
      <w:r>
        <w:fldChar w:fldCharType="separate"/>
      </w:r>
      <w:r>
        <w:rPr/>
        <w:t xml:space="preserve">Table 18</w:t>
      </w:r>
      <w:r>
        <w:fldChar w:fldCharType="end"/>
      </w:r>
    </w:p>
    <w:p>
      <w:pPr>
        <w:pStyle w:val="TABLE-title"/>
      </w:pPr>
      <w:bookmarkStart w:name="Sts_tbl_18" w:id="115"/>
      <w:r>
        <w:t xml:space="preserve">Table </w:t>
      </w:r>
      <w:r>
        <w:fldChar w:fldCharType="begin"/>
      </w:r>
      <w:r>
        <w:instrText xml:space="preserve"> SEQ Table \* ARABIC </w:instrText>
      </w:r>
      <w:r>
        <w:fldChar w:fldCharType="separate"/>
      </w:r>
      <w:r>
        <w:rPr/>
        <w:t xml:space="preserve">18</w:t>
      </w:r>
      <w:r>
        <w:fldChar w:fldCharType="end"/>
      </w:r>
      <w:bookmarkEnd w:id="115"/>
      <w:r>
        <w:t xml:space="preserve"> – </w:t>
      </w:r>
      <w:r>
        <w:rPr/>
        <w:t xml:space="preserve">HasInterlock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HasInterlock</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InterlockFor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3"/>
      </w:pPr>
      <w:bookmarkStart w:name="Sts_sec_6_6_2" w:id="116"/>
      <w:r>
        <w:rPr/>
        <w:t xml:space="preserve">HasAlarm</w:t>
      </w:r>
      <w:bookmarkEnd w:id="116"/>
    </w:p>
    <w:p>
      <w:pPr>
        <w:pStyle w:val="PARAGRAPH"/>
      </w:pPr>
      <w:r>
        <w:rPr/>
        <w:t xml:space="preserve">This reference type is used to point to an Alarm. It is defined in </w:t>
      </w:r>
      <w:r>
        <w:fldChar w:fldCharType="begin"/>
      </w:r>
      <w:r>
        <w:instrText xml:space="preserve"> REF Sts_tbl_19 \h \* MERGEFORMAT </w:instrText>
      </w:r>
      <w:r>
        <w:fldChar w:fldCharType="separate"/>
      </w:r>
      <w:r>
        <w:rPr/>
        <w:t xml:space="preserve">Table 19</w:t>
      </w:r>
      <w:r>
        <w:fldChar w:fldCharType="end"/>
      </w:r>
      <w:r>
        <w:rPr/>
        <w:t xml:space="preserve">.</w:t>
      </w:r>
    </w:p>
    <w:p>
      <w:pPr>
        <w:pStyle w:val="TABLE-title"/>
      </w:pPr>
      <w:bookmarkStart w:name="Sts_tbl_19" w:id="117"/>
      <w:r>
        <w:t xml:space="preserve">Table </w:t>
      </w:r>
      <w:r>
        <w:fldChar w:fldCharType="begin"/>
      </w:r>
      <w:r>
        <w:instrText xml:space="preserve"> SEQ Table \* ARABIC </w:instrText>
      </w:r>
      <w:r>
        <w:fldChar w:fldCharType="separate"/>
      </w:r>
      <w:r>
        <w:rPr/>
        <w:t xml:space="preserve">19</w:t>
      </w:r>
      <w:r>
        <w:fldChar w:fldCharType="end"/>
      </w:r>
      <w:bookmarkEnd w:id="117"/>
      <w:r>
        <w:t xml:space="preserve"> – </w:t>
      </w:r>
      <w:r>
        <w:rPr/>
        <w:t xml:space="preserve">HasAlarm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HasAlarm</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AlarmFor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3"/>
      </w:pPr>
      <w:bookmarkStart w:name="Sts_sec_6_6_3" w:id="118"/>
      <w:r>
        <w:rPr/>
        <w:t xml:space="preserve">HasAlarmHistory</w:t>
      </w:r>
      <w:bookmarkEnd w:id="118"/>
    </w:p>
    <w:p>
      <w:pPr>
        <w:pStyle w:val="PARAGRAPH"/>
      </w:pPr>
      <w:r>
        <w:rPr/>
        <w:t xml:space="preserve">This reference type is used to point to an Alarm History. It is defined in </w:t>
      </w:r>
      <w:r>
        <w:fldChar w:fldCharType="begin"/>
      </w:r>
      <w:r>
        <w:instrText xml:space="preserve"> REF Sts_tbl_20 \h \* MERGEFORMAT </w:instrText>
      </w:r>
      <w:r>
        <w:fldChar w:fldCharType="separate"/>
      </w:r>
      <w:r>
        <w:rPr/>
        <w:t xml:space="preserve">Table 20</w:t>
      </w:r>
      <w:r>
        <w:fldChar w:fldCharType="end"/>
      </w:r>
    </w:p>
    <w:p>
      <w:pPr>
        <w:pStyle w:val="TABLE-title"/>
      </w:pPr>
      <w:bookmarkStart w:name="Sts_tbl_20" w:id="119"/>
      <w:r>
        <w:t xml:space="preserve">Table </w:t>
      </w:r>
      <w:r>
        <w:fldChar w:fldCharType="begin"/>
      </w:r>
      <w:r>
        <w:instrText xml:space="preserve"> SEQ Table \* ARABIC </w:instrText>
      </w:r>
      <w:r>
        <w:fldChar w:fldCharType="separate"/>
      </w:r>
      <w:r>
        <w:rPr/>
        <w:t xml:space="preserve">20</w:t>
      </w:r>
      <w:r>
        <w:fldChar w:fldCharType="end"/>
      </w:r>
      <w:bookmarkEnd w:id="119"/>
      <w:r>
        <w:t xml:space="preserve"> – </w:t>
      </w:r>
      <w:r>
        <w:rPr/>
        <w:t xml:space="preserve">HasAlarmHistory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HasAlarmHistory</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AlarmHistoryFor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3"/>
      </w:pPr>
      <w:bookmarkStart w:name="Sts_sec_6_6_4" w:id="120"/>
      <w:r>
        <w:rPr/>
        <w:t xml:space="preserve">HasWarning</w:t>
      </w:r>
      <w:bookmarkEnd w:id="120"/>
    </w:p>
    <w:p>
      <w:pPr>
        <w:pStyle w:val="PARAGRAPH"/>
      </w:pPr>
      <w:r>
        <w:rPr/>
        <w:t xml:space="preserve">This reference type is used to point to a Warning. It is defined in </w:t>
      </w:r>
      <w:r>
        <w:fldChar w:fldCharType="begin"/>
      </w:r>
      <w:r>
        <w:instrText xml:space="preserve"> REF Sts_tbl_21 \h \* MERGEFORMAT </w:instrText>
      </w:r>
      <w:r>
        <w:fldChar w:fldCharType="separate"/>
      </w:r>
      <w:r>
        <w:rPr/>
        <w:t xml:space="preserve">Table 21</w:t>
      </w:r>
      <w:r>
        <w:fldChar w:fldCharType="end"/>
      </w:r>
      <w:r>
        <w:rPr/>
        <w:t xml:space="preserve">.</w:t>
      </w:r>
    </w:p>
    <w:p>
      <w:pPr>
        <w:pStyle w:val="TABLE-title"/>
      </w:pPr>
      <w:bookmarkStart w:name="Sts_tbl_21" w:id="121"/>
      <w:r>
        <w:t xml:space="preserve">Table </w:t>
      </w:r>
      <w:r>
        <w:fldChar w:fldCharType="begin"/>
      </w:r>
      <w:r>
        <w:instrText xml:space="preserve"> SEQ Table \* ARABIC </w:instrText>
      </w:r>
      <w:r>
        <w:fldChar w:fldCharType="separate"/>
      </w:r>
      <w:r>
        <w:rPr/>
        <w:t xml:space="preserve">21</w:t>
      </w:r>
      <w:r>
        <w:fldChar w:fldCharType="end"/>
      </w:r>
      <w:bookmarkEnd w:id="121"/>
      <w:r>
        <w:t xml:space="preserve"> – </w:t>
      </w:r>
      <w:r>
        <w:rPr/>
        <w:t xml:space="preserve">HasWarning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HasWarning</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WarningFor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3"/>
      </w:pPr>
      <w:bookmarkStart w:name="Sts_sec_6_6_5" w:id="122"/>
      <w:r>
        <w:rPr/>
        <w:t xml:space="preserve">HasStopReason</w:t>
      </w:r>
      <w:bookmarkEnd w:id="122"/>
    </w:p>
    <w:p>
      <w:pPr>
        <w:pStyle w:val="PARAGRAPH"/>
      </w:pPr>
      <w:r>
        <w:rPr/>
        <w:t xml:space="preserve">This reference type is used to point to a StopReason. It is defined in </w:t>
      </w:r>
      <w:r>
        <w:fldChar w:fldCharType="begin"/>
      </w:r>
      <w:r>
        <w:instrText xml:space="preserve"> REF Sts_tbl_22 \h \* MERGEFORMAT </w:instrText>
      </w:r>
      <w:r>
        <w:fldChar w:fldCharType="separate"/>
      </w:r>
      <w:r>
        <w:rPr/>
        <w:t xml:space="preserve">Table 22</w:t>
      </w:r>
      <w:r>
        <w:fldChar w:fldCharType="end"/>
      </w:r>
      <w:r>
        <w:rPr/>
        <w:t xml:space="preserve">.</w:t>
      </w:r>
    </w:p>
    <w:p>
      <w:pPr>
        <w:pStyle w:val="TABLE-title"/>
      </w:pPr>
      <w:bookmarkStart w:name="Sts_tbl_22" w:id="123"/>
      <w:r>
        <w:t xml:space="preserve">Table </w:t>
      </w:r>
      <w:r>
        <w:fldChar w:fldCharType="begin"/>
      </w:r>
      <w:r>
        <w:instrText xml:space="preserve"> SEQ Table \* ARABIC </w:instrText>
      </w:r>
      <w:r>
        <w:fldChar w:fldCharType="separate"/>
      </w:r>
      <w:r>
        <w:rPr/>
        <w:t xml:space="preserve">22</w:t>
      </w:r>
      <w:r>
        <w:fldChar w:fldCharType="end"/>
      </w:r>
      <w:bookmarkEnd w:id="123"/>
      <w:r>
        <w:t xml:space="preserve"> – </w:t>
      </w:r>
      <w:r>
        <w:rPr/>
        <w:t xml:space="preserve">HasStopReason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HasStopReason</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StopReasonFor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2"/>
      </w:pPr>
      <w:bookmarkStart w:name="Sts_sec_6_7" w:id="124"/>
      <w:r>
        <w:rPr/>
        <w:t xml:space="preserve">Methods</w:t>
      </w:r>
      <w:bookmarkEnd w:id="124"/>
    </w:p>
    <w:p>
      <w:pPr>
        <w:pStyle w:val="Heading3"/>
      </w:pPr>
      <w:bookmarkStart w:name="Sts_sec_6_7_1" w:id="125"/>
      <w:r>
        <w:rPr/>
        <w:t xml:space="preserve">Overview</w:t>
      </w:r>
      <w:bookmarkEnd w:id="125"/>
    </w:p>
    <w:p>
      <w:pPr>
        <w:pStyle w:val="PARAGRAPH"/>
      </w:pPr>
      <w:r>
        <w:rPr/>
        <w:t xml:space="preserve">This section provides definition of the method used in this specification. These methods are referenced from more than one location or are part of more than one object in some cases. The functionality for the method is the same for all objects</w:t>
      </w:r>
    </w:p>
    <w:p>
      <w:pPr>
        <w:pStyle w:val="Heading3"/>
      </w:pPr>
      <w:bookmarkStart w:name="Sts_sec_6_7_2" w:id="126"/>
      <w:r>
        <w:rPr/>
        <w:t xml:space="preserve">SetUnitMode Method</w:t>
      </w:r>
      <w:bookmarkEnd w:id="126"/>
    </w:p>
    <w:p>
      <w:pPr>
        <w:pStyle w:val="PARAGRAPH"/>
      </w:pPr>
      <w:r>
        <w:rPr/>
        <w:t xml:space="preserve">This </w:t>
      </w:r>
      <w:r>
        <w:rPr>
          <w:i/>
        </w:rPr>
        <w:t xml:space="preserve">Method</w:t>
      </w:r>
      <w:r>
        <w:rPr/>
        <w:t xml:space="preserve"> allows an OPC UA </w:t>
      </w:r>
      <w:r>
        <w:rPr>
          <w:i/>
        </w:rPr>
        <w:t xml:space="preserve">Client</w:t>
      </w:r>
      <w:r>
        <w:rPr/>
        <w:t xml:space="preserve"> to change the mode of the unit. </w:t>
      </w:r>
      <w:r>
        <w:rPr>
          <w:i/>
        </w:rPr>
        <w:t xml:space="preserve">Parameters</w:t>
      </w:r>
      <w:r>
        <w:rPr/>
        <w:t xml:space="preserve"> are defined in </w:t>
      </w:r>
      <w:r>
        <w:fldChar w:fldCharType="begin"/>
      </w:r>
      <w:r>
        <w:instrText xml:space="preserve"> REF Sts_tbl_23 \h \* MERGEFORMAT </w:instrText>
      </w:r>
      <w:r>
        <w:fldChar w:fldCharType="separate"/>
      </w:r>
      <w:r>
        <w:rPr/>
        <w:t xml:space="preserve">Table 23</w:t>
      </w:r>
      <w:r>
        <w:fldChar w:fldCharType="end"/>
      </w:r>
    </w:p>
    <w:p>
      <w:pPr>
        <w:pStyle w:val="PARAGRAPH"/>
      </w:pPr>
      <w:r>
        <w:rPr>
          <w:b/>
        </w:rPr>
        <w:t xml:space="preserve">Signature</w:t>
      </w:r>
    </w:p>
    <w:p>
      <w:pPr>
        <w:pStyle w:val="CODE"/>
      </w:pPr>
      <w:r>
        <w:t xml:space="preserve">	SetUnitMode(</w:t>
      </w:r>
      <w:r>
        <w:br/>
        <w:t xml:space="preserve">		[in] Int32 RequestedMode</w:t>
      </w:r>
      <w:r>
        <w:br/>
        <w:t xml:space="preserve">		);</w:t>
      </w:r>
    </w:p>
    <w:p>
      <w:pPr>
        <w:pStyle w:val="TABLE-title"/>
      </w:pPr>
      <w:bookmarkStart w:name="Sts_tbl_23" w:id="127"/>
      <w:r>
        <w:t xml:space="preserve">Table </w:t>
      </w:r>
      <w:r>
        <w:fldChar w:fldCharType="begin"/>
      </w:r>
      <w:r>
        <w:instrText xml:space="preserve"> SEQ Table \* ARABIC </w:instrText>
      </w:r>
      <w:r>
        <w:fldChar w:fldCharType="separate"/>
      </w:r>
      <w:r>
        <w:rPr/>
        <w:t xml:space="preserve">23</w:t>
      </w:r>
      <w:r>
        <w:fldChar w:fldCharType="end"/>
      </w:r>
      <w:bookmarkEnd w:id="127"/>
      <w:r>
        <w:t xml:space="preserve"> – </w:t>
      </w:r>
      <w:r>
        <w:rPr/>
        <w:t xml:space="preserve">SetUnitMode Method Parameters</w:t>
      </w:r>
    </w:p>
    <w:tbl>
      <w:tblPr>
        <w:tblStyle w:val="TableGrid"/>
        <w:tblW w:w="9070" w:type="dxa"/>
        <w:tblLayout w:type="fixed"/>
      </w:tblPr>
      <w:tblGrid>
        <w:gridCol w:w="1800"/>
        <w:gridCol w:w="7270"/>
      </w:tblGrid>
      <w:tr>
        <w:trPr>
          <w:tblHeader/>
        </w:trPr>
        <w:tc>
          <w:tcPr>
            <w:tcW w:w="1800" w:type="dxa"/>
            <w:vAlign w:val="center"/>
          </w:tcPr>
          <w:p>
            <w:pPr>
              <w:pStyle w:val="TABLE-col-heading"/>
              <w:jc w:val="left"/>
            </w:pPr>
            <w:r>
              <w:rPr/>
              <w:t xml:space="preserve">Argument</w:t>
            </w:r>
          </w:p>
        </w:tc>
        <w:tc>
          <w:tcPr>
            <w:tcW w:w="7270" w:type="dxa"/>
            <w:vAlign w:val="center"/>
          </w:tcPr>
          <w:p>
            <w:pPr>
              <w:pStyle w:val="TABLE-col-heading"/>
              <w:jc w:val="left"/>
            </w:pPr>
            <w:r>
              <w:rPr/>
              <w:t xml:space="preserve">Description</w:t>
            </w:r>
          </w:p>
        </w:tc>
      </w:tr>
      <w:tr>
        <w:tc>
          <w:tcPr>
            <w:tcW w:w="1800" w:type="dxa"/>
            <w:vAlign w:val="center"/>
          </w:tcPr>
          <w:p>
            <w:pPr>
              <w:pStyle w:val="TABLE-cell"/>
            </w:pPr>
            <w:r>
              <w:rPr/>
              <w:t xml:space="preserve">RequestedMode</w:t>
            </w:r>
          </w:p>
        </w:tc>
        <w:tc>
          <w:tcPr>
            <w:tcW w:w="7270" w:type="dxa"/>
            <w:vAlign w:val="center"/>
          </w:tcPr>
          <w:p>
            <w:pPr>
              <w:pStyle w:val="TABLE-cell"/>
            </w:pPr>
            <w:r>
              <w:rPr/>
              <w:t xml:space="preserve">The requested mode from the list of available modes in the enumeration from NodeID "UnitSupportedModes" in PackMLStatusObjectType</w:t>
            </w:r>
          </w:p>
        </w:tc>
      </w:tr>
    </w:tbl>
    <w:p>
      <w:pPr>
        <w:pStyle w:val="spacer"/>
      </w:pPr>
    </w:p>
    <w:p>
      <w:pPr>
        <w:pStyle w:val="PARAGRAPH"/>
      </w:pPr>
      <w:r>
        <w:rPr/>
        <w:t xml:space="preserve">Method result codes are defined in </w:t>
      </w:r>
      <w:r>
        <w:fldChar w:fldCharType="begin"/>
      </w:r>
      <w:r>
        <w:instrText xml:space="preserve"> REF Sts_tbl_24 \h \* MERGEFORMAT </w:instrText>
      </w:r>
      <w:r>
        <w:fldChar w:fldCharType="separate"/>
      </w:r>
      <w:r>
        <w:rPr/>
        <w:t xml:space="preserve">Table 24</w:t>
      </w:r>
      <w:r>
        <w:fldChar w:fldCharType="end"/>
      </w:r>
    </w:p>
    <w:p>
      <w:pPr>
        <w:pStyle w:val="TABLE-title"/>
      </w:pPr>
      <w:bookmarkStart w:name="Sts_tbl_24" w:id="128"/>
      <w:r>
        <w:t xml:space="preserve">Table </w:t>
      </w:r>
      <w:r>
        <w:fldChar w:fldCharType="begin"/>
      </w:r>
      <w:r>
        <w:instrText xml:space="preserve"> SEQ Table \* ARABIC </w:instrText>
      </w:r>
      <w:r>
        <w:fldChar w:fldCharType="separate"/>
      </w:r>
      <w:r>
        <w:rPr/>
        <w:t xml:space="preserve">24</w:t>
      </w:r>
      <w:r>
        <w:fldChar w:fldCharType="end"/>
      </w:r>
      <w:bookmarkEnd w:id="128"/>
      <w:r>
        <w:t xml:space="preserve"> – </w:t>
      </w:r>
      <w:r>
        <w:rPr/>
        <w:t xml:space="preserve">SetUnitMode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Sts_tbl_25 \h \* MERGEFORMAT </w:instrText>
      </w:r>
      <w:r>
        <w:fldChar w:fldCharType="separate"/>
      </w:r>
      <w:r>
        <w:rPr/>
        <w:t xml:space="preserve">Table 25</w:t>
      </w:r>
      <w:r>
        <w:fldChar w:fldCharType="end"/>
      </w:r>
      <w:r>
        <w:rPr/>
        <w:t xml:space="preserve"> specifies the </w:t>
      </w:r>
      <w:r>
        <w:rPr>
          <w:i/>
        </w:rPr>
        <w:t xml:space="preserve">AddressSpace</w:t>
      </w:r>
      <w:r>
        <w:rPr/>
        <w:t xml:space="preserve"> representation for the </w:t>
      </w:r>
      <w:r>
        <w:rPr>
          <w:i/>
        </w:rPr>
        <w:t xml:space="preserve">SetUnitMode Method</w:t>
      </w:r>
      <w:r>
        <w:rPr/>
        <w:t xml:space="preserve">. </w:t>
      </w:r>
      <w:r>
        <w:rPr>
          <w:i/>
        </w:rPr>
        <w:t xml:space="preserve">SetUnitMode</w:t>
      </w:r>
      <w:r>
        <w:rPr/>
        <w:t xml:space="preserve"> includes an </w:t>
      </w:r>
      <w:r>
        <w:rPr>
          <w:i/>
        </w:rPr>
        <w:t xml:space="preserve">InputArgument</w:t>
      </w:r>
      <w:r>
        <w:rPr/>
        <w:t xml:space="preserve">, where the input argument details are provided in </w:t>
      </w:r>
      <w:r>
        <w:fldChar w:fldCharType="begin"/>
      </w:r>
      <w:r>
        <w:instrText xml:space="preserve"> REF Sts_tbl_23 \h \* MERGEFORMAT </w:instrText>
      </w:r>
      <w:r>
        <w:fldChar w:fldCharType="separate"/>
      </w:r>
      <w:r>
        <w:rPr/>
        <w:t xml:space="preserve">Table 23</w:t>
      </w:r>
      <w:r>
        <w:fldChar w:fldCharType="end"/>
      </w:r>
      <w:r>
        <w:rPr/>
        <w:t xml:space="preserve">.</w:t>
      </w:r>
    </w:p>
    <w:p>
      <w:pPr>
        <w:pStyle w:val="TABLE-title"/>
      </w:pPr>
      <w:bookmarkStart w:name="Sts_tbl_25" w:id="129"/>
      <w:r>
        <w:t xml:space="preserve">Table </w:t>
      </w:r>
      <w:r>
        <w:fldChar w:fldCharType="begin"/>
      </w:r>
      <w:r>
        <w:instrText xml:space="preserve"> SEQ Table \* ARABIC </w:instrText>
      </w:r>
      <w:r>
        <w:fldChar w:fldCharType="separate"/>
      </w:r>
      <w:r>
        <w:rPr/>
        <w:t xml:space="preserve">25</w:t>
      </w:r>
      <w:r>
        <w:fldChar w:fldCharType="end"/>
      </w:r>
      <w:bookmarkEnd w:id="129"/>
      <w:r>
        <w:t xml:space="preserve"> – </w:t>
      </w:r>
      <w:r>
        <w:rPr/>
        <w:t xml:space="preserve">SetUnitMode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SetUnitMode</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3" w:id="130"/>
      <w:r>
        <w:rPr/>
        <w:t xml:space="preserve">SetMachSpeed Method</w:t>
      </w:r>
      <w:bookmarkEnd w:id="130"/>
    </w:p>
    <w:p>
      <w:pPr>
        <w:pStyle w:val="PARAGRAPH"/>
      </w:pPr>
      <w:r>
        <w:rPr/>
        <w:t xml:space="preserve">This </w:t>
      </w:r>
      <w:r>
        <w:rPr>
          <w:i/>
        </w:rPr>
        <w:t xml:space="preserve">Method</w:t>
      </w:r>
      <w:r>
        <w:rPr/>
        <w:t xml:space="preserve"> allows an OPC UA </w:t>
      </w:r>
      <w:r>
        <w:rPr>
          <w:i/>
        </w:rPr>
        <w:t xml:space="preserve">Client</w:t>
      </w:r>
      <w:r>
        <w:rPr/>
        <w:t xml:space="preserve"> to change the speed of the machine or unit. </w:t>
      </w:r>
      <w:r>
        <w:rPr>
          <w:i/>
        </w:rPr>
        <w:t xml:space="preserve">Parameters</w:t>
      </w:r>
      <w:r>
        <w:rPr/>
        <w:t xml:space="preserve"> are defined in </w:t>
      </w:r>
      <w:r>
        <w:fldChar w:fldCharType="begin"/>
      </w:r>
      <w:r>
        <w:instrText xml:space="preserve"> REF Sts_tbl_26 \h \* MERGEFORMAT </w:instrText>
      </w:r>
      <w:r>
        <w:fldChar w:fldCharType="separate"/>
      </w:r>
      <w:r>
        <w:rPr/>
        <w:t xml:space="preserve">Table 26</w:t>
      </w:r>
      <w:r>
        <w:fldChar w:fldCharType="end"/>
      </w:r>
    </w:p>
    <w:p>
      <w:pPr>
        <w:pStyle w:val="PARAGRAPH"/>
      </w:pPr>
      <w:r>
        <w:rPr>
          <w:b/>
        </w:rPr>
        <w:t xml:space="preserve">Signature</w:t>
      </w:r>
    </w:p>
    <w:p>
      <w:pPr>
        <w:pStyle w:val="CODE"/>
      </w:pPr>
      <w:r>
        <w:t xml:space="preserve">	SetMachSpeed(</w:t>
      </w:r>
      <w:r>
        <w:br/>
        <w:t xml:space="preserve">		[in] Float RequestedMachineSpeed</w:t>
      </w:r>
      <w:r>
        <w:br/>
        <w:t xml:space="preserve">		);</w:t>
      </w:r>
    </w:p>
    <w:p>
      <w:pPr>
        <w:pStyle w:val="TABLE-title"/>
      </w:pPr>
      <w:bookmarkStart w:name="Sts_tbl_26" w:id="131"/>
      <w:r>
        <w:t xml:space="preserve">Table </w:t>
      </w:r>
      <w:r>
        <w:fldChar w:fldCharType="begin"/>
      </w:r>
      <w:r>
        <w:instrText xml:space="preserve"> SEQ Table \* ARABIC </w:instrText>
      </w:r>
      <w:r>
        <w:fldChar w:fldCharType="separate"/>
      </w:r>
      <w:r>
        <w:rPr/>
        <w:t xml:space="preserve">26</w:t>
      </w:r>
      <w:r>
        <w:fldChar w:fldCharType="end"/>
      </w:r>
      <w:bookmarkEnd w:id="131"/>
      <w:r>
        <w:t xml:space="preserve"> – </w:t>
      </w:r>
      <w:r>
        <w:rPr/>
        <w:t xml:space="preserve">SetMachSpeed Method Parameters</w:t>
      </w:r>
    </w:p>
    <w:tbl>
      <w:tblPr>
        <w:tblStyle w:val="TableGrid"/>
        <w:tblW w:w="9070" w:type="dxa"/>
        <w:tblLayout w:type="fixed"/>
      </w:tblPr>
      <w:tblGrid>
        <w:gridCol w:w="4232"/>
        <w:gridCol w:w="4838"/>
      </w:tblGrid>
      <w:tr>
        <w:trPr>
          <w:tblHeader/>
        </w:trPr>
        <w:tc>
          <w:tcPr>
            <w:tcW w:w="4232" w:type="dxa"/>
            <w:vAlign w:val="center"/>
          </w:tcPr>
          <w:p>
            <w:pPr>
              <w:pStyle w:val="TABLE-col-heading"/>
              <w:jc w:val="left"/>
            </w:pPr>
            <w:r>
              <w:rPr/>
              <w:t xml:space="preserve">Argument</w:t>
            </w:r>
          </w:p>
        </w:tc>
        <w:tc>
          <w:tcPr>
            <w:tcW w:w="4838" w:type="dxa"/>
            <w:vAlign w:val="center"/>
          </w:tcPr>
          <w:p>
            <w:pPr>
              <w:pStyle w:val="TABLE-col-heading"/>
              <w:jc w:val="left"/>
            </w:pPr>
            <w:r>
              <w:rPr/>
              <w:t xml:space="preserve">Description</w:t>
            </w:r>
          </w:p>
        </w:tc>
      </w:tr>
      <w:tr>
        <w:tc>
          <w:tcPr>
            <w:tcW w:w="4232" w:type="dxa"/>
            <w:vAlign w:val="center"/>
          </w:tcPr>
          <w:p>
            <w:pPr>
              <w:pStyle w:val="TABLE-cell"/>
            </w:pPr>
            <w:r>
              <w:rPr/>
              <w:t xml:space="preserve">RequestedMachineSpeed</w:t>
            </w:r>
          </w:p>
        </w:tc>
        <w:tc>
          <w:tcPr>
            <w:tcW w:w="4838" w:type="dxa"/>
            <w:vAlign w:val="center"/>
          </w:tcPr>
          <w:p>
            <w:pPr>
              <w:pStyle w:val="TABLE-cell"/>
            </w:pPr>
            <w:r>
              <w:rPr/>
              <w:t xml:space="preserve">The target machine speed</w:t>
            </w:r>
          </w:p>
        </w:tc>
      </w:tr>
      <w:tr>
        <w:tc>
          <w:tcPr>
            <w:tcW w:w="9070" w:type="dxa"/>
            <w:gridSpan w:val="2"/>
            <w:vAlign w:val="center"/>
          </w:tcPr>
          <w:p>
            <w:pPr>
              <w:pStyle w:val="TABLE-cell"/>
            </w:pPr>
          </w:p>
        </w:tc>
      </w:tr>
    </w:tbl>
    <w:p>
      <w:pPr>
        <w:pStyle w:val="spacer"/>
      </w:pPr>
    </w:p>
    <w:p>
      <w:pPr>
        <w:pStyle w:val="PARAGRAPH"/>
      </w:pPr>
      <w:r>
        <w:rPr/>
        <w:t xml:space="preserve">Method result codes are defined in </w:t>
      </w:r>
      <w:r>
        <w:fldChar w:fldCharType="begin"/>
      </w:r>
      <w:r>
        <w:instrText xml:space="preserve"> REF Sts_tbl_27 \h \* MERGEFORMAT </w:instrText>
      </w:r>
      <w:r>
        <w:fldChar w:fldCharType="separate"/>
      </w:r>
      <w:r>
        <w:rPr/>
        <w:t xml:space="preserve">Table 27</w:t>
      </w:r>
      <w:r>
        <w:fldChar w:fldCharType="end"/>
      </w:r>
    </w:p>
    <w:p>
      <w:pPr>
        <w:pStyle w:val="TABLE-title"/>
      </w:pPr>
      <w:bookmarkStart w:name="Sts_tbl_27" w:id="132"/>
      <w:r>
        <w:t xml:space="preserve">Table </w:t>
      </w:r>
      <w:r>
        <w:fldChar w:fldCharType="begin"/>
      </w:r>
      <w:r>
        <w:instrText xml:space="preserve"> SEQ Table \* ARABIC </w:instrText>
      </w:r>
      <w:r>
        <w:fldChar w:fldCharType="separate"/>
      </w:r>
      <w:r>
        <w:rPr/>
        <w:t xml:space="preserve">27</w:t>
      </w:r>
      <w:r>
        <w:fldChar w:fldCharType="end"/>
      </w:r>
      <w:bookmarkEnd w:id="132"/>
      <w:r>
        <w:t xml:space="preserve"> – </w:t>
      </w:r>
      <w:r>
        <w:rPr/>
        <w:t xml:space="preserve">SetMachSpeed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Sts_tbl_28 \h \* MERGEFORMAT </w:instrText>
      </w:r>
      <w:r>
        <w:fldChar w:fldCharType="separate"/>
      </w:r>
      <w:r>
        <w:rPr/>
        <w:t xml:space="preserve">Table 28</w:t>
      </w:r>
      <w:r>
        <w:fldChar w:fldCharType="end"/>
      </w:r>
      <w:r>
        <w:rPr/>
        <w:t xml:space="preserve"> specifies the </w:t>
      </w:r>
      <w:r>
        <w:rPr>
          <w:i/>
        </w:rPr>
        <w:t xml:space="preserve">AddressSpace</w:t>
      </w:r>
      <w:r>
        <w:rPr/>
        <w:t xml:space="preserve"> representation for the </w:t>
      </w:r>
      <w:r>
        <w:rPr>
          <w:i/>
        </w:rPr>
        <w:t xml:space="preserve">SetMachSpeed Method</w:t>
      </w:r>
      <w:r>
        <w:rPr/>
        <w:t xml:space="preserve">. </w:t>
      </w:r>
      <w:r>
        <w:rPr>
          <w:i/>
        </w:rPr>
        <w:t xml:space="preserve">SetMachSpeed</w:t>
      </w:r>
      <w:r>
        <w:rPr/>
        <w:t xml:space="preserve"> includes an array of </w:t>
      </w:r>
      <w:r>
        <w:rPr>
          <w:i/>
        </w:rPr>
        <w:t xml:space="preserve">InputArguments</w:t>
      </w:r>
      <w:r>
        <w:rPr/>
        <w:t xml:space="preserve">, where the input argument details are provided in </w:t>
      </w:r>
      <w:r>
        <w:fldChar w:fldCharType="begin"/>
      </w:r>
      <w:r>
        <w:instrText xml:space="preserve"> REF Sts_tbl_26 \h \* MERGEFORMAT </w:instrText>
      </w:r>
      <w:r>
        <w:fldChar w:fldCharType="separate"/>
      </w:r>
      <w:r>
        <w:rPr/>
        <w:t xml:space="preserve">Table 26</w:t>
      </w:r>
      <w:r>
        <w:fldChar w:fldCharType="end"/>
      </w:r>
      <w:r>
        <w:rPr/>
        <w:t xml:space="preserve">.</w:t>
      </w:r>
    </w:p>
    <w:p>
      <w:pPr>
        <w:pStyle w:val="TABLE-title"/>
      </w:pPr>
      <w:bookmarkStart w:name="Sts_tbl_28" w:id="133"/>
      <w:r>
        <w:t xml:space="preserve">Table </w:t>
      </w:r>
      <w:r>
        <w:fldChar w:fldCharType="begin"/>
      </w:r>
      <w:r>
        <w:instrText xml:space="preserve"> SEQ Table \* ARABIC </w:instrText>
      </w:r>
      <w:r>
        <w:fldChar w:fldCharType="separate"/>
      </w:r>
      <w:r>
        <w:rPr/>
        <w:t xml:space="preserve">28</w:t>
      </w:r>
      <w:r>
        <w:fldChar w:fldCharType="end"/>
      </w:r>
      <w:bookmarkEnd w:id="133"/>
      <w:r>
        <w:t xml:space="preserve"> – </w:t>
      </w:r>
      <w:r>
        <w:rPr/>
        <w:t xml:space="preserve">SetMachSpeed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SetMachSpeed</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4" w:id="134"/>
      <w:r>
        <w:rPr/>
        <w:t xml:space="preserve">SetProduct Method</w:t>
      </w:r>
      <w:bookmarkEnd w:id="134"/>
    </w:p>
    <w:p>
      <w:pPr>
        <w:pStyle w:val="PARAGRAPH"/>
      </w:pPr>
      <w:r>
        <w:rPr/>
        <w:t xml:space="preserve">This </w:t>
      </w:r>
      <w:r>
        <w:rPr>
          <w:i/>
        </w:rPr>
        <w:t xml:space="preserve">Method</w:t>
      </w:r>
      <w:r>
        <w:rPr/>
        <w:t xml:space="preserve"> allows an OPC UA </w:t>
      </w:r>
      <w:r>
        <w:rPr>
          <w:i/>
        </w:rPr>
        <w:t xml:space="preserve">Client</w:t>
      </w:r>
      <w:r>
        <w:rPr/>
        <w:t xml:space="preserve"> to change product associated with this PackML system. </w:t>
      </w:r>
      <w:r>
        <w:rPr>
          <w:i/>
        </w:rPr>
        <w:t xml:space="preserve">Parameters</w:t>
      </w:r>
      <w:r>
        <w:rPr/>
        <w:t xml:space="preserve"> are defined in </w:t>
      </w:r>
      <w:r>
        <w:fldChar w:fldCharType="begin"/>
      </w:r>
      <w:r>
        <w:instrText xml:space="preserve"> REF Sts_tbl_29 \h \* MERGEFORMAT </w:instrText>
      </w:r>
      <w:r>
        <w:fldChar w:fldCharType="separate"/>
      </w:r>
      <w:r>
        <w:rPr/>
        <w:t xml:space="preserve">Table 29</w:t>
      </w:r>
      <w:r>
        <w:fldChar w:fldCharType="end"/>
      </w:r>
      <w:r>
        <w:rPr/>
        <w:t xml:space="preserve">.</w:t>
      </w:r>
    </w:p>
    <w:p>
      <w:pPr>
        <w:pStyle w:val="PARAGRAPH"/>
      </w:pPr>
      <w:r>
        <w:rPr>
          <w:b/>
        </w:rPr>
        <w:t xml:space="preserve">Signature</w:t>
      </w:r>
    </w:p>
    <w:p>
      <w:pPr>
        <w:pStyle w:val="CODE"/>
      </w:pPr>
      <w:r>
        <w:t xml:space="preserve">SetProduct(</w:t>
      </w:r>
      <w:r>
        <w:br/>
        <w:t xml:space="preserve">		[in] PackMLProductDataType[] Product</w:t>
      </w:r>
      <w:r>
        <w:br/>
        <w:t xml:space="preserve">	);</w:t>
      </w:r>
    </w:p>
    <w:p>
      <w:pPr>
        <w:pStyle w:val="TABLE-title"/>
      </w:pPr>
      <w:bookmarkStart w:name="Sts_tbl_29" w:id="135"/>
      <w:r>
        <w:t xml:space="preserve">Table </w:t>
      </w:r>
      <w:r>
        <w:fldChar w:fldCharType="begin"/>
      </w:r>
      <w:r>
        <w:instrText xml:space="preserve"> SEQ Table \* ARABIC </w:instrText>
      </w:r>
      <w:r>
        <w:fldChar w:fldCharType="separate"/>
      </w:r>
      <w:r>
        <w:rPr/>
        <w:t xml:space="preserve">29</w:t>
      </w:r>
      <w:r>
        <w:fldChar w:fldCharType="end"/>
      </w:r>
      <w:bookmarkEnd w:id="135"/>
      <w:r>
        <w:t xml:space="preserve"> – </w:t>
      </w:r>
      <w:r>
        <w:rPr/>
        <w:t xml:space="preserve">SetProduct Method Parameters</w:t>
      </w:r>
    </w:p>
    <w:tbl>
      <w:tblPr>
        <w:tblStyle w:val="TableGrid"/>
        <w:tblW w:w="9070" w:type="dxa"/>
        <w:tblLayout w:type="fixed"/>
      </w:tblPr>
      <w:tblGrid>
        <w:gridCol w:w="1200"/>
        <w:gridCol w:w="7870"/>
      </w:tblGrid>
      <w:tr>
        <w:trPr>
          <w:tblHeader/>
        </w:trPr>
        <w:tc>
          <w:tcPr>
            <w:tcW w:w="1200" w:type="dxa"/>
            <w:vAlign w:val="center"/>
          </w:tcPr>
          <w:p>
            <w:pPr>
              <w:pStyle w:val="TABLE-col-heading"/>
              <w:jc w:val="left"/>
            </w:pPr>
            <w:r>
              <w:rPr/>
              <w:t xml:space="preserve">Argument</w:t>
            </w:r>
          </w:p>
        </w:tc>
        <w:tc>
          <w:tcPr>
            <w:tcW w:w="7870" w:type="dxa"/>
            <w:vAlign w:val="center"/>
          </w:tcPr>
          <w:p>
            <w:pPr>
              <w:pStyle w:val="TABLE-col-heading"/>
              <w:jc w:val="left"/>
            </w:pPr>
            <w:r>
              <w:rPr/>
              <w:t xml:space="preserve">Description</w:t>
            </w:r>
          </w:p>
        </w:tc>
      </w:tr>
      <w:tr>
        <w:tc>
          <w:tcPr>
            <w:tcW w:w="1200" w:type="dxa"/>
            <w:vAlign w:val="center"/>
          </w:tcPr>
          <w:p>
            <w:pPr>
              <w:pStyle w:val="TABLE-cell"/>
            </w:pPr>
            <w:r>
              <w:rPr/>
              <w:t xml:space="preserve">Product</w:t>
            </w:r>
          </w:p>
        </w:tc>
        <w:tc>
          <w:tcPr>
            <w:tcW w:w="7870" w:type="dxa"/>
            <w:vAlign w:val="center"/>
          </w:tcPr>
          <w:p>
            <w:pPr>
              <w:pStyle w:val="TABLE-cell"/>
            </w:pPr>
            <w:r>
              <w:rPr/>
              <w:t xml:space="preserve">This structure is an array of product definition, which includes the ProductId, ProcessVariables array and Ingredients array.  See 6.5.6 for a definition of the DataType.</w:t>
            </w:r>
          </w:p>
        </w:tc>
      </w:tr>
      <w:tr>
        <w:tc>
          <w:tcPr>
            <w:tcW w:w="9070" w:type="dxa"/>
            <w:gridSpan w:val="2"/>
            <w:vAlign w:val="center"/>
          </w:tcPr>
          <w:p>
            <w:pPr>
              <w:pStyle w:val="TABLE-cell"/>
            </w:pPr>
          </w:p>
        </w:tc>
      </w:tr>
    </w:tbl>
    <w:p>
      <w:pPr>
        <w:pStyle w:val="spacer"/>
      </w:pPr>
    </w:p>
    <w:p>
      <w:pPr>
        <w:pStyle w:val="PARAGRAPH"/>
      </w:pPr>
      <w:r>
        <w:rPr/>
        <w:t xml:space="preserve">Method result codes are defined in </w:t>
      </w:r>
      <w:r>
        <w:fldChar w:fldCharType="begin"/>
      </w:r>
      <w:r>
        <w:instrText xml:space="preserve"> REF Sts_tbl_30 \h \* MERGEFORMAT </w:instrText>
      </w:r>
      <w:r>
        <w:fldChar w:fldCharType="separate"/>
      </w:r>
      <w:r>
        <w:rPr/>
        <w:t xml:space="preserve">Table 30</w:t>
      </w:r>
      <w:r>
        <w:fldChar w:fldCharType="end"/>
      </w:r>
    </w:p>
    <w:p>
      <w:pPr>
        <w:pStyle w:val="TABLE-title"/>
      </w:pPr>
      <w:bookmarkStart w:name="Sts_tbl_30" w:id="136"/>
      <w:r>
        <w:t xml:space="preserve">Table </w:t>
      </w:r>
      <w:r>
        <w:fldChar w:fldCharType="begin"/>
      </w:r>
      <w:r>
        <w:instrText xml:space="preserve"> SEQ Table \* ARABIC </w:instrText>
      </w:r>
      <w:r>
        <w:fldChar w:fldCharType="separate"/>
      </w:r>
      <w:r>
        <w:rPr/>
        <w:t xml:space="preserve">30</w:t>
      </w:r>
      <w:r>
        <w:fldChar w:fldCharType="end"/>
      </w:r>
      <w:bookmarkEnd w:id="136"/>
      <w:r>
        <w:t xml:space="preserve"> – </w:t>
      </w:r>
      <w:r>
        <w:rPr/>
        <w:t xml:space="preserve">SetProduct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Sts_tbl_31 \h \* MERGEFORMAT </w:instrText>
      </w:r>
      <w:r>
        <w:fldChar w:fldCharType="separate"/>
      </w:r>
      <w:r>
        <w:rPr/>
        <w:t xml:space="preserve">Table 31</w:t>
      </w:r>
      <w:r>
        <w:fldChar w:fldCharType="end"/>
      </w:r>
      <w:r>
        <w:rPr/>
        <w:t xml:space="preserve"> specifies the </w:t>
      </w:r>
      <w:r>
        <w:rPr>
          <w:i/>
        </w:rPr>
        <w:t xml:space="preserve">AddressSpace</w:t>
      </w:r>
      <w:r>
        <w:rPr/>
        <w:t xml:space="preserve"> representation for the </w:t>
      </w:r>
      <w:r>
        <w:rPr>
          <w:i/>
        </w:rPr>
        <w:t xml:space="preserve">SetProduct Method</w:t>
      </w:r>
      <w:r>
        <w:rPr/>
        <w:t xml:space="preserve">. </w:t>
      </w:r>
      <w:r>
        <w:rPr>
          <w:i/>
        </w:rPr>
        <w:t xml:space="preserve">SetProduct</w:t>
      </w:r>
      <w:r>
        <w:rPr/>
        <w:t xml:space="preserve"> includes an array of </w:t>
      </w:r>
      <w:r>
        <w:rPr>
          <w:i/>
        </w:rPr>
        <w:t xml:space="preserve">InputArguments</w:t>
      </w:r>
      <w:r>
        <w:rPr/>
        <w:t xml:space="preserve">, where the input argument details are provided in </w:t>
      </w:r>
      <w:r>
        <w:fldChar w:fldCharType="begin"/>
      </w:r>
      <w:r>
        <w:instrText xml:space="preserve"> REF Sts_tbl_29 \h \* MERGEFORMAT </w:instrText>
      </w:r>
      <w:r>
        <w:fldChar w:fldCharType="separate"/>
      </w:r>
      <w:r>
        <w:rPr/>
        <w:t xml:space="preserve">Table 29</w:t>
      </w:r>
      <w:r>
        <w:fldChar w:fldCharType="end"/>
      </w:r>
      <w:r>
        <w:rPr/>
        <w:t xml:space="preserve">.</w:t>
      </w:r>
    </w:p>
    <w:p>
      <w:pPr>
        <w:pStyle w:val="TABLE-title"/>
      </w:pPr>
      <w:bookmarkStart w:name="Sts_tbl_31" w:id="137"/>
      <w:r>
        <w:t xml:space="preserve">Table </w:t>
      </w:r>
      <w:r>
        <w:fldChar w:fldCharType="begin"/>
      </w:r>
      <w:r>
        <w:instrText xml:space="preserve"> SEQ Table \* ARABIC </w:instrText>
      </w:r>
      <w:r>
        <w:fldChar w:fldCharType="separate"/>
      </w:r>
      <w:r>
        <w:rPr/>
        <w:t xml:space="preserve">31</w:t>
      </w:r>
      <w:r>
        <w:fldChar w:fldCharType="end"/>
      </w:r>
      <w:bookmarkEnd w:id="137"/>
      <w:r>
        <w:t xml:space="preserve"> – </w:t>
      </w:r>
      <w:r>
        <w:rPr/>
        <w:t xml:space="preserve">SetProduct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SetProduct</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5" w:id="138"/>
      <w:r>
        <w:rPr/>
        <w:t xml:space="preserve">Abort Method</w:t>
      </w:r>
      <w:bookmarkEnd w:id="138"/>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Aborting</w:t>
      </w:r>
      <w:r>
        <w:rPr/>
        <w:t xml:space="preserve"> state.</w:t>
      </w:r>
    </w:p>
    <w:p>
      <w:pPr>
        <w:pStyle w:val="PARAGRAPH"/>
      </w:pPr>
      <w:r>
        <w:rPr>
          <w:b/>
        </w:rPr>
        <w:t xml:space="preserve">Signature</w:t>
      </w:r>
    </w:p>
    <w:p>
      <w:pPr>
        <w:pStyle w:val="CODE"/>
      </w:pPr>
      <w:r>
        <w:t xml:space="preserve">	Abort(</w:t>
      </w:r>
      <w:r>
        <w:br/>
        <w:t xml:space="preserve">		);</w:t>
      </w:r>
    </w:p>
    <w:p>
      <w:pPr>
        <w:pStyle w:val="PARAGRAPH"/>
      </w:pPr>
      <w:r>
        <w:rPr/>
        <w:t xml:space="preserve">Method result codes are defined in </w:t>
      </w:r>
      <w:r>
        <w:fldChar w:fldCharType="begin"/>
      </w:r>
      <w:r>
        <w:instrText xml:space="preserve"> REF Sts_tbl_32 \h \* MERGEFORMAT </w:instrText>
      </w:r>
      <w:r>
        <w:fldChar w:fldCharType="separate"/>
      </w:r>
      <w:r>
        <w:rPr/>
        <w:t xml:space="preserve">Table 32</w:t>
      </w:r>
      <w:r>
        <w:fldChar w:fldCharType="end"/>
      </w:r>
      <w:r>
        <w:rPr/>
        <w:t xml:space="preserve">.</w:t>
      </w:r>
    </w:p>
    <w:p>
      <w:pPr>
        <w:pStyle w:val="TABLE-title"/>
      </w:pPr>
      <w:bookmarkStart w:name="Sts_tbl_32" w:id="139"/>
      <w:r>
        <w:t xml:space="preserve">Table </w:t>
      </w:r>
      <w:r>
        <w:fldChar w:fldCharType="begin"/>
      </w:r>
      <w:r>
        <w:instrText xml:space="preserve"> SEQ Table \* ARABIC </w:instrText>
      </w:r>
      <w:r>
        <w:fldChar w:fldCharType="separate"/>
      </w:r>
      <w:r>
        <w:rPr/>
        <w:t xml:space="preserve">32</w:t>
      </w:r>
      <w:r>
        <w:fldChar w:fldCharType="end"/>
      </w:r>
      <w:bookmarkEnd w:id="139"/>
      <w:r>
        <w:t xml:space="preserve"> – </w:t>
      </w:r>
      <w:r>
        <w:rPr/>
        <w:t xml:space="preserve">Abort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fldChar w:fldCharType="begin"/>
      </w:r>
      <w:r>
        <w:instrText xml:space="preserve"> REF Sts_tbl_33 \h \* MERGEFORMAT </w:instrText>
      </w:r>
      <w:r>
        <w:fldChar w:fldCharType="separate"/>
      </w:r>
      <w:r>
        <w:rPr/>
        <w:t xml:space="preserve">Table 33</w:t>
      </w:r>
      <w:r>
        <w:fldChar w:fldCharType="end"/>
      </w:r>
      <w:r>
        <w:rPr/>
        <w:t xml:space="preserve"> specifies the </w:t>
      </w:r>
      <w:r>
        <w:rPr>
          <w:i/>
        </w:rPr>
        <w:t xml:space="preserve">AddressSpace</w:t>
      </w:r>
      <w:r>
        <w:rPr/>
        <w:t xml:space="preserve"> representation for the </w:t>
      </w:r>
      <w:r>
        <w:rPr>
          <w:i/>
        </w:rPr>
        <w:t xml:space="preserve">Abort Method</w:t>
      </w:r>
      <w:r>
        <w:rPr/>
        <w:t xml:space="preserve">. </w:t>
      </w:r>
      <w:r>
        <w:rPr>
          <w:i/>
        </w:rPr>
        <w:t xml:space="preserve">Abort</w:t>
      </w:r>
      <w:r>
        <w:rPr/>
        <w:t xml:space="preserve"> has no input or output parameters and has no referenced objects or variables.</w:t>
      </w:r>
    </w:p>
    <w:p>
      <w:pPr>
        <w:pStyle w:val="TABLE-title"/>
      </w:pPr>
      <w:bookmarkStart w:name="Sts_tbl_33" w:id="140"/>
      <w:r>
        <w:t xml:space="preserve">Table </w:t>
      </w:r>
      <w:r>
        <w:fldChar w:fldCharType="begin"/>
      </w:r>
      <w:r>
        <w:instrText xml:space="preserve"> SEQ Table \* ARABIC </w:instrText>
      </w:r>
      <w:r>
        <w:fldChar w:fldCharType="separate"/>
      </w:r>
      <w:r>
        <w:rPr/>
        <w:t xml:space="preserve">33</w:t>
      </w:r>
      <w:r>
        <w:fldChar w:fldCharType="end"/>
      </w:r>
      <w:bookmarkEnd w:id="140"/>
      <w:r>
        <w:t xml:space="preserve"> – </w:t>
      </w:r>
      <w:r>
        <w:rPr/>
        <w:t xml:space="preserve">Abort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Abort</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6" w:id="141"/>
      <w:r>
        <w:rPr/>
        <w:t xml:space="preserve">Clear Method</w:t>
      </w:r>
      <w:bookmarkEnd w:id="141"/>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Cleared</w:t>
      </w:r>
      <w:r>
        <w:rPr/>
        <w:t xml:space="preserve"> state.</w:t>
      </w:r>
    </w:p>
    <w:p>
      <w:pPr>
        <w:pStyle w:val="PARAGRAPH"/>
      </w:pPr>
      <w:r>
        <w:rPr>
          <w:b/>
        </w:rPr>
        <w:t xml:space="preserve">Signature</w:t>
      </w:r>
    </w:p>
    <w:p>
      <w:pPr>
        <w:pStyle w:val="CODE"/>
      </w:pPr>
      <w:r>
        <w:t xml:space="preserve">	Clear(</w:t>
      </w:r>
      <w:r>
        <w:br/>
        <w:t xml:space="preserve">		);</w:t>
      </w:r>
    </w:p>
    <w:p>
      <w:pPr>
        <w:pStyle w:val="PARAGRAPH"/>
      </w:pPr>
      <w:r>
        <w:rPr/>
        <w:t xml:space="preserve">Method result codes are defined in </w:t>
      </w:r>
      <w:r>
        <w:fldChar w:fldCharType="begin"/>
      </w:r>
      <w:r>
        <w:instrText xml:space="preserve"> REF Sts_tbl_34 \h \* MERGEFORMAT </w:instrText>
      </w:r>
      <w:r>
        <w:fldChar w:fldCharType="separate"/>
      </w:r>
      <w:r>
        <w:rPr/>
        <w:t xml:space="preserve">Table 34</w:t>
      </w:r>
      <w:r>
        <w:fldChar w:fldCharType="end"/>
      </w:r>
      <w:r>
        <w:rPr/>
        <w:t xml:space="preserve">.</w:t>
      </w:r>
    </w:p>
    <w:p>
      <w:pPr>
        <w:pStyle w:val="TABLE-title"/>
      </w:pPr>
      <w:bookmarkStart w:name="Sts_tbl_34" w:id="142"/>
      <w:r>
        <w:t xml:space="preserve">Table </w:t>
      </w:r>
      <w:r>
        <w:fldChar w:fldCharType="begin"/>
      </w:r>
      <w:r>
        <w:instrText xml:space="preserve"> SEQ Table \* ARABIC </w:instrText>
      </w:r>
      <w:r>
        <w:fldChar w:fldCharType="separate"/>
      </w:r>
      <w:r>
        <w:rPr/>
        <w:t xml:space="preserve">34</w:t>
      </w:r>
      <w:r>
        <w:fldChar w:fldCharType="end"/>
      </w:r>
      <w:bookmarkEnd w:id="142"/>
      <w:r>
        <w:t xml:space="preserve"> – </w:t>
      </w:r>
      <w:r>
        <w:rPr/>
        <w:t xml:space="preserve">Clear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fldChar w:fldCharType="begin"/>
      </w:r>
      <w:r>
        <w:instrText xml:space="preserve"> REF Sts_tbl_35 \h \* MERGEFORMAT </w:instrText>
      </w:r>
      <w:r>
        <w:fldChar w:fldCharType="separate"/>
      </w:r>
      <w:r>
        <w:rPr/>
        <w:t xml:space="preserve">Table 35</w:t>
      </w:r>
      <w:r>
        <w:fldChar w:fldCharType="end"/>
      </w:r>
      <w:r>
        <w:rPr/>
        <w:t xml:space="preserve"> specifies the </w:t>
      </w:r>
      <w:r>
        <w:rPr>
          <w:i/>
        </w:rPr>
        <w:t xml:space="preserve">AddressSpace</w:t>
      </w:r>
      <w:r>
        <w:rPr/>
        <w:t xml:space="preserve"> representation for the </w:t>
      </w:r>
      <w:r>
        <w:rPr>
          <w:i/>
        </w:rPr>
        <w:t xml:space="preserve">Clear Method</w:t>
      </w:r>
      <w:r>
        <w:rPr/>
        <w:t xml:space="preserve">. </w:t>
      </w:r>
      <w:r>
        <w:rPr>
          <w:i/>
        </w:rPr>
        <w:t xml:space="preserve">Clear</w:t>
      </w:r>
      <w:r>
        <w:rPr/>
        <w:t xml:space="preserve"> has no input or output parameters and has no referenced objects or variables.</w:t>
      </w:r>
    </w:p>
    <w:p>
      <w:pPr>
        <w:pStyle w:val="TABLE-title"/>
      </w:pPr>
      <w:bookmarkStart w:name="Sts_tbl_35" w:id="143"/>
      <w:r>
        <w:t xml:space="preserve">Table </w:t>
      </w:r>
      <w:r>
        <w:fldChar w:fldCharType="begin"/>
      </w:r>
      <w:r>
        <w:instrText xml:space="preserve"> SEQ Table \* ARABIC </w:instrText>
      </w:r>
      <w:r>
        <w:fldChar w:fldCharType="separate"/>
      </w:r>
      <w:r>
        <w:rPr/>
        <w:t xml:space="preserve">35</w:t>
      </w:r>
      <w:r>
        <w:fldChar w:fldCharType="end"/>
      </w:r>
      <w:bookmarkEnd w:id="143"/>
      <w:r>
        <w:t xml:space="preserve"> – </w:t>
      </w:r>
      <w:r>
        <w:rPr/>
        <w:t xml:space="preserve">Clear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Clear</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7" w:id="144"/>
      <w:r>
        <w:rPr/>
        <w:t xml:space="preserve">Stop Method</w:t>
      </w:r>
      <w:bookmarkEnd w:id="144"/>
    </w:p>
    <w:p>
      <w:pPr>
        <w:pStyle w:val="PARAGRAPH"/>
      </w:pPr>
      <w:r>
        <w:rPr/>
        <w:t xml:space="preserve">This </w:t>
      </w:r>
      <w:r>
        <w:rPr>
          <w:i/>
        </w:rPr>
        <w:t xml:space="preserve">Method</w:t>
      </w:r>
      <w:r>
        <w:rPr/>
        <w:t xml:space="preserve"> is used as part of the </w:t>
      </w:r>
      <w:r>
        <w:rPr>
          <w:i/>
        </w:rPr>
        <w:t xml:space="preserve">PackMLMachineStateMachineType</w:t>
      </w:r>
      <w:r>
        <w:rPr/>
        <w:t xml:space="preserve">. It allows an OPC UA </w:t>
      </w:r>
      <w:r>
        <w:rPr>
          <w:i/>
        </w:rPr>
        <w:t xml:space="preserve">Client</w:t>
      </w:r>
      <w:r>
        <w:rPr/>
        <w:t xml:space="preserve"> to change the state of this state machine to the </w:t>
      </w:r>
      <w:r>
        <w:rPr>
          <w:i/>
        </w:rPr>
        <w:t xml:space="preserve">Stopping</w:t>
      </w:r>
      <w:r>
        <w:rPr/>
        <w:t xml:space="preserve"> state.</w:t>
      </w:r>
    </w:p>
    <w:p>
      <w:pPr>
        <w:pStyle w:val="PARAGRAPH"/>
      </w:pPr>
      <w:r>
        <w:rPr>
          <w:b/>
        </w:rPr>
        <w:t xml:space="preserve">Signature</w:t>
      </w:r>
    </w:p>
    <w:p>
      <w:pPr>
        <w:pStyle w:val="CODE"/>
      </w:pPr>
      <w:r>
        <w:t xml:space="preserve">	Stop(</w:t>
      </w:r>
      <w:r>
        <w:br/>
        <w:t xml:space="preserve">		);</w:t>
      </w:r>
    </w:p>
    <w:p>
      <w:pPr>
        <w:pStyle w:val="PARAGRAPH"/>
      </w:pPr>
      <w:r>
        <w:rPr/>
        <w:t xml:space="preserve">Method result codes are defined in </w:t>
      </w:r>
      <w:r>
        <w:fldChar w:fldCharType="begin"/>
      </w:r>
      <w:r>
        <w:instrText xml:space="preserve"> REF Sts_tbl_36 \h \* MERGEFORMAT </w:instrText>
      </w:r>
      <w:r>
        <w:fldChar w:fldCharType="separate"/>
      </w:r>
      <w:r>
        <w:rPr/>
        <w:t xml:space="preserve">Table 36</w:t>
      </w:r>
      <w:r>
        <w:fldChar w:fldCharType="end"/>
      </w:r>
    </w:p>
    <w:p>
      <w:pPr>
        <w:pStyle w:val="TABLE-title"/>
      </w:pPr>
      <w:bookmarkStart w:name="Sts_tbl_36" w:id="145"/>
      <w:r>
        <w:t xml:space="preserve">Table </w:t>
      </w:r>
      <w:r>
        <w:fldChar w:fldCharType="begin"/>
      </w:r>
      <w:r>
        <w:instrText xml:space="preserve"> SEQ Table \* ARABIC </w:instrText>
      </w:r>
      <w:r>
        <w:fldChar w:fldCharType="separate"/>
      </w:r>
      <w:r>
        <w:rPr/>
        <w:t xml:space="preserve">36</w:t>
      </w:r>
      <w:r>
        <w:fldChar w:fldCharType="end"/>
      </w:r>
      <w:bookmarkEnd w:id="145"/>
      <w:r>
        <w:t xml:space="preserve"> – </w:t>
      </w:r>
      <w:r>
        <w:rPr/>
        <w:t xml:space="preserve">Stop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fldChar w:fldCharType="begin"/>
      </w:r>
      <w:r>
        <w:instrText xml:space="preserve"> REF Sts_tbl_37 \h \* MERGEFORMAT </w:instrText>
      </w:r>
      <w:r>
        <w:fldChar w:fldCharType="separate"/>
      </w:r>
      <w:r>
        <w:rPr/>
        <w:t xml:space="preserve">Table 37</w:t>
      </w:r>
      <w:r>
        <w:fldChar w:fldCharType="end"/>
      </w:r>
      <w:r>
        <w:rPr/>
        <w:t xml:space="preserve"> specifies the </w:t>
      </w:r>
      <w:r>
        <w:rPr>
          <w:i/>
        </w:rPr>
        <w:t xml:space="preserve">AddressSpace</w:t>
      </w:r>
      <w:r>
        <w:rPr/>
        <w:t xml:space="preserve"> representation for the </w:t>
      </w:r>
      <w:r>
        <w:rPr>
          <w:i/>
        </w:rPr>
        <w:t xml:space="preserve">Stop Method</w:t>
      </w:r>
      <w:r>
        <w:rPr/>
        <w:t xml:space="preserve">. </w:t>
      </w:r>
      <w:r>
        <w:rPr>
          <w:i/>
        </w:rPr>
        <w:t xml:space="preserve">Stop</w:t>
      </w:r>
      <w:r>
        <w:rPr/>
        <w:t xml:space="preserve"> has no input or output parameters and has no referenced objects or variables.</w:t>
      </w:r>
    </w:p>
    <w:p>
      <w:pPr>
        <w:pStyle w:val="TABLE-title"/>
      </w:pPr>
      <w:bookmarkStart w:name="Sts_tbl_37" w:id="146"/>
      <w:r>
        <w:t xml:space="preserve">Table </w:t>
      </w:r>
      <w:r>
        <w:fldChar w:fldCharType="begin"/>
      </w:r>
      <w:r>
        <w:instrText xml:space="preserve"> SEQ Table \* ARABIC </w:instrText>
      </w:r>
      <w:r>
        <w:fldChar w:fldCharType="separate"/>
      </w:r>
      <w:r>
        <w:rPr/>
        <w:t xml:space="preserve">37</w:t>
      </w:r>
      <w:r>
        <w:fldChar w:fldCharType="end"/>
      </w:r>
      <w:bookmarkEnd w:id="146"/>
      <w:r>
        <w:t xml:space="preserve"> – </w:t>
      </w:r>
      <w:r>
        <w:rPr/>
        <w:t xml:space="preserve">Stop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Stop</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8" w:id="147"/>
      <w:r>
        <w:rPr/>
        <w:t xml:space="preserve">Reset Method</w:t>
      </w:r>
      <w:bookmarkEnd w:id="14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Resetting</w:t>
      </w:r>
      <w:r>
        <w:rPr/>
        <w:t xml:space="preserve"> state.</w:t>
      </w:r>
    </w:p>
    <w:p>
      <w:pPr>
        <w:pStyle w:val="PARAGRAPH"/>
      </w:pPr>
      <w:r>
        <w:rPr>
          <w:b/>
        </w:rPr>
        <w:t xml:space="preserve">Signature</w:t>
      </w:r>
    </w:p>
    <w:p>
      <w:pPr>
        <w:pStyle w:val="CODE"/>
      </w:pPr>
      <w:r>
        <w:t xml:space="preserve">	Reset(</w:t>
      </w:r>
      <w:r>
        <w:br/>
        <w:t xml:space="preserve">		);</w:t>
      </w:r>
    </w:p>
    <w:p>
      <w:pPr>
        <w:pStyle w:val="PARAGRAPH"/>
      </w:pPr>
      <w:r>
        <w:rPr/>
        <w:t xml:space="preserve">Method result codes are defined in </w:t>
      </w:r>
      <w:r>
        <w:fldChar w:fldCharType="begin"/>
      </w:r>
      <w:r>
        <w:instrText xml:space="preserve"> REF Sts_tbl_38 \h \* MERGEFORMAT </w:instrText>
      </w:r>
      <w:r>
        <w:fldChar w:fldCharType="separate"/>
      </w:r>
      <w:r>
        <w:rPr/>
        <w:t xml:space="preserve">Table 38</w:t>
      </w:r>
      <w:r>
        <w:fldChar w:fldCharType="end"/>
      </w:r>
      <w:r>
        <w:rPr/>
        <w:t xml:space="preserve">.</w:t>
      </w:r>
    </w:p>
    <w:p>
      <w:pPr>
        <w:pStyle w:val="TABLE-title"/>
      </w:pPr>
      <w:bookmarkStart w:name="Sts_tbl_38" w:id="148"/>
      <w:r>
        <w:t xml:space="preserve">Table </w:t>
      </w:r>
      <w:r>
        <w:fldChar w:fldCharType="begin"/>
      </w:r>
      <w:r>
        <w:instrText xml:space="preserve"> SEQ Table \* ARABIC </w:instrText>
      </w:r>
      <w:r>
        <w:fldChar w:fldCharType="separate"/>
      </w:r>
      <w:r>
        <w:rPr/>
        <w:t xml:space="preserve">38</w:t>
      </w:r>
      <w:r>
        <w:fldChar w:fldCharType="end"/>
      </w:r>
      <w:bookmarkEnd w:id="148"/>
      <w:r>
        <w:t xml:space="preserve"> – </w:t>
      </w:r>
      <w:r>
        <w:rPr/>
        <w:t xml:space="preserve">Reset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fldChar w:fldCharType="begin"/>
      </w:r>
      <w:r>
        <w:instrText xml:space="preserve"> REF Sts_tbl_39 \h \* MERGEFORMAT </w:instrText>
      </w:r>
      <w:r>
        <w:fldChar w:fldCharType="separate"/>
      </w:r>
      <w:r>
        <w:rPr/>
        <w:t xml:space="preserve">Table 39</w:t>
      </w:r>
      <w:r>
        <w:fldChar w:fldCharType="end"/>
      </w:r>
      <w:r>
        <w:rPr/>
        <w:t xml:space="preserve"> specifies the </w:t>
      </w:r>
      <w:r>
        <w:rPr>
          <w:i/>
        </w:rPr>
        <w:t xml:space="preserve">AddressSpace</w:t>
      </w:r>
      <w:r>
        <w:rPr/>
        <w:t xml:space="preserve"> representation for the </w:t>
      </w:r>
      <w:r>
        <w:rPr>
          <w:i/>
        </w:rPr>
        <w:t xml:space="preserve">Reset Method</w:t>
      </w:r>
      <w:r>
        <w:rPr/>
        <w:t xml:space="preserve">. </w:t>
      </w:r>
      <w:r>
        <w:rPr>
          <w:i/>
        </w:rPr>
        <w:t xml:space="preserve">Reset</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39" w:id="149"/>
      <w:r>
        <w:t xml:space="preserve">Table </w:t>
      </w:r>
      <w:r>
        <w:fldChar w:fldCharType="begin"/>
      </w:r>
      <w:r>
        <w:instrText xml:space="preserve"> SEQ Table \* ARABIC </w:instrText>
      </w:r>
      <w:r>
        <w:fldChar w:fldCharType="separate"/>
      </w:r>
      <w:r>
        <w:rPr/>
        <w:t xml:space="preserve">39</w:t>
      </w:r>
      <w:r>
        <w:fldChar w:fldCharType="end"/>
      </w:r>
      <w:bookmarkEnd w:id="149"/>
      <w:r>
        <w:t xml:space="preserve"> – </w:t>
      </w:r>
      <w:r>
        <w:rPr/>
        <w:t xml:space="preserve">Reset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Reset</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9" w:id="150"/>
      <w:r>
        <w:rPr/>
        <w:t xml:space="preserve">ToComplete Method</w:t>
      </w:r>
      <w:bookmarkEnd w:id="15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Complete</w:t>
      </w:r>
      <w:r>
        <w:rPr/>
        <w:t xml:space="preserve"> state.</w:t>
      </w:r>
    </w:p>
    <w:p>
      <w:pPr>
        <w:pStyle w:val="PARAGRAPH"/>
      </w:pPr>
      <w:r>
        <w:rPr>
          <w:b/>
        </w:rPr>
        <w:t xml:space="preserve">Signature</w:t>
      </w:r>
    </w:p>
    <w:p>
      <w:pPr>
        <w:pStyle w:val="CODE"/>
      </w:pPr>
      <w:r>
        <w:t xml:space="preserve">	ToComplete(</w:t>
      </w:r>
      <w:r>
        <w:br/>
        <w:t xml:space="preserve">		);</w:t>
      </w:r>
    </w:p>
    <w:p>
      <w:pPr>
        <w:pStyle w:val="PARAGRAPH"/>
      </w:pPr>
      <w:r>
        <w:rPr/>
        <w:t xml:space="preserve">Method result codes are defined in </w:t>
      </w:r>
      <w:r>
        <w:fldChar w:fldCharType="begin"/>
      </w:r>
      <w:r>
        <w:instrText xml:space="preserve"> REF Sts_tbl_40 \h \* MERGEFORMAT </w:instrText>
      </w:r>
      <w:r>
        <w:fldChar w:fldCharType="separate"/>
      </w:r>
      <w:r>
        <w:rPr/>
        <w:t xml:space="preserve">Table 40</w:t>
      </w:r>
      <w:r>
        <w:fldChar w:fldCharType="end"/>
      </w:r>
      <w:r>
        <w:rPr/>
        <w:t xml:space="preserve">.</w:t>
      </w:r>
    </w:p>
    <w:p>
      <w:pPr>
        <w:pStyle w:val="TABLE-title"/>
      </w:pPr>
      <w:bookmarkStart w:name="Sts_tbl_40" w:id="151"/>
      <w:r>
        <w:t xml:space="preserve">Table </w:t>
      </w:r>
      <w:r>
        <w:fldChar w:fldCharType="begin"/>
      </w:r>
      <w:r>
        <w:instrText xml:space="preserve"> SEQ Table \* ARABIC </w:instrText>
      </w:r>
      <w:r>
        <w:fldChar w:fldCharType="separate"/>
      </w:r>
      <w:r>
        <w:rPr/>
        <w:t xml:space="preserve">40</w:t>
      </w:r>
      <w:r>
        <w:fldChar w:fldCharType="end"/>
      </w:r>
      <w:bookmarkEnd w:id="151"/>
      <w:r>
        <w:t xml:space="preserve"> – </w:t>
      </w:r>
      <w:r>
        <w:rPr/>
        <w:t xml:space="preserve">ToComplete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fldChar w:fldCharType="begin"/>
      </w:r>
      <w:r>
        <w:instrText xml:space="preserve"> REF Sts_tbl_41 \h \* MERGEFORMAT </w:instrText>
      </w:r>
      <w:r>
        <w:fldChar w:fldCharType="separate"/>
      </w:r>
      <w:r>
        <w:rPr/>
        <w:t xml:space="preserve">Table 41</w:t>
      </w:r>
      <w:r>
        <w:fldChar w:fldCharType="end"/>
      </w:r>
      <w:r>
        <w:rPr/>
        <w:t xml:space="preserve"> specifies the </w:t>
      </w:r>
      <w:r>
        <w:rPr>
          <w:i/>
        </w:rPr>
        <w:t xml:space="preserve">AddressSpace</w:t>
      </w:r>
      <w:r>
        <w:rPr/>
        <w:t xml:space="preserve"> representation for the </w:t>
      </w:r>
      <w:r>
        <w:rPr>
          <w:i/>
        </w:rPr>
        <w:t xml:space="preserve">ToComplete Method</w:t>
      </w:r>
      <w:r>
        <w:rPr/>
        <w:t xml:space="preserve">. </w:t>
      </w:r>
      <w:r>
        <w:rPr>
          <w:i/>
        </w:rPr>
        <w:t xml:space="preserve">ToComplete</w:t>
      </w:r>
      <w:r>
        <w:rPr/>
        <w:t xml:space="preserve"> has no input or output parameters and has no referenced objects or variables.</w:t>
      </w:r>
    </w:p>
    <w:p>
      <w:pPr>
        <w:pStyle w:val="TABLE-title"/>
      </w:pPr>
      <w:bookmarkStart w:name="Sts_tbl_41" w:id="152"/>
      <w:r>
        <w:t xml:space="preserve">Table </w:t>
      </w:r>
      <w:r>
        <w:fldChar w:fldCharType="begin"/>
      </w:r>
      <w:r>
        <w:instrText xml:space="preserve"> SEQ Table \* ARABIC </w:instrText>
      </w:r>
      <w:r>
        <w:fldChar w:fldCharType="separate"/>
      </w:r>
      <w:r>
        <w:rPr/>
        <w:t xml:space="preserve">41</w:t>
      </w:r>
      <w:r>
        <w:fldChar w:fldCharType="end"/>
      </w:r>
      <w:bookmarkEnd w:id="152"/>
      <w:r>
        <w:t xml:space="preserve"> – </w:t>
      </w:r>
      <w:r>
        <w:rPr/>
        <w:t xml:space="preserve">ToComplete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ToComplete</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0" w:id="153"/>
      <w:r>
        <w:rPr/>
        <w:t xml:space="preserve">Start Method</w:t>
      </w:r>
      <w:bookmarkEnd w:id="15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Starting</w:t>
      </w:r>
      <w:r>
        <w:rPr/>
        <w:t xml:space="preserve"> State and send parameters at the same time. Which is an extension to the </w:t>
      </w:r>
      <w:r>
        <w:fldChar w:fldCharType="begin"/>
      </w:r>
      <w:r>
        <w:instrText xml:space="preserve"> REF Sts_ref_tr88 \h \* MERGEFORMAT </w:instrText>
      </w:r>
      <w:r>
        <w:fldChar w:fldCharType="separate"/>
      </w:r>
      <w:r>
        <w:rPr/>
        <w:t xml:space="preserve">ISA-TR88.00.02-2022</w:t>
      </w:r>
      <w:r>
        <w:fldChar w:fldCharType="end"/>
      </w:r>
      <w:r>
        <w:rPr/>
        <w:t xml:space="preserve"> specification. The parameter is defined in </w:t>
      </w:r>
      <w:r>
        <w:fldChar w:fldCharType="begin"/>
      </w:r>
      <w:r>
        <w:instrText xml:space="preserve"> REF Sts_tbl_42 \h \* MERGEFORMAT </w:instrText>
      </w:r>
      <w:r>
        <w:fldChar w:fldCharType="separate"/>
      </w:r>
      <w:r>
        <w:rPr/>
        <w:t xml:space="preserve">Table 42</w:t>
      </w:r>
      <w:r>
        <w:fldChar w:fldCharType="end"/>
      </w:r>
    </w:p>
    <w:p>
      <w:pPr>
        <w:pStyle w:val="PARAGRAPH"/>
      </w:pPr>
      <w:r>
        <w:rPr>
          <w:b/>
        </w:rPr>
        <w:t xml:space="preserve">Signature</w:t>
      </w:r>
    </w:p>
    <w:p>
      <w:pPr>
        <w:pStyle w:val="CODE"/>
      </w:pPr>
      <w:r>
        <w:t xml:space="preserve">	Start(</w:t>
      </w:r>
      <w:r>
        <w:br/>
        <w:t xml:space="preserve">		[in] PackMLDescriptorDataType[] Parameter</w:t>
      </w:r>
      <w:r>
        <w:br/>
        <w:t xml:space="preserve">	); </w:t>
      </w:r>
    </w:p>
    <w:p>
      <w:pPr>
        <w:pStyle w:val="TABLE-title"/>
      </w:pPr>
      <w:bookmarkStart w:name="Sts_tbl_42" w:id="154"/>
      <w:r>
        <w:t xml:space="preserve">Table </w:t>
      </w:r>
      <w:r>
        <w:fldChar w:fldCharType="begin"/>
      </w:r>
      <w:r>
        <w:instrText xml:space="preserve"> SEQ Table \* ARABIC </w:instrText>
      </w:r>
      <w:r>
        <w:fldChar w:fldCharType="separate"/>
      </w:r>
      <w:r>
        <w:rPr/>
        <w:t xml:space="preserve">42</w:t>
      </w:r>
      <w:r>
        <w:fldChar w:fldCharType="end"/>
      </w:r>
      <w:bookmarkEnd w:id="154"/>
      <w:r>
        <w:t xml:space="preserve"> – </w:t>
      </w:r>
      <w:r>
        <w:rPr/>
        <w:t xml:space="preserve">Start Method Parameters</w:t>
      </w:r>
    </w:p>
    <w:tbl>
      <w:tblPr>
        <w:tblStyle w:val="TableGrid"/>
        <w:tblW w:w="9070" w:type="dxa"/>
        <w:tblLayout w:type="fixed"/>
      </w:tblPr>
      <w:tblGrid>
        <w:gridCol w:w="1320"/>
        <w:gridCol w:w="7750"/>
      </w:tblGrid>
      <w:tr>
        <w:trPr>
          <w:tblHeader/>
        </w:trPr>
        <w:tc>
          <w:tcPr>
            <w:tcW w:w="1320" w:type="dxa"/>
            <w:vAlign w:val="center"/>
          </w:tcPr>
          <w:p>
            <w:pPr>
              <w:pStyle w:val="TABLE-col-heading"/>
              <w:jc w:val="left"/>
            </w:pPr>
            <w:r>
              <w:rPr/>
              <w:t xml:space="preserve">Argument</w:t>
            </w:r>
          </w:p>
        </w:tc>
        <w:tc>
          <w:tcPr>
            <w:tcW w:w="7750" w:type="dxa"/>
            <w:vAlign w:val="center"/>
          </w:tcPr>
          <w:p>
            <w:pPr>
              <w:pStyle w:val="TABLE-col-heading"/>
              <w:jc w:val="left"/>
            </w:pPr>
            <w:r>
              <w:rPr/>
              <w:t xml:space="preserve">Description</w:t>
            </w:r>
          </w:p>
        </w:tc>
      </w:tr>
      <w:tr>
        <w:tc>
          <w:tcPr>
            <w:tcW w:w="1320" w:type="dxa"/>
            <w:vAlign w:val="center"/>
          </w:tcPr>
          <w:p>
            <w:pPr>
              <w:pStyle w:val="TABLE-cell"/>
            </w:pPr>
            <w:r>
              <w:rPr/>
              <w:t xml:space="preserve">Parameter</w:t>
            </w:r>
          </w:p>
        </w:tc>
        <w:tc>
          <w:tcPr>
            <w:tcW w:w="7750" w:type="dxa"/>
            <w:vAlign w:val="center"/>
          </w:tcPr>
          <w:p>
            <w:pPr>
              <w:pStyle w:val="TABLE-cell"/>
            </w:pPr>
            <w:r>
              <w:rPr/>
              <w:t xml:space="preserve">The array of parameter with Id, Name, Unit and Value can be used by the method. See 6.5.4 for the definition of the DataType.</w:t>
            </w:r>
          </w:p>
        </w:tc>
      </w:tr>
    </w:tbl>
    <w:p>
      <w:pPr>
        <w:pStyle w:val="spacer"/>
      </w:pPr>
    </w:p>
    <w:p>
      <w:pPr>
        <w:pStyle w:val="PARAGRAPH"/>
      </w:pPr>
      <w:r>
        <w:rPr>
          <w:i/>
        </w:rPr>
        <w:t xml:space="preserve">Method</w:t>
      </w:r>
      <w:r>
        <w:rPr/>
        <w:t xml:space="preserve"> result codes are defined in </w:t>
      </w:r>
      <w:r>
        <w:fldChar w:fldCharType="begin"/>
      </w:r>
      <w:r>
        <w:instrText xml:space="preserve"> REF Sts_tbl_43 \h \* MERGEFORMAT </w:instrText>
      </w:r>
      <w:r>
        <w:fldChar w:fldCharType="separate"/>
      </w:r>
      <w:r>
        <w:rPr/>
        <w:t xml:space="preserve">Table 43</w:t>
      </w:r>
      <w:r>
        <w:fldChar w:fldCharType="end"/>
      </w:r>
      <w:r>
        <w:rPr/>
        <w:t xml:space="preserve">.</w:t>
      </w:r>
    </w:p>
    <w:p>
      <w:pPr>
        <w:pStyle w:val="TABLE-title"/>
      </w:pPr>
      <w:bookmarkStart w:name="Sts_tbl_43" w:id="155"/>
      <w:r>
        <w:t xml:space="preserve">Table </w:t>
      </w:r>
      <w:r>
        <w:fldChar w:fldCharType="begin"/>
      </w:r>
      <w:r>
        <w:instrText xml:space="preserve"> SEQ Table \* ARABIC </w:instrText>
      </w:r>
      <w:r>
        <w:fldChar w:fldCharType="separate"/>
      </w:r>
      <w:r>
        <w:rPr/>
        <w:t xml:space="preserve">43</w:t>
      </w:r>
      <w:r>
        <w:fldChar w:fldCharType="end"/>
      </w:r>
      <w:bookmarkEnd w:id="155"/>
      <w:r>
        <w:t xml:space="preserve"> – </w:t>
      </w:r>
      <w:r>
        <w:rPr/>
        <w:t xml:space="preserve">Start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Sts_tbl_44 \h \* MERGEFORMAT </w:instrText>
      </w:r>
      <w:r>
        <w:fldChar w:fldCharType="separate"/>
      </w:r>
      <w:r>
        <w:rPr/>
        <w:t xml:space="preserve">Table 44</w:t>
      </w:r>
      <w:r>
        <w:fldChar w:fldCharType="end"/>
      </w:r>
      <w:r>
        <w:rPr/>
        <w:t xml:space="preserve"> specifies the </w:t>
      </w:r>
      <w:r>
        <w:rPr>
          <w:i/>
        </w:rPr>
        <w:t xml:space="preserve">AddressSpace</w:t>
      </w:r>
      <w:r>
        <w:rPr/>
        <w:t xml:space="preserve"> representation for the </w:t>
      </w:r>
      <w:r>
        <w:rPr>
          <w:i/>
        </w:rPr>
        <w:t xml:space="preserve">Start Method</w:t>
      </w:r>
      <w:r>
        <w:rPr/>
        <w:t xml:space="preserve">. </w:t>
      </w:r>
      <w:r>
        <w:rPr>
          <w:i/>
        </w:rPr>
        <w:t xml:space="preserve">Start</w:t>
      </w:r>
      <w:r>
        <w:rPr/>
        <w:t xml:space="preserve"> includes an array of </w:t>
      </w:r>
      <w:r>
        <w:rPr>
          <w:i/>
        </w:rPr>
        <w:t xml:space="preserve">InputArguments</w:t>
      </w:r>
      <w:r>
        <w:rPr/>
        <w:t xml:space="preserve">, where the input argument details are provided in </w:t>
      </w:r>
      <w:r>
        <w:fldChar w:fldCharType="begin"/>
      </w:r>
      <w:r>
        <w:instrText xml:space="preserve"> REF Sts_tbl_42 \h \* MERGEFORMAT </w:instrText>
      </w:r>
      <w:r>
        <w:fldChar w:fldCharType="separate"/>
      </w:r>
      <w:r>
        <w:rPr/>
        <w:t xml:space="preserve">Table 42</w:t>
      </w:r>
      <w:r>
        <w:fldChar w:fldCharType="end"/>
      </w:r>
      <w:r>
        <w:rPr/>
        <w:t xml:space="preserve">.</w:t>
      </w:r>
    </w:p>
    <w:p>
      <w:pPr>
        <w:pStyle w:val="TABLE-title"/>
      </w:pPr>
      <w:bookmarkStart w:name="Sts_tbl_44" w:id="156"/>
      <w:r>
        <w:t xml:space="preserve">Table </w:t>
      </w:r>
      <w:r>
        <w:fldChar w:fldCharType="begin"/>
      </w:r>
      <w:r>
        <w:instrText xml:space="preserve"> SEQ Table \* ARABIC </w:instrText>
      </w:r>
      <w:r>
        <w:fldChar w:fldCharType="separate"/>
      </w:r>
      <w:r>
        <w:rPr/>
        <w:t xml:space="preserve">44</w:t>
      </w:r>
      <w:r>
        <w:fldChar w:fldCharType="end"/>
      </w:r>
      <w:bookmarkEnd w:id="156"/>
      <w:r>
        <w:t xml:space="preserve"> – </w:t>
      </w:r>
      <w:r>
        <w:rPr/>
        <w:t xml:space="preserve">Start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Start</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11" w:id="157"/>
      <w:r>
        <w:rPr/>
        <w:t xml:space="preserve">Unhold Method</w:t>
      </w:r>
      <w:bookmarkEnd w:id="15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Unholding</w:t>
      </w:r>
      <w:r>
        <w:rPr/>
        <w:t xml:space="preserve"> state.</w:t>
      </w:r>
    </w:p>
    <w:p>
      <w:pPr>
        <w:pStyle w:val="PARAGRAPH"/>
      </w:pPr>
      <w:r>
        <w:rPr>
          <w:b/>
        </w:rPr>
        <w:t xml:space="preserve">Signature</w:t>
      </w:r>
    </w:p>
    <w:p>
      <w:pPr>
        <w:pStyle w:val="CODE"/>
      </w:pPr>
      <w:r>
        <w:t xml:space="preserve">	Unhold(</w:t>
      </w:r>
      <w:r>
        <w:br/>
        <w:t xml:space="preserve">	);</w:t>
      </w:r>
    </w:p>
    <w:p>
      <w:pPr>
        <w:pStyle w:val="PARAGRAPH"/>
      </w:pPr>
      <w:r>
        <w:rPr>
          <w:i/>
        </w:rPr>
        <w:t xml:space="preserve">Method</w:t>
      </w:r>
      <w:r>
        <w:rPr/>
        <w:t xml:space="preserve"> result codes are defined in </w:t>
      </w:r>
      <w:r>
        <w:fldChar w:fldCharType="begin"/>
      </w:r>
      <w:r>
        <w:instrText xml:space="preserve"> REF Sts_tbl_45 \h \* MERGEFORMAT </w:instrText>
      </w:r>
      <w:r>
        <w:fldChar w:fldCharType="separate"/>
      </w:r>
      <w:r>
        <w:rPr/>
        <w:t xml:space="preserve">Table 45</w:t>
      </w:r>
      <w:r>
        <w:fldChar w:fldCharType="end"/>
      </w:r>
    </w:p>
    <w:p>
      <w:pPr>
        <w:pStyle w:val="TABLE-title"/>
      </w:pPr>
      <w:bookmarkStart w:name="Sts_tbl_45" w:id="158"/>
      <w:r>
        <w:t xml:space="preserve">Table </w:t>
      </w:r>
      <w:r>
        <w:fldChar w:fldCharType="begin"/>
      </w:r>
      <w:r>
        <w:instrText xml:space="preserve"> SEQ Table \* ARABIC </w:instrText>
      </w:r>
      <w:r>
        <w:fldChar w:fldCharType="separate"/>
      </w:r>
      <w:r>
        <w:rPr/>
        <w:t xml:space="preserve">45</w:t>
      </w:r>
      <w:r>
        <w:fldChar w:fldCharType="end"/>
      </w:r>
      <w:bookmarkEnd w:id="158"/>
      <w:r>
        <w:t xml:space="preserve"> – </w:t>
      </w:r>
      <w:r>
        <w:rPr/>
        <w:t xml:space="preserve">Unhold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fldChar w:fldCharType="begin"/>
      </w:r>
      <w:r>
        <w:instrText xml:space="preserve"> REF Sts_tbl_46 \h \* MERGEFORMAT </w:instrText>
      </w:r>
      <w:r>
        <w:fldChar w:fldCharType="separate"/>
      </w:r>
      <w:r>
        <w:rPr/>
        <w:t xml:space="preserve">Table 46</w:t>
      </w:r>
      <w:r>
        <w:fldChar w:fldCharType="end"/>
      </w:r>
      <w:r>
        <w:rPr/>
        <w:t xml:space="preserve"> specifies the </w:t>
      </w:r>
      <w:r>
        <w:rPr>
          <w:i/>
        </w:rPr>
        <w:t xml:space="preserve">AddressSpace</w:t>
      </w:r>
      <w:r>
        <w:rPr/>
        <w:t xml:space="preserve"> representation for the </w:t>
      </w:r>
      <w:r>
        <w:rPr>
          <w:i/>
        </w:rPr>
        <w:t xml:space="preserve">Unhold Method</w:t>
      </w:r>
      <w:r>
        <w:rPr/>
        <w:t xml:space="preserve">. </w:t>
      </w:r>
      <w:r>
        <w:rPr>
          <w:i/>
        </w:rPr>
        <w:t xml:space="preserve">Unhold</w:t>
      </w:r>
      <w:r>
        <w:rPr/>
        <w:t xml:space="preserve"> has no input or output parameters and has no referenced objects or variables.</w:t>
      </w:r>
    </w:p>
    <w:p>
      <w:pPr>
        <w:pStyle w:val="TABLE-title"/>
      </w:pPr>
      <w:bookmarkStart w:name="Sts_tbl_46" w:id="159"/>
      <w:r>
        <w:t xml:space="preserve">Table </w:t>
      </w:r>
      <w:r>
        <w:fldChar w:fldCharType="begin"/>
      </w:r>
      <w:r>
        <w:instrText xml:space="preserve"> SEQ Table \* ARABIC </w:instrText>
      </w:r>
      <w:r>
        <w:fldChar w:fldCharType="separate"/>
      </w:r>
      <w:r>
        <w:rPr/>
        <w:t xml:space="preserve">46</w:t>
      </w:r>
      <w:r>
        <w:fldChar w:fldCharType="end"/>
      </w:r>
      <w:bookmarkEnd w:id="159"/>
      <w:r>
        <w:t xml:space="preserve"> – </w:t>
      </w:r>
      <w:r>
        <w:rPr/>
        <w:t xml:space="preserve">Unhold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Unhold</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2" w:id="160"/>
      <w:r>
        <w:rPr/>
        <w:t xml:space="preserve">Suspend Method</w:t>
      </w:r>
      <w:bookmarkEnd w:id="16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Suspending *state.</w:t>
      </w:r>
    </w:p>
    <w:p>
      <w:pPr>
        <w:pStyle w:val="PARAGRAPH"/>
      </w:pPr>
      <w:r>
        <w:rPr>
          <w:b/>
        </w:rPr>
        <w:t xml:space="preserve">Signature</w:t>
      </w:r>
    </w:p>
    <w:p>
      <w:pPr>
        <w:pStyle w:val="CODE"/>
      </w:pPr>
      <w:r>
        <w:t xml:space="preserve">	Suspend(</w:t>
      </w:r>
      <w:r>
        <w:br/>
        <w:t xml:space="preserve">	);</w:t>
      </w:r>
    </w:p>
    <w:p>
      <w:pPr>
        <w:pStyle w:val="PARAGRAPH"/>
      </w:pPr>
      <w:r>
        <w:rPr>
          <w:i/>
        </w:rPr>
        <w:t xml:space="preserve">Method</w:t>
      </w:r>
      <w:r>
        <w:rPr/>
        <w:t xml:space="preserve"> result codes are defined in </w:t>
      </w:r>
      <w:r>
        <w:fldChar w:fldCharType="begin"/>
      </w:r>
      <w:r>
        <w:instrText xml:space="preserve"> REF Sts_tbl_47 \h \* MERGEFORMAT </w:instrText>
      </w:r>
      <w:r>
        <w:fldChar w:fldCharType="separate"/>
      </w:r>
      <w:r>
        <w:rPr/>
        <w:t xml:space="preserve">Table 47</w:t>
      </w:r>
      <w:r>
        <w:fldChar w:fldCharType="end"/>
      </w:r>
    </w:p>
    <w:p>
      <w:pPr>
        <w:pStyle w:val="TABLE-title"/>
      </w:pPr>
      <w:bookmarkStart w:name="Sts_tbl_47" w:id="161"/>
      <w:r>
        <w:t xml:space="preserve">Table </w:t>
      </w:r>
      <w:r>
        <w:fldChar w:fldCharType="begin"/>
      </w:r>
      <w:r>
        <w:instrText xml:space="preserve"> SEQ Table \* ARABIC </w:instrText>
      </w:r>
      <w:r>
        <w:fldChar w:fldCharType="separate"/>
      </w:r>
      <w:r>
        <w:rPr/>
        <w:t xml:space="preserve">47</w:t>
      </w:r>
      <w:r>
        <w:fldChar w:fldCharType="end"/>
      </w:r>
      <w:bookmarkEnd w:id="161"/>
      <w:r>
        <w:t xml:space="preserve"> – </w:t>
      </w:r>
      <w:r>
        <w:rPr/>
        <w:t xml:space="preserve">Suspend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fldChar w:fldCharType="begin"/>
      </w:r>
      <w:r>
        <w:instrText xml:space="preserve"> REF Sts_tbl_48 \h \* MERGEFORMAT </w:instrText>
      </w:r>
      <w:r>
        <w:fldChar w:fldCharType="separate"/>
      </w:r>
      <w:r>
        <w:rPr/>
        <w:t xml:space="preserve">Table 48</w:t>
      </w:r>
      <w:r>
        <w:fldChar w:fldCharType="end"/>
      </w:r>
      <w:r>
        <w:rPr/>
        <w:t xml:space="preserve"> specifies the </w:t>
      </w:r>
      <w:r>
        <w:rPr>
          <w:i/>
        </w:rPr>
        <w:t xml:space="preserve">AddressSpace</w:t>
      </w:r>
      <w:r>
        <w:rPr/>
        <w:t xml:space="preserve"> representation for the </w:t>
      </w:r>
      <w:r>
        <w:rPr>
          <w:i/>
        </w:rPr>
        <w:t xml:space="preserve">Suspend Method</w:t>
      </w:r>
      <w:r>
        <w:rPr/>
        <w:t xml:space="preserve">. </w:t>
      </w:r>
      <w:r>
        <w:rPr>
          <w:i/>
        </w:rPr>
        <w:t xml:space="preserve">Suspend</w:t>
      </w:r>
      <w:r>
        <w:rPr/>
        <w:t xml:space="preserve"> has no input or output parameters and has no referenced objects or variables.</w:t>
      </w:r>
    </w:p>
    <w:p>
      <w:pPr>
        <w:pStyle w:val="TABLE-title"/>
      </w:pPr>
      <w:bookmarkStart w:name="Sts_tbl_48" w:id="162"/>
      <w:r>
        <w:t xml:space="preserve">Table </w:t>
      </w:r>
      <w:r>
        <w:fldChar w:fldCharType="begin"/>
      </w:r>
      <w:r>
        <w:instrText xml:space="preserve"> SEQ Table \* ARABIC </w:instrText>
      </w:r>
      <w:r>
        <w:fldChar w:fldCharType="separate"/>
      </w:r>
      <w:r>
        <w:rPr/>
        <w:t xml:space="preserve">48</w:t>
      </w:r>
      <w:r>
        <w:fldChar w:fldCharType="end"/>
      </w:r>
      <w:bookmarkEnd w:id="162"/>
      <w:r>
        <w:t xml:space="preserve"> – </w:t>
      </w:r>
      <w:r>
        <w:rPr/>
        <w:t xml:space="preserve">Suspend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Suspend</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3" w:id="163"/>
      <w:r>
        <w:rPr/>
        <w:t xml:space="preserve">Unsuspend Method</w:t>
      </w:r>
      <w:bookmarkEnd w:id="16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Unsuspending</w:t>
      </w:r>
      <w:r>
        <w:rPr/>
        <w:t xml:space="preserve"> state.</w:t>
      </w:r>
    </w:p>
    <w:p>
      <w:pPr>
        <w:pStyle w:val="PARAGRAPH"/>
      </w:pPr>
      <w:r>
        <w:rPr>
          <w:b/>
        </w:rPr>
        <w:t xml:space="preserve">Signature</w:t>
      </w:r>
    </w:p>
    <w:p>
      <w:pPr>
        <w:pStyle w:val="CODE"/>
      </w:pPr>
      <w:r>
        <w:t xml:space="preserve">	Unsuspend(</w:t>
      </w:r>
      <w:r>
        <w:br/>
        <w:t xml:space="preserve">	);</w:t>
      </w:r>
    </w:p>
    <w:p>
      <w:pPr>
        <w:pStyle w:val="PARAGRAPH"/>
      </w:pPr>
      <w:r>
        <w:rPr>
          <w:i/>
        </w:rPr>
        <w:t xml:space="preserve">Method</w:t>
      </w:r>
      <w:r>
        <w:rPr/>
        <w:t xml:space="preserve"> result codes are defined in </w:t>
      </w:r>
      <w:r>
        <w:fldChar w:fldCharType="begin"/>
      </w:r>
      <w:r>
        <w:instrText xml:space="preserve"> REF Sts_tbl_49 \h \* MERGEFORMAT </w:instrText>
      </w:r>
      <w:r>
        <w:fldChar w:fldCharType="separate"/>
      </w:r>
      <w:r>
        <w:rPr/>
        <w:t xml:space="preserve">Table 49</w:t>
      </w:r>
      <w:r>
        <w:fldChar w:fldCharType="end"/>
      </w:r>
    </w:p>
    <w:p>
      <w:pPr>
        <w:pStyle w:val="TABLE-title"/>
      </w:pPr>
      <w:bookmarkStart w:name="Sts_tbl_49" w:id="164"/>
      <w:r>
        <w:t xml:space="preserve">Table </w:t>
      </w:r>
      <w:r>
        <w:fldChar w:fldCharType="begin"/>
      </w:r>
      <w:r>
        <w:instrText xml:space="preserve"> SEQ Table \* ARABIC </w:instrText>
      </w:r>
      <w:r>
        <w:fldChar w:fldCharType="separate"/>
      </w:r>
      <w:r>
        <w:rPr/>
        <w:t xml:space="preserve">49</w:t>
      </w:r>
      <w:r>
        <w:fldChar w:fldCharType="end"/>
      </w:r>
      <w:bookmarkEnd w:id="164"/>
      <w:r>
        <w:t xml:space="preserve"> – </w:t>
      </w:r>
      <w:r>
        <w:rPr/>
        <w:t xml:space="preserve">Unsuspend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fldChar w:fldCharType="begin"/>
      </w:r>
      <w:r>
        <w:instrText xml:space="preserve"> REF Sts_tbl_50 \h \* MERGEFORMAT </w:instrText>
      </w:r>
      <w:r>
        <w:fldChar w:fldCharType="separate"/>
      </w:r>
      <w:r>
        <w:rPr/>
        <w:t xml:space="preserve">Table 50</w:t>
      </w:r>
      <w:r>
        <w:fldChar w:fldCharType="end"/>
      </w:r>
      <w:r>
        <w:rPr/>
        <w:t xml:space="preserve"> specifies the </w:t>
      </w:r>
      <w:r>
        <w:rPr>
          <w:i/>
        </w:rPr>
        <w:t xml:space="preserve">AddressSpace</w:t>
      </w:r>
      <w:r>
        <w:rPr/>
        <w:t xml:space="preserve"> representation for the </w:t>
      </w:r>
      <w:r>
        <w:rPr>
          <w:i/>
        </w:rPr>
        <w:t xml:space="preserve">Unsuspend Method</w:t>
      </w:r>
      <w:r>
        <w:rPr/>
        <w:t xml:space="preserve">. </w:t>
      </w:r>
      <w:r>
        <w:rPr>
          <w:i/>
        </w:rPr>
        <w:t xml:space="preserve">Unsuspend</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50" w:id="165"/>
      <w:r>
        <w:t xml:space="preserve">Table </w:t>
      </w:r>
      <w:r>
        <w:fldChar w:fldCharType="begin"/>
      </w:r>
      <w:r>
        <w:instrText xml:space="preserve"> SEQ Table \* ARABIC </w:instrText>
      </w:r>
      <w:r>
        <w:fldChar w:fldCharType="separate"/>
      </w:r>
      <w:r>
        <w:rPr/>
        <w:t xml:space="preserve">50</w:t>
      </w:r>
      <w:r>
        <w:fldChar w:fldCharType="end"/>
      </w:r>
      <w:bookmarkEnd w:id="165"/>
      <w:r>
        <w:t xml:space="preserve"> – </w:t>
      </w:r>
      <w:r>
        <w:rPr/>
        <w:t xml:space="preserve">Unsuspend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Unsuspend</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4" w:id="166"/>
      <w:r>
        <w:rPr/>
        <w:t xml:space="preserve">Hold Method</w:t>
      </w:r>
      <w:bookmarkEnd w:id="166"/>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Holding</w:t>
      </w:r>
      <w:r>
        <w:rPr/>
        <w:t xml:space="preserve"> state.</w:t>
      </w:r>
    </w:p>
    <w:p>
      <w:pPr>
        <w:pStyle w:val="PARAGRAPH"/>
      </w:pPr>
      <w:r>
        <w:rPr>
          <w:b/>
        </w:rPr>
        <w:t xml:space="preserve">Signature</w:t>
      </w:r>
    </w:p>
    <w:p>
      <w:pPr>
        <w:pStyle w:val="CODE"/>
      </w:pPr>
      <w:r>
        <w:t xml:space="preserve">	Hold(</w:t>
      </w:r>
      <w:r>
        <w:br/>
        <w:t xml:space="preserve">	);</w:t>
      </w:r>
    </w:p>
    <w:p>
      <w:pPr>
        <w:pStyle w:val="PARAGRAPH"/>
      </w:pPr>
      <w:r>
        <w:rPr>
          <w:i/>
        </w:rPr>
        <w:t xml:space="preserve">Method</w:t>
      </w:r>
      <w:r>
        <w:rPr/>
        <w:t xml:space="preserve"> result codes are defined in </w:t>
      </w:r>
      <w:r>
        <w:fldChar w:fldCharType="begin"/>
      </w:r>
      <w:r>
        <w:instrText xml:space="preserve"> REF Sts_tbl_51 \h \* MERGEFORMAT </w:instrText>
      </w:r>
      <w:r>
        <w:fldChar w:fldCharType="separate"/>
      </w:r>
      <w:r>
        <w:rPr/>
        <w:t xml:space="preserve">Table 51</w:t>
      </w:r>
      <w:r>
        <w:fldChar w:fldCharType="end"/>
      </w:r>
    </w:p>
    <w:p>
      <w:pPr>
        <w:pStyle w:val="TABLE-title"/>
      </w:pPr>
      <w:bookmarkStart w:name="Sts_tbl_51" w:id="167"/>
      <w:r>
        <w:t xml:space="preserve">Table </w:t>
      </w:r>
      <w:r>
        <w:fldChar w:fldCharType="begin"/>
      </w:r>
      <w:r>
        <w:instrText xml:space="preserve"> SEQ Table \* ARABIC </w:instrText>
      </w:r>
      <w:r>
        <w:fldChar w:fldCharType="separate"/>
      </w:r>
      <w:r>
        <w:rPr/>
        <w:t xml:space="preserve">51</w:t>
      </w:r>
      <w:r>
        <w:fldChar w:fldCharType="end"/>
      </w:r>
      <w:bookmarkEnd w:id="167"/>
      <w:r>
        <w:t xml:space="preserve"> – </w:t>
      </w:r>
      <w:r>
        <w:rPr/>
        <w:t xml:space="preserve">Hold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fldChar w:fldCharType="begin"/>
      </w:r>
      <w:r>
        <w:instrText xml:space="preserve"> REF Sts_tbl_52 \h \* MERGEFORMAT </w:instrText>
      </w:r>
      <w:r>
        <w:fldChar w:fldCharType="separate"/>
      </w:r>
      <w:r>
        <w:rPr/>
        <w:t xml:space="preserve">Table 52</w:t>
      </w:r>
      <w:r>
        <w:fldChar w:fldCharType="end"/>
      </w:r>
      <w:r>
        <w:rPr/>
        <w:t xml:space="preserve"> specifies the </w:t>
      </w:r>
      <w:r>
        <w:rPr>
          <w:i/>
        </w:rPr>
        <w:t xml:space="preserve">AddressSpace</w:t>
      </w:r>
      <w:r>
        <w:rPr/>
        <w:t xml:space="preserve"> representation for the </w:t>
      </w:r>
      <w:r>
        <w:rPr>
          <w:i/>
        </w:rPr>
        <w:t xml:space="preserve">Hold Method</w:t>
      </w:r>
      <w:r>
        <w:rPr/>
        <w:t xml:space="preserve">. </w:t>
      </w:r>
      <w:r>
        <w:rPr>
          <w:i/>
        </w:rPr>
        <w:t xml:space="preserve">Hold</w:t>
      </w:r>
      <w:r>
        <w:rPr/>
        <w:t xml:space="preserve"> has no input or output parameters and has no referenced objects or variables.</w:t>
      </w:r>
    </w:p>
    <w:p>
      <w:pPr>
        <w:pStyle w:val="TABLE-title"/>
      </w:pPr>
      <w:bookmarkStart w:name="Sts_tbl_52" w:id="168"/>
      <w:r>
        <w:t xml:space="preserve">Table </w:t>
      </w:r>
      <w:r>
        <w:fldChar w:fldCharType="begin"/>
      </w:r>
      <w:r>
        <w:instrText xml:space="preserve"> SEQ Table \* ARABIC </w:instrText>
      </w:r>
      <w:r>
        <w:fldChar w:fldCharType="separate"/>
      </w:r>
      <w:r>
        <w:rPr/>
        <w:t xml:space="preserve">52</w:t>
      </w:r>
      <w:r>
        <w:fldChar w:fldCharType="end"/>
      </w:r>
      <w:bookmarkEnd w:id="168"/>
      <w:r>
        <w:t xml:space="preserve"> – </w:t>
      </w:r>
      <w:r>
        <w:rPr/>
        <w:t xml:space="preserve">Hold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Hold</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5" w:id="169"/>
      <w:r>
        <w:rPr/>
        <w:t xml:space="preserve">RemoteCommand Method</w:t>
      </w:r>
      <w:bookmarkEnd w:id="169"/>
    </w:p>
    <w:p>
      <w:pPr>
        <w:pStyle w:val="PARAGRAPH"/>
      </w:pPr>
      <w:r>
        <w:rPr/>
        <w:t xml:space="preserve">This </w:t>
      </w:r>
      <w:r>
        <w:rPr>
          <w:i/>
        </w:rPr>
        <w:t xml:space="preserve">Method</w:t>
      </w:r>
      <w:r>
        <w:rPr/>
        <w:t xml:space="preserve"> is used to issue a command to the UA </w:t>
      </w:r>
      <w:r>
        <w:rPr>
          <w:i/>
        </w:rPr>
        <w:t xml:space="preserve">Server</w:t>
      </w:r>
      <w:r>
        <w:rPr/>
        <w:t xml:space="preserve"> that can then be passed on to any other internal system as illustrated in </w:t>
      </w:r>
      <w:r>
        <w:fldChar w:fldCharType="begin"/>
      </w:r>
      <w:r>
        <w:instrText xml:space="preserve"> REF Sts_fig_19 \h \* MERGEFORMAT </w:instrText>
      </w:r>
      <w:r>
        <w:fldChar w:fldCharType="separate"/>
      </w:r>
      <w:r>
        <w:rPr/>
        <w:t xml:space="preserve">Figure 19</w:t>
      </w:r>
      <w:r>
        <w:fldChar w:fldCharType="end"/>
      </w:r>
      <w:r>
        <w:rPr/>
        <w:t xml:space="preserve"> or it can be used to pass information on to an upstream or downstream system as illustrated in </w:t>
      </w:r>
      <w:r>
        <w:fldChar w:fldCharType="begin"/>
      </w:r>
      <w:r>
        <w:instrText xml:space="preserve"> REF Sts_fig_20 \h \* MERGEFORMAT </w:instrText>
      </w:r>
      <w:r>
        <w:fldChar w:fldCharType="separate"/>
      </w:r>
      <w:r>
        <w:rPr/>
        <w:t xml:space="preserve">Figure 20</w:t>
      </w:r>
      <w:r>
        <w:fldChar w:fldCharType="end"/>
      </w:r>
      <w:r>
        <w:rPr/>
        <w:t xml:space="preserve">. In both cases, it is up to the UA </w:t>
      </w:r>
      <w:r>
        <w:rPr>
          <w:i/>
        </w:rPr>
        <w:t xml:space="preserve">Server</w:t>
      </w:r>
      <w:r>
        <w:rPr/>
        <w:t xml:space="preserve"> and/or the underlying system to determine when the command is passed on.</w:t>
      </w:r>
    </w:p>
    <w:p>
      <w:pPr>
        <w:pStyle w:val="FIGURE"/>
      </w:pPr>
      <w:r>
        <w:drawing>
          <wp:inline xmlns:wp="http://schemas.openxmlformats.org/drawingml/2006/wordprocessingDrawing" distT="0" distB="0" distL="0" distR="0">
            <wp:extent cx="5759450" cy="4604717"/>
            <wp:effectExtent l="0" t="0" r="0" b="0"/>
            <wp:docPr id="21" name="Figure 21" descr="Remote Command and Internal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
                    <pic:cNvPicPr/>
                  </pic:nvPicPr>
                  <pic:blipFill>
                    <a:blip r:embed="Ra72b90d637ca4aaf"/>
                    <a:stretch>
                      <a:fillRect/>
                    </a:stretch>
                  </pic:blipFill>
                  <pic:spPr>
                    <a:xfrm>
                      <a:off x="0" y="0"/>
                      <a:ext cx="5759450" cy="4604717"/>
                    </a:xfrm>
                    <a:prstGeom prst="rect">
                      <a:avLst/>
                    </a:prstGeom>
                  </pic:spPr>
                </pic:pic>
              </a:graphicData>
            </a:graphic>
          </wp:inline>
        </w:drawing>
      </w:r>
    </w:p>
    <w:p>
      <w:pPr>
        <w:pStyle w:val="FIGURE-title"/>
      </w:pPr>
      <w:bookmarkStart w:name="Sts_fig_19" w:id="170"/>
      <w:r>
        <w:t xml:space="preserve">Figure </w:t>
      </w:r>
      <w:r>
        <w:fldChar w:fldCharType="begin"/>
      </w:r>
      <w:r>
        <w:instrText xml:space="preserve"> SEQ Figure \* ARABIC </w:instrText>
      </w:r>
      <w:r>
        <w:fldChar w:fldCharType="separate"/>
      </w:r>
      <w:r>
        <w:rPr/>
        <w:t xml:space="preserve">19</w:t>
      </w:r>
      <w:r>
        <w:fldChar w:fldCharType="end"/>
      </w:r>
      <w:bookmarkEnd w:id="170"/>
      <w:r>
        <w:t xml:space="preserve"> – </w:t>
      </w:r>
      <w:r>
        <w:rPr/>
        <w:t xml:space="preserve">Remote Command and Internal systems</w:t>
      </w:r>
    </w:p>
    <w:p>
      <w:pPr>
        <w:pStyle w:val="FIGURE"/>
      </w:pPr>
      <w:r>
        <w:drawing>
          <wp:inline xmlns:wp="http://schemas.openxmlformats.org/drawingml/2006/wordprocessingDrawing" distT="0" distB="0" distL="0" distR="0">
            <wp:extent cx="5759450" cy="3967159"/>
            <wp:effectExtent l="0" t="0" r="0" b="0"/>
            <wp:docPr id="22" name="Figure 22" descr="Remote Command - Line and Upstream/Downstream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
                    <pic:cNvPicPr/>
                  </pic:nvPicPr>
                  <pic:blipFill>
                    <a:blip r:embed="R037c8854e4ed4096"/>
                    <a:stretch>
                      <a:fillRect/>
                    </a:stretch>
                  </pic:blipFill>
                  <pic:spPr>
                    <a:xfrm>
                      <a:off x="0" y="0"/>
                      <a:ext cx="5759450" cy="3967159"/>
                    </a:xfrm>
                    <a:prstGeom prst="rect">
                      <a:avLst/>
                    </a:prstGeom>
                  </pic:spPr>
                </pic:pic>
              </a:graphicData>
            </a:graphic>
          </wp:inline>
        </w:drawing>
      </w:r>
    </w:p>
    <w:p>
      <w:pPr>
        <w:pStyle w:val="FIGURE-title"/>
      </w:pPr>
      <w:bookmarkStart w:name="Sts_fig_20" w:id="171"/>
      <w:r>
        <w:t xml:space="preserve">Figure </w:t>
      </w:r>
      <w:r>
        <w:fldChar w:fldCharType="begin"/>
      </w:r>
      <w:r>
        <w:instrText xml:space="preserve"> SEQ Figure \* ARABIC </w:instrText>
      </w:r>
      <w:r>
        <w:fldChar w:fldCharType="separate"/>
      </w:r>
      <w:r>
        <w:rPr/>
        <w:t xml:space="preserve">20</w:t>
      </w:r>
      <w:r>
        <w:fldChar w:fldCharType="end"/>
      </w:r>
      <w:bookmarkEnd w:id="171"/>
      <w:r>
        <w:t xml:space="preserve"> – </w:t>
      </w:r>
      <w:r>
        <w:rPr/>
        <w:t xml:space="preserve">Remote Command - Line and Upstream/Downstream systems</w:t>
      </w:r>
    </w:p>
    <w:p>
      <w:pPr>
        <w:pStyle w:val="PARAGRAPH"/>
      </w:pPr>
      <w:r>
        <w:rPr/>
        <w:t xml:space="preserve">The </w:t>
      </w:r>
      <w:r>
        <w:rPr>
          <w:i/>
        </w:rPr>
        <w:t xml:space="preserve">RemoteCommand</w:t>
      </w:r>
      <w:r>
        <w:rPr/>
        <w:t xml:space="preserve"> Method parameters are defined in </w:t>
      </w:r>
      <w:r>
        <w:fldChar w:fldCharType="begin"/>
      </w:r>
      <w:r>
        <w:instrText xml:space="preserve"> REF Sts_tbl_53 \h \* MERGEFORMAT </w:instrText>
      </w:r>
      <w:r>
        <w:fldChar w:fldCharType="separate"/>
      </w:r>
      <w:r>
        <w:rPr/>
        <w:t xml:space="preserve">Table 53</w:t>
      </w:r>
      <w:r>
        <w:fldChar w:fldCharType="end"/>
      </w:r>
    </w:p>
    <w:p>
      <w:pPr>
        <w:pStyle w:val="PARAGRAPH"/>
      </w:pPr>
      <w:r>
        <w:rPr>
          <w:b/>
        </w:rPr>
        <w:t xml:space="preserve">Signature</w:t>
      </w:r>
    </w:p>
    <w:p>
      <w:pPr>
        <w:pStyle w:val="CODE"/>
      </w:pPr>
      <w:r>
        <w:t xml:space="preserve">	RemoteCommand(</w:t>
      </w:r>
      <w:r>
        <w:br/>
        <w:t xml:space="preserve">		[in] PackMLRemoteInterfaceDataType[] RemoteInterface</w:t>
      </w:r>
      <w:r>
        <w:br/>
        <w:t xml:space="preserve">	);</w:t>
      </w:r>
    </w:p>
    <w:p>
      <w:pPr>
        <w:pStyle w:val="TABLE-title"/>
      </w:pPr>
      <w:bookmarkStart w:name="Sts_tbl_53" w:id="172"/>
      <w:r>
        <w:t xml:space="preserve">Table </w:t>
      </w:r>
      <w:r>
        <w:fldChar w:fldCharType="begin"/>
      </w:r>
      <w:r>
        <w:instrText xml:space="preserve"> SEQ Table \* ARABIC </w:instrText>
      </w:r>
      <w:r>
        <w:fldChar w:fldCharType="separate"/>
      </w:r>
      <w:r>
        <w:rPr/>
        <w:t xml:space="preserve">53</w:t>
      </w:r>
      <w:r>
        <w:fldChar w:fldCharType="end"/>
      </w:r>
      <w:bookmarkEnd w:id="172"/>
      <w:r>
        <w:t xml:space="preserve"> – </w:t>
      </w:r>
      <w:r>
        <w:rPr/>
        <w:t xml:space="preserve">RemoteCommand Method Parameters</w:t>
      </w:r>
    </w:p>
    <w:tbl>
      <w:tblPr>
        <w:tblStyle w:val="TableGrid"/>
        <w:tblW w:w="9070" w:type="dxa"/>
        <w:tblLayout w:type="fixed"/>
      </w:tblPr>
      <w:tblGrid>
        <w:gridCol w:w="2040"/>
        <w:gridCol w:w="7030"/>
      </w:tblGrid>
      <w:tr>
        <w:trPr>
          <w:tblHeader/>
        </w:trPr>
        <w:tc>
          <w:tcPr>
            <w:tcW w:w="2040" w:type="dxa"/>
            <w:vAlign w:val="center"/>
          </w:tcPr>
          <w:p>
            <w:pPr>
              <w:pStyle w:val="TABLE-col-heading"/>
              <w:jc w:val="left"/>
            </w:pPr>
            <w:r>
              <w:rPr/>
              <w:t xml:space="preserve">Argument</w:t>
            </w:r>
          </w:p>
        </w:tc>
        <w:tc>
          <w:tcPr>
            <w:tcW w:w="7030" w:type="dxa"/>
            <w:vAlign w:val="center"/>
          </w:tcPr>
          <w:p>
            <w:pPr>
              <w:pStyle w:val="TABLE-col-heading"/>
              <w:jc w:val="left"/>
            </w:pPr>
            <w:r>
              <w:rPr/>
              <w:t xml:space="preserve">Description</w:t>
            </w:r>
          </w:p>
        </w:tc>
      </w:tr>
      <w:tr>
        <w:tc>
          <w:tcPr>
            <w:tcW w:w="2040" w:type="dxa"/>
            <w:vAlign w:val="center"/>
          </w:tcPr>
          <w:p>
            <w:pPr>
              <w:pStyle w:val="TABLE-cell"/>
            </w:pPr>
            <w:r>
              <w:rPr/>
              <w:t xml:space="preserve">RemoteInterface</w:t>
            </w:r>
          </w:p>
        </w:tc>
        <w:tc>
          <w:tcPr>
            <w:tcW w:w="7030" w:type="dxa"/>
            <w:vAlign w:val="center"/>
          </w:tcPr>
          <w:p>
            <w:pPr>
              <w:pStyle w:val="TABLE-cell"/>
            </w:pPr>
            <w:r>
              <w:rPr/>
              <w:t xml:space="preserve">This structure is an array of remote interface information which include Number, ControlCmdNumber, CmdValue and Parameter. Parameter itself is a structure formally defined in </w:t>
            </w:r>
            <w:r>
              <w:fldChar w:fldCharType="begin"/>
            </w:r>
            <w:r>
              <w:instrText xml:space="preserve"> REF Sts_sec_6_5_4 \r \h \* MERGEFORMAT </w:instrText>
            </w:r>
            <w:r>
              <w:fldChar w:fldCharType="separate"/>
            </w:r>
            <w:r>
              <w:rPr/>
              <w:t xml:space="preserve">6.5.4</w:t>
            </w:r>
            <w:r>
              <w:fldChar w:fldCharType="end"/>
            </w:r>
            <w:r>
              <w:rPr/>
              <w:t xml:space="preserve">. The PackMLRemoteInterfaceDataType is formally defined in </w:t>
            </w:r>
            <w:r>
              <w:fldChar w:fldCharType="begin"/>
            </w:r>
            <w:r>
              <w:instrText xml:space="preserve"> REF Sts_sec_6_5_7 \r \h \* MERGEFORMAT </w:instrText>
            </w:r>
            <w:r>
              <w:fldChar w:fldCharType="separate"/>
            </w:r>
            <w:r>
              <w:rPr/>
              <w:t xml:space="preserve">6.5.7</w:t>
            </w:r>
            <w:r>
              <w:fldChar w:fldCharType="end"/>
            </w:r>
          </w:p>
        </w:tc>
      </w:tr>
    </w:tbl>
    <w:p>
      <w:pPr>
        <w:pStyle w:val="spacer"/>
      </w:pPr>
    </w:p>
    <w:p>
      <w:pPr>
        <w:pStyle w:val="PARAGRAPH"/>
      </w:pPr>
      <w:r>
        <w:rPr>
          <w:i/>
        </w:rPr>
        <w:t xml:space="preserve">Method</w:t>
      </w:r>
      <w:r>
        <w:rPr/>
        <w:t xml:space="preserve"> result codes are defined in </w:t>
      </w:r>
      <w:r>
        <w:fldChar w:fldCharType="begin"/>
      </w:r>
      <w:r>
        <w:instrText xml:space="preserve"> REF Sts_tbl_54 \h \* MERGEFORMAT </w:instrText>
      </w:r>
      <w:r>
        <w:fldChar w:fldCharType="separate"/>
      </w:r>
      <w:r>
        <w:rPr/>
        <w:t xml:space="preserve">Table 54</w:t>
      </w:r>
      <w:r>
        <w:fldChar w:fldCharType="end"/>
      </w:r>
      <w:r>
        <w:rPr/>
        <w:t xml:space="preserve">.</w:t>
      </w:r>
    </w:p>
    <w:p>
      <w:pPr>
        <w:pStyle w:val="TABLE-title"/>
      </w:pPr>
      <w:bookmarkStart w:name="Sts_tbl_54" w:id="173"/>
      <w:r>
        <w:t xml:space="preserve">Table </w:t>
      </w:r>
      <w:r>
        <w:fldChar w:fldCharType="begin"/>
      </w:r>
      <w:r>
        <w:instrText xml:space="preserve"> SEQ Table \* ARABIC </w:instrText>
      </w:r>
      <w:r>
        <w:fldChar w:fldCharType="separate"/>
      </w:r>
      <w:r>
        <w:rPr/>
        <w:t xml:space="preserve">54</w:t>
      </w:r>
      <w:r>
        <w:fldChar w:fldCharType="end"/>
      </w:r>
      <w:bookmarkEnd w:id="173"/>
      <w:r>
        <w:t xml:space="preserve"> – </w:t>
      </w:r>
      <w:r>
        <w:rPr/>
        <w:t xml:space="preserve">RemoteCommand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Sts_tbl_55 \h \* MERGEFORMAT </w:instrText>
      </w:r>
      <w:r>
        <w:fldChar w:fldCharType="separate"/>
      </w:r>
      <w:r>
        <w:rPr/>
        <w:t xml:space="preserve">Table 55</w:t>
      </w:r>
      <w:r>
        <w:fldChar w:fldCharType="end"/>
      </w:r>
      <w:r>
        <w:rPr/>
        <w:t xml:space="preserve"> specifies the </w:t>
      </w:r>
      <w:r>
        <w:rPr>
          <w:i/>
        </w:rPr>
        <w:t xml:space="preserve">AddressSpace</w:t>
      </w:r>
      <w:r>
        <w:rPr/>
        <w:t xml:space="preserve"> representation for the </w:t>
      </w:r>
      <w:r>
        <w:rPr>
          <w:i/>
        </w:rPr>
        <w:t xml:space="preserve">RemoteCommand Method</w:t>
      </w:r>
      <w:r>
        <w:rPr/>
        <w:t xml:space="preserve">. </w:t>
      </w:r>
      <w:r>
        <w:rPr>
          <w:i/>
        </w:rPr>
        <w:t xml:space="preserve">RemoteCommand</w:t>
      </w:r>
      <w:r>
        <w:rPr/>
        <w:t xml:space="preserve"> includes an array of </w:t>
      </w:r>
      <w:r>
        <w:rPr>
          <w:i/>
        </w:rPr>
        <w:t xml:space="preserve">InputArguments</w:t>
      </w:r>
      <w:r>
        <w:rPr/>
        <w:t xml:space="preserve">, where the input argument details are provided in </w:t>
      </w:r>
      <w:r>
        <w:fldChar w:fldCharType="begin"/>
      </w:r>
      <w:r>
        <w:instrText xml:space="preserve"> REF Sts_tbl_53 \h \* MERGEFORMAT </w:instrText>
      </w:r>
      <w:r>
        <w:fldChar w:fldCharType="separate"/>
      </w:r>
      <w:r>
        <w:rPr/>
        <w:t xml:space="preserve">Table 53</w:t>
      </w:r>
      <w:r>
        <w:fldChar w:fldCharType="end"/>
      </w:r>
      <w:r>
        <w:rPr/>
        <w:t xml:space="preserve">.</w:t>
      </w:r>
    </w:p>
    <w:p>
      <w:pPr>
        <w:pStyle w:val="TABLE-title"/>
      </w:pPr>
      <w:bookmarkStart w:name="Sts_tbl_55" w:id="174"/>
      <w:r>
        <w:t xml:space="preserve">Table </w:t>
      </w:r>
      <w:r>
        <w:fldChar w:fldCharType="begin"/>
      </w:r>
      <w:r>
        <w:instrText xml:space="preserve"> SEQ Table \* ARABIC </w:instrText>
      </w:r>
      <w:r>
        <w:fldChar w:fldCharType="separate"/>
      </w:r>
      <w:r>
        <w:rPr/>
        <w:t xml:space="preserve">55</w:t>
      </w:r>
      <w:r>
        <w:fldChar w:fldCharType="end"/>
      </w:r>
      <w:bookmarkEnd w:id="174"/>
      <w:r>
        <w:t xml:space="preserve"> – </w:t>
      </w:r>
      <w:r>
        <w:rPr/>
        <w:t xml:space="preserve">RemoteCommand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RemoteCommand</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16" w:id="175"/>
      <w:r>
        <w:rPr/>
        <w:t xml:space="preserve">SetInterlock Method</w:t>
      </w:r>
      <w:bookmarkEnd w:id="175"/>
    </w:p>
    <w:p>
      <w:pPr>
        <w:pStyle w:val="PARAGRAPH"/>
      </w:pPr>
      <w:r>
        <w:rPr/>
        <w:t xml:space="preserve">This </w:t>
      </w:r>
      <w:r>
        <w:rPr>
          <w:i/>
        </w:rPr>
        <w:t xml:space="preserve">Method</w:t>
      </w:r>
      <w:r>
        <w:rPr/>
        <w:t xml:space="preserve"> allows an OPC UA </w:t>
      </w:r>
      <w:r>
        <w:rPr>
          <w:i/>
        </w:rPr>
        <w:t xml:space="preserve">Client</w:t>
      </w:r>
      <w:r>
        <w:rPr/>
        <w:t xml:space="preserve"> to set an interlock associated with this PackML system parameter. The parameters for the </w:t>
      </w:r>
      <w:r>
        <w:rPr>
          <w:i/>
        </w:rPr>
        <w:t xml:space="preserve">SetInterlock</w:t>
      </w:r>
      <w:r>
        <w:rPr/>
        <w:t xml:space="preserve"> </w:t>
      </w:r>
      <w:r>
        <w:rPr>
          <w:i/>
        </w:rPr>
        <w:t xml:space="preserve">Method</w:t>
      </w:r>
      <w:r>
        <w:rPr/>
        <w:t xml:space="preserve"> are defined in </w:t>
      </w:r>
      <w:r>
        <w:fldChar w:fldCharType="begin"/>
      </w:r>
      <w:r>
        <w:instrText xml:space="preserve"> REF Sts_tbl_56 \h \* MERGEFORMAT </w:instrText>
      </w:r>
      <w:r>
        <w:fldChar w:fldCharType="separate"/>
      </w:r>
      <w:r>
        <w:rPr/>
        <w:t xml:space="preserve">Table 56</w:t>
      </w:r>
      <w:r>
        <w:fldChar w:fldCharType="end"/>
      </w:r>
      <w:r>
        <w:rPr/>
        <w:t xml:space="preserve">.</w:t>
      </w:r>
    </w:p>
    <w:p>
      <w:pPr>
        <w:pStyle w:val="PARAGRAPH"/>
      </w:pPr>
      <w:r>
        <w:rPr>
          <w:b/>
        </w:rPr>
        <w:t xml:space="preserve">Signature</w:t>
      </w:r>
    </w:p>
    <w:p>
      <w:pPr>
        <w:pStyle w:val="CODE"/>
      </w:pPr>
      <w:r>
        <w:t xml:space="preserve">	SetInterlock(</w:t>
      </w:r>
      <w:r>
        <w:br/>
        <w:t xml:space="preserve">	 	 [in] Int32 InterlockId,</w:t>
      </w:r>
      <w:r>
        <w:br/>
        <w:t xml:space="preserve">	 	 [in] Boolean State</w:t>
      </w:r>
      <w:r>
        <w:br/>
        <w:t xml:space="preserve">	);</w:t>
      </w:r>
    </w:p>
    <w:p>
      <w:pPr>
        <w:pStyle w:val="TABLE-title"/>
      </w:pPr>
      <w:bookmarkStart w:name="Sts_tbl_56" w:id="176"/>
      <w:r>
        <w:t xml:space="preserve">Table </w:t>
      </w:r>
      <w:r>
        <w:fldChar w:fldCharType="begin"/>
      </w:r>
      <w:r>
        <w:instrText xml:space="preserve"> SEQ Table \* ARABIC </w:instrText>
      </w:r>
      <w:r>
        <w:fldChar w:fldCharType="separate"/>
      </w:r>
      <w:r>
        <w:rPr/>
        <w:t xml:space="preserve">56</w:t>
      </w:r>
      <w:r>
        <w:fldChar w:fldCharType="end"/>
      </w:r>
      <w:bookmarkEnd w:id="176"/>
      <w:r>
        <w:t xml:space="preserve"> – </w:t>
      </w:r>
      <w:r>
        <w:rPr/>
        <w:t xml:space="preserve">SetInterlock Method Parameters</w:t>
      </w:r>
    </w:p>
    <w:tbl>
      <w:tblPr>
        <w:tblStyle w:val="TableGrid"/>
        <w:tblW w:w="9070" w:type="dxa"/>
        <w:tblLayout w:type="fixed"/>
      </w:tblPr>
      <w:tblGrid>
        <w:gridCol w:w="1560"/>
        <w:gridCol w:w="7510"/>
      </w:tblGrid>
      <w:tr>
        <w:trPr>
          <w:tblHeader/>
        </w:trPr>
        <w:tc>
          <w:tcPr>
            <w:tcW w:w="1560" w:type="dxa"/>
            <w:vAlign w:val="center"/>
          </w:tcPr>
          <w:p>
            <w:pPr>
              <w:pStyle w:val="TABLE-col-heading"/>
              <w:jc w:val="left"/>
            </w:pPr>
            <w:r>
              <w:rPr/>
              <w:t xml:space="preserve">Argument</w:t>
            </w:r>
          </w:p>
        </w:tc>
        <w:tc>
          <w:tcPr>
            <w:tcW w:w="7510" w:type="dxa"/>
            <w:vAlign w:val="center"/>
          </w:tcPr>
          <w:p>
            <w:pPr>
              <w:pStyle w:val="TABLE-col-heading"/>
              <w:jc w:val="left"/>
            </w:pPr>
            <w:r>
              <w:rPr/>
              <w:t xml:space="preserve">Description</w:t>
            </w:r>
          </w:p>
        </w:tc>
      </w:tr>
      <w:tr>
        <w:tc>
          <w:tcPr>
            <w:tcW w:w="1560" w:type="dxa"/>
            <w:vAlign w:val="center"/>
          </w:tcPr>
          <w:p>
            <w:pPr>
              <w:pStyle w:val="TABLE-cell"/>
            </w:pPr>
            <w:r>
              <w:rPr/>
              <w:t xml:space="preserve">InterlockId</w:t>
            </w:r>
          </w:p>
        </w:tc>
        <w:tc>
          <w:tcPr>
            <w:tcW w:w="7510" w:type="dxa"/>
            <w:vAlign w:val="center"/>
          </w:tcPr>
          <w:p>
            <w:pPr>
              <w:pStyle w:val="TABLE-cell"/>
            </w:pPr>
            <w:r>
              <w:rPr/>
              <w:t xml:space="preserve">ID of the target interlock to set or reset. The ID typically refer to the element in the Boolean Array in the MaterialInterlock tag.</w:t>
            </w:r>
          </w:p>
        </w:tc>
      </w:tr>
      <w:tr>
        <w:tc>
          <w:tcPr>
            <w:tcW w:w="1560" w:type="dxa"/>
            <w:vAlign w:val="center"/>
          </w:tcPr>
          <w:p>
            <w:pPr>
              <w:pStyle w:val="TABLE-cell"/>
            </w:pPr>
            <w:r>
              <w:rPr/>
              <w:t xml:space="preserve">State</w:t>
            </w:r>
          </w:p>
        </w:tc>
        <w:tc>
          <w:tcPr>
            <w:tcW w:w="7510" w:type="dxa"/>
            <w:vAlign w:val="center"/>
          </w:tcPr>
          <w:p>
            <w:pPr>
              <w:pStyle w:val="TABLE-cell"/>
            </w:pPr>
            <w:r>
              <w:rPr/>
              <w:t xml:space="preserve">The state that the targeted interlock should be set to. True is set to interlocked, false is not interlocked.</w:t>
            </w:r>
          </w:p>
        </w:tc>
      </w:tr>
    </w:tbl>
    <w:p>
      <w:pPr>
        <w:pStyle w:val="spacer"/>
      </w:pPr>
    </w:p>
    <w:p>
      <w:pPr>
        <w:pStyle w:val="PARAGRAPH"/>
      </w:pPr>
      <w:r>
        <w:rPr>
          <w:i/>
        </w:rPr>
        <w:t xml:space="preserve">Method</w:t>
      </w:r>
      <w:r>
        <w:rPr/>
        <w:t xml:space="preserve"> result codes are defined in </w:t>
      </w:r>
      <w:r>
        <w:fldChar w:fldCharType="begin"/>
      </w:r>
      <w:r>
        <w:instrText xml:space="preserve"> REF Sts_tbl_57 \h \* MERGEFORMAT </w:instrText>
      </w:r>
      <w:r>
        <w:fldChar w:fldCharType="separate"/>
      </w:r>
      <w:r>
        <w:rPr/>
        <w:t xml:space="preserve">Table 57</w:t>
      </w:r>
      <w:r>
        <w:fldChar w:fldCharType="end"/>
      </w:r>
    </w:p>
    <w:p>
      <w:pPr>
        <w:pStyle w:val="TABLE-title"/>
      </w:pPr>
      <w:bookmarkStart w:name="Sts_tbl_57" w:id="177"/>
      <w:r>
        <w:t xml:space="preserve">Table </w:t>
      </w:r>
      <w:r>
        <w:fldChar w:fldCharType="begin"/>
      </w:r>
      <w:r>
        <w:instrText xml:space="preserve"> SEQ Table \* ARABIC </w:instrText>
      </w:r>
      <w:r>
        <w:fldChar w:fldCharType="separate"/>
      </w:r>
      <w:r>
        <w:rPr/>
        <w:t xml:space="preserve">57</w:t>
      </w:r>
      <w:r>
        <w:fldChar w:fldCharType="end"/>
      </w:r>
      <w:bookmarkEnd w:id="177"/>
      <w:r>
        <w:t xml:space="preserve"> – </w:t>
      </w:r>
      <w:r>
        <w:rPr/>
        <w:t xml:space="preserve">SetInterlock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Sts_tbl_58 \h \* MERGEFORMAT </w:instrText>
      </w:r>
      <w:r>
        <w:fldChar w:fldCharType="separate"/>
      </w:r>
      <w:r>
        <w:rPr/>
        <w:t xml:space="preserve">Table 58</w:t>
      </w:r>
      <w:r>
        <w:fldChar w:fldCharType="end"/>
      </w:r>
      <w:r>
        <w:rPr/>
        <w:t xml:space="preserve"> specifies the </w:t>
      </w:r>
      <w:r>
        <w:rPr>
          <w:i/>
        </w:rPr>
        <w:t xml:space="preserve">AddressSpace</w:t>
      </w:r>
      <w:r>
        <w:rPr/>
        <w:t xml:space="preserve"> representation for the </w:t>
      </w:r>
      <w:r>
        <w:rPr>
          <w:i/>
        </w:rPr>
        <w:t xml:space="preserve">SetInterlock Method</w:t>
      </w:r>
      <w:r>
        <w:rPr/>
        <w:t xml:space="preserve">. </w:t>
      </w:r>
      <w:r>
        <w:rPr>
          <w:i/>
        </w:rPr>
        <w:t xml:space="preserve">SetInterlock</w:t>
      </w:r>
      <w:r>
        <w:rPr/>
        <w:t xml:space="preserve"> includes an array of </w:t>
      </w:r>
      <w:r>
        <w:rPr>
          <w:i/>
        </w:rPr>
        <w:t xml:space="preserve">InputArguments</w:t>
      </w:r>
      <w:r>
        <w:rPr/>
        <w:t xml:space="preserve">, where the input argument details are provided in </w:t>
      </w:r>
      <w:r>
        <w:fldChar w:fldCharType="begin"/>
      </w:r>
      <w:r>
        <w:instrText xml:space="preserve"> REF Sts_tbl_56 \h \* MERGEFORMAT </w:instrText>
      </w:r>
      <w:r>
        <w:fldChar w:fldCharType="separate"/>
      </w:r>
      <w:r>
        <w:rPr/>
        <w:t xml:space="preserve">Table 56</w:t>
      </w:r>
      <w:r>
        <w:fldChar w:fldCharType="end"/>
      </w:r>
      <w:r>
        <w:rPr/>
        <w:t xml:space="preserve">.</w:t>
      </w:r>
    </w:p>
    <w:p>
      <w:pPr>
        <w:pStyle w:val="TABLE-title"/>
      </w:pPr>
      <w:bookmarkStart w:name="Sts_tbl_58" w:id="178"/>
      <w:r>
        <w:t xml:space="preserve">Table </w:t>
      </w:r>
      <w:r>
        <w:fldChar w:fldCharType="begin"/>
      </w:r>
      <w:r>
        <w:instrText xml:space="preserve"> SEQ Table \* ARABIC </w:instrText>
      </w:r>
      <w:r>
        <w:fldChar w:fldCharType="separate"/>
      </w:r>
      <w:r>
        <w:rPr/>
        <w:t xml:space="preserve">58</w:t>
      </w:r>
      <w:r>
        <w:fldChar w:fldCharType="end"/>
      </w:r>
      <w:bookmarkEnd w:id="178"/>
      <w:r>
        <w:t xml:space="preserve"> – </w:t>
      </w:r>
      <w:r>
        <w:rPr/>
        <w:t xml:space="preserve">SetInterlock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SetInterlock</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17" w:id="179"/>
      <w:r>
        <w:rPr/>
        <w:t xml:space="preserve">SetParameter Method</w:t>
      </w:r>
      <w:bookmarkEnd w:id="179"/>
    </w:p>
    <w:p>
      <w:pPr>
        <w:pStyle w:val="PARAGRAPH"/>
      </w:pPr>
      <w:r>
        <w:rPr/>
        <w:t xml:space="preserve">This </w:t>
      </w:r>
      <w:r>
        <w:rPr>
          <w:i/>
        </w:rPr>
        <w:t xml:space="preserve">Method</w:t>
      </w:r>
      <w:r>
        <w:rPr/>
        <w:t xml:space="preserve"> allows an OPC UA </w:t>
      </w:r>
      <w:r>
        <w:rPr>
          <w:i/>
        </w:rPr>
        <w:t xml:space="preserve">Client</w:t>
      </w:r>
      <w:r>
        <w:rPr/>
        <w:t xml:space="preserve"> to set the parameters that are by the machine.</w:t>
      </w:r>
    </w:p>
    <w:p>
      <w:pPr>
        <w:pStyle w:val="PARAGRAPH"/>
      </w:pPr>
      <w:r>
        <w:rPr>
          <w:b/>
        </w:rPr>
        <w:t xml:space="preserve">Signature</w:t>
      </w:r>
    </w:p>
    <w:p>
      <w:pPr>
        <w:pStyle w:val="CODE"/>
      </w:pPr>
      <w:r>
        <w:t xml:space="preserve">	SetParameter(</w:t>
      </w:r>
      <w:r>
        <w:br/>
        <w:t xml:space="preserve">		 [in] PackMLDescriptorDataType[] Parameter</w:t>
      </w:r>
      <w:r>
        <w:br/>
        <w:t xml:space="preserve">	);</w:t>
      </w:r>
    </w:p>
    <w:p>
      <w:pPr>
        <w:pStyle w:val="TABLE-title"/>
      </w:pPr>
      <w:bookmarkStart w:name="Sts_tbl_59" w:id="180"/>
      <w:r>
        <w:t xml:space="preserve">Table </w:t>
      </w:r>
      <w:r>
        <w:fldChar w:fldCharType="begin"/>
      </w:r>
      <w:r>
        <w:instrText xml:space="preserve"> SEQ Table \* ARABIC </w:instrText>
      </w:r>
      <w:r>
        <w:fldChar w:fldCharType="separate"/>
      </w:r>
      <w:r>
        <w:rPr/>
        <w:t xml:space="preserve">59</w:t>
      </w:r>
      <w:r>
        <w:fldChar w:fldCharType="end"/>
      </w:r>
      <w:bookmarkEnd w:id="180"/>
      <w:r>
        <w:t xml:space="preserve"> – </w:t>
      </w:r>
      <w:r>
        <w:rPr/>
        <w:t xml:space="preserve">SetParameter Method Parameters</w:t>
      </w:r>
    </w:p>
    <w:tbl>
      <w:tblPr>
        <w:tblStyle w:val="TableGrid"/>
        <w:tblW w:w="9070" w:type="dxa"/>
        <w:tblLayout w:type="fixed"/>
      </w:tblPr>
      <w:tblGrid>
        <w:gridCol w:w="1320"/>
        <w:gridCol w:w="7750"/>
      </w:tblGrid>
      <w:tr>
        <w:trPr>
          <w:tblHeader/>
        </w:trPr>
        <w:tc>
          <w:tcPr>
            <w:tcW w:w="1320" w:type="dxa"/>
            <w:vAlign w:val="center"/>
          </w:tcPr>
          <w:p>
            <w:pPr>
              <w:pStyle w:val="TABLE-col-heading"/>
              <w:jc w:val="left"/>
            </w:pPr>
            <w:r>
              <w:rPr/>
              <w:t xml:space="preserve">Argument</w:t>
            </w:r>
          </w:p>
        </w:tc>
        <w:tc>
          <w:tcPr>
            <w:tcW w:w="7750" w:type="dxa"/>
            <w:vAlign w:val="center"/>
          </w:tcPr>
          <w:p>
            <w:pPr>
              <w:pStyle w:val="TABLE-col-heading"/>
              <w:jc w:val="left"/>
            </w:pPr>
            <w:r>
              <w:rPr/>
              <w:t xml:space="preserve">Description</w:t>
            </w:r>
          </w:p>
        </w:tc>
      </w:tr>
      <w:tr>
        <w:tc>
          <w:tcPr>
            <w:tcW w:w="1320" w:type="dxa"/>
            <w:vAlign w:val="center"/>
          </w:tcPr>
          <w:p>
            <w:pPr>
              <w:pStyle w:val="TABLE-cell"/>
            </w:pPr>
            <w:r>
              <w:rPr/>
              <w:t xml:space="preserve">Parameter</w:t>
            </w:r>
          </w:p>
        </w:tc>
        <w:tc>
          <w:tcPr>
            <w:tcW w:w="7750" w:type="dxa"/>
            <w:vAlign w:val="center"/>
          </w:tcPr>
          <w:p>
            <w:pPr>
              <w:pStyle w:val="TABLE-cell"/>
            </w:pPr>
            <w:r>
              <w:rPr/>
              <w:t xml:space="preserve">The array of parameter that can be used by the method</w:t>
            </w:r>
          </w:p>
        </w:tc>
      </w:tr>
    </w:tbl>
    <w:p>
      <w:pPr>
        <w:pStyle w:val="spacer"/>
      </w:pPr>
    </w:p>
    <w:p>
      <w:pPr>
        <w:pStyle w:val="PARAGRAPH"/>
      </w:pPr>
      <w:r>
        <w:rPr>
          <w:i/>
        </w:rPr>
        <w:t xml:space="preserve">Method</w:t>
      </w:r>
      <w:r>
        <w:rPr/>
        <w:t xml:space="preserve"> result codes are defined in </w:t>
      </w:r>
      <w:r>
        <w:fldChar w:fldCharType="begin"/>
      </w:r>
      <w:r>
        <w:instrText xml:space="preserve"> REF Sts_tbl_60 \h \* MERGEFORMAT </w:instrText>
      </w:r>
      <w:r>
        <w:fldChar w:fldCharType="separate"/>
      </w:r>
      <w:r>
        <w:rPr/>
        <w:t xml:space="preserve">Table 60</w:t>
      </w:r>
      <w:r>
        <w:fldChar w:fldCharType="end"/>
      </w:r>
    </w:p>
    <w:p>
      <w:pPr>
        <w:pStyle w:val="TABLE-title"/>
      </w:pPr>
      <w:bookmarkStart w:name="Sts_tbl_60" w:id="181"/>
      <w:r>
        <w:t xml:space="preserve">Table </w:t>
      </w:r>
      <w:r>
        <w:fldChar w:fldCharType="begin"/>
      </w:r>
      <w:r>
        <w:instrText xml:space="preserve"> SEQ Table \* ARABIC </w:instrText>
      </w:r>
      <w:r>
        <w:fldChar w:fldCharType="separate"/>
      </w:r>
      <w:r>
        <w:rPr/>
        <w:t xml:space="preserve">60</w:t>
      </w:r>
      <w:r>
        <w:fldChar w:fldCharType="end"/>
      </w:r>
      <w:bookmarkEnd w:id="181"/>
      <w:r>
        <w:t xml:space="preserve"> – </w:t>
      </w:r>
      <w:r>
        <w:rPr/>
        <w:t xml:space="preserve">SetParameter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 If a machine determines that it is not in a state that allows parameter changes this error is returned.</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bl>
    <w:p>
      <w:pPr>
        <w:pStyle w:val="spacer"/>
      </w:pPr>
    </w:p>
    <w:p>
      <w:pPr>
        <w:pStyle w:val="PARAGRAPH"/>
      </w:pPr>
      <w:r>
        <w:fldChar w:fldCharType="begin"/>
      </w:r>
      <w:r>
        <w:instrText xml:space="preserve"> REF Sts_tbl_61 \h \* MERGEFORMAT </w:instrText>
      </w:r>
      <w:r>
        <w:fldChar w:fldCharType="separate"/>
      </w:r>
      <w:r>
        <w:rPr/>
        <w:t xml:space="preserve">Table 61</w:t>
      </w:r>
      <w:r>
        <w:fldChar w:fldCharType="end"/>
      </w:r>
      <w:r>
        <w:rPr/>
        <w:t xml:space="preserve"> specifies the </w:t>
      </w:r>
      <w:r>
        <w:rPr>
          <w:i/>
        </w:rPr>
        <w:t xml:space="preserve">AddressSpace</w:t>
      </w:r>
      <w:r>
        <w:rPr/>
        <w:t xml:space="preserve"> representation for the </w:t>
      </w:r>
      <w:r>
        <w:rPr>
          <w:i/>
        </w:rPr>
        <w:t xml:space="preserve">SetParameter Method</w:t>
      </w:r>
      <w:r>
        <w:rPr/>
        <w:t xml:space="preserve">. </w:t>
      </w:r>
      <w:r>
        <w:rPr>
          <w:i/>
        </w:rPr>
        <w:t xml:space="preserve">SetParameter</w:t>
      </w:r>
      <w:r>
        <w:rPr/>
        <w:t xml:space="preserve"> includes an array of </w:t>
      </w:r>
      <w:r>
        <w:rPr>
          <w:i/>
        </w:rPr>
        <w:t xml:space="preserve">InputArguments</w:t>
      </w:r>
      <w:r>
        <w:rPr/>
        <w:t xml:space="preserve">, where the input argument details are provided in </w:t>
      </w:r>
      <w:r>
        <w:fldChar w:fldCharType="begin"/>
      </w:r>
      <w:r>
        <w:instrText xml:space="preserve"> REF Sts_tbl_59 \h \* MERGEFORMAT </w:instrText>
      </w:r>
      <w:r>
        <w:fldChar w:fldCharType="separate"/>
      </w:r>
      <w:r>
        <w:rPr/>
        <w:t xml:space="preserve">Table 59</w:t>
      </w:r>
      <w:r>
        <w:fldChar w:fldCharType="end"/>
      </w:r>
      <w:r>
        <w:rPr/>
        <w:t xml:space="preserve">.</w:t>
      </w:r>
    </w:p>
    <w:p>
      <w:pPr>
        <w:pStyle w:val="TABLE-title"/>
      </w:pPr>
      <w:bookmarkStart w:name="Sts_tbl_61" w:id="182"/>
      <w:r>
        <w:t xml:space="preserve">Table </w:t>
      </w:r>
      <w:r>
        <w:fldChar w:fldCharType="begin"/>
      </w:r>
      <w:r>
        <w:instrText xml:space="preserve"> SEQ Table \* ARABIC </w:instrText>
      </w:r>
      <w:r>
        <w:fldChar w:fldCharType="separate"/>
      </w:r>
      <w:r>
        <w:rPr/>
        <w:t xml:space="preserve">61</w:t>
      </w:r>
      <w:r>
        <w:fldChar w:fldCharType="end"/>
      </w:r>
      <w:bookmarkEnd w:id="182"/>
      <w:r>
        <w:t xml:space="preserve"> – </w:t>
      </w:r>
      <w:r>
        <w:rPr/>
        <w:t xml:space="preserve">SetParameter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SetParameter</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2"/>
      </w:pPr>
      <w:bookmarkStart w:name="Sts_sec_6_8" w:id="183"/>
      <w:r>
        <w:rPr/>
        <w:t xml:space="preserve">Alarms</w:t>
      </w:r>
      <w:bookmarkEnd w:id="183"/>
    </w:p>
    <w:p>
      <w:pPr>
        <w:pStyle w:val="Heading3"/>
      </w:pPr>
      <w:bookmarkStart w:name="Sts_sec_6_8_1" w:id="184"/>
      <w:r>
        <w:rPr/>
        <w:t xml:space="preserve">Overview</w:t>
      </w:r>
      <w:bookmarkEnd w:id="184"/>
    </w:p>
    <w:p>
      <w:pPr>
        <w:pStyle w:val="PARAGRAPH"/>
      </w:pPr>
      <w:r>
        <w:rPr/>
        <w:t xml:space="preserve">The section defines alarms. Alarms in PackML are provided via a set of tags. Alarms in OPC UA are provided via events and a full alarming system. This is a preferred method for providing alarms, but it does require some additional overhead. To allow the PackML information model to be implemented in smaller devices it was decided to initially support the existing Tag based representation of Alarm information, and to add the OPC UA </w:t>
      </w:r>
      <w:r>
        <w:rPr>
          <w:i/>
        </w:rPr>
        <w:t xml:space="preserve">Event</w:t>
      </w:r>
      <w:r>
        <w:rPr/>
        <w:t xml:space="preserve"> based definition of alarms in the next release. </w:t>
      </w:r>
      <w:r>
        <w:rPr>
          <w:i/>
        </w:rPr>
        <w:t xml:space="preserve">Servers</w:t>
      </w:r>
      <w:r>
        <w:rPr/>
        <w:t xml:space="preserve"> shall be able to report alarms in both manners, and </w:t>
      </w:r>
      <w:r>
        <w:rPr>
          <w:i/>
        </w:rPr>
        <w:t xml:space="preserve">Clients</w:t>
      </w:r>
      <w:r>
        <w:rPr/>
        <w:t xml:space="preserve"> can use the manner that is most appropriate for them. Some smaller device might find it easier to just access the tags for Alarm information, but display system or other HMIs would probably make use of the OPC UA </w:t>
      </w:r>
      <w:r>
        <w:rPr>
          <w:i/>
        </w:rPr>
        <w:t xml:space="preserve">Event</w:t>
      </w:r>
      <w:r>
        <w:rPr/>
        <w:t xml:space="preserve"> based system for alarming.</w:t>
      </w:r>
    </w:p>
    <w:p>
      <w:pPr>
        <w:pStyle w:val="Heading3"/>
      </w:pPr>
      <w:bookmarkStart w:name="Sts_sec_6_8_2" w:id="185"/>
      <w:r>
        <w:rPr/>
        <w:t xml:space="preserve">Alarm Tags</w:t>
      </w:r>
      <w:bookmarkEnd w:id="185"/>
    </w:p>
    <w:p>
      <w:pPr>
        <w:pStyle w:val="Heading4"/>
      </w:pPr>
      <w:bookmarkStart w:name="Sts_sec_6_8_2_1" w:id="186"/>
      <w:r>
        <w:rPr/>
        <w:t xml:space="preserve">Overview</w:t>
      </w:r>
      <w:bookmarkEnd w:id="186"/>
    </w:p>
    <w:p>
      <w:pPr>
        <w:pStyle w:val="PARAGRAPH"/>
      </w:pPr>
      <w:r>
        <w:rPr/>
        <w:t xml:space="preserve">The following </w:t>
      </w:r>
      <w:r>
        <w:rPr>
          <w:i/>
        </w:rPr>
        <w:t xml:space="preserve">VariableType</w:t>
      </w:r>
      <w:r>
        <w:rPr/>
        <w:t xml:space="preserve"> is used to report alarms in the PackML unit. In addition, the data is also available as a structured datatype, which is much like an event.</w:t>
      </w:r>
    </w:p>
    <w:p>
      <w:pPr>
        <w:pStyle w:val="Heading4"/>
      </w:pPr>
      <w:bookmarkStart w:name="Sts_sec_6_8_2_2" w:id="187"/>
      <w:r>
        <w:rPr/>
        <w:t xml:space="preserve">PackMLAlarmDataType</w:t>
      </w:r>
      <w:bookmarkEnd w:id="187"/>
    </w:p>
    <w:p>
      <w:pPr>
        <w:pStyle w:val="PARAGRAPH"/>
      </w:pPr>
      <w:r>
        <w:rPr/>
        <w:t xml:space="preserve">The PackMLAlarmDataType provides the PackML tag alarm structure. It is formally defined in </w:t>
      </w:r>
      <w:r>
        <w:fldChar w:fldCharType="begin"/>
      </w:r>
      <w:r>
        <w:instrText xml:space="preserve"> REF Sts_tbl_62 \h \* MERGEFORMAT </w:instrText>
      </w:r>
      <w:r>
        <w:fldChar w:fldCharType="separate"/>
      </w:r>
      <w:r>
        <w:rPr/>
        <w:t xml:space="preserve">Table 62</w:t>
      </w:r>
      <w:r>
        <w:fldChar w:fldCharType="end"/>
      </w:r>
      <w:r>
        <w:rPr/>
        <w:t xml:space="preserve">.</w:t>
      </w:r>
    </w:p>
    <w:p>
      <w:pPr>
        <w:pStyle w:val="TABLE-title"/>
      </w:pPr>
      <w:bookmarkStart w:name="Sts_tbl_62" w:id="188"/>
      <w:r>
        <w:t xml:space="preserve">Table </w:t>
      </w:r>
      <w:r>
        <w:fldChar w:fldCharType="begin"/>
      </w:r>
      <w:r>
        <w:instrText xml:space="preserve"> SEQ Table \* ARABIC </w:instrText>
      </w:r>
      <w:r>
        <w:fldChar w:fldCharType="separate"/>
      </w:r>
      <w:r>
        <w:rPr/>
        <w:t xml:space="preserve">62</w:t>
      </w:r>
      <w:r>
        <w:fldChar w:fldCharType="end"/>
      </w:r>
      <w:bookmarkEnd w:id="188"/>
      <w:r>
        <w:t xml:space="preserve"> – </w:t>
      </w:r>
      <w:r>
        <w:rPr/>
        <w:t xml:space="preserve">PackMLAlarmDataType Structure</w:t>
      </w:r>
    </w:p>
    <w:tbl>
      <w:tblPr>
        <w:tblStyle w:val="TableGrid"/>
        <w:tblW w:w="9070" w:type="dxa"/>
        <w:tblLayout w:type="fixed"/>
      </w:tblPr>
      <w:tblGrid>
        <w:gridCol w:w="2520"/>
        <w:gridCol w:w="1080"/>
        <w:gridCol w:w="5470"/>
      </w:tblGrid>
      <w:tr>
        <w:trPr>
          <w:tblHeader/>
        </w:trPr>
        <w:tc>
          <w:tcPr>
            <w:tcW w:w="2520" w:type="dxa"/>
            <w:vAlign w:val="center"/>
          </w:tcPr>
          <w:p>
            <w:pPr>
              <w:pStyle w:val="TABLE-col-heading"/>
              <w:jc w:val="left"/>
            </w:pPr>
            <w:r>
              <w:rPr/>
              <w:t xml:space="preserve">Name</w:t>
            </w:r>
          </w:p>
        </w:tc>
        <w:tc>
          <w:tcPr>
            <w:tcW w:w="1080" w:type="dxa"/>
            <w:vAlign w:val="center"/>
          </w:tcPr>
          <w:p>
            <w:pPr>
              <w:pStyle w:val="TABLE-col-heading"/>
              <w:jc w:val="left"/>
            </w:pPr>
            <w:r>
              <w:rPr/>
              <w:t xml:space="preserve">Type</w:t>
            </w:r>
          </w:p>
        </w:tc>
        <w:tc>
          <w:tcPr>
            <w:tcW w:w="5470" w:type="dxa"/>
            <w:vAlign w:val="center"/>
          </w:tcPr>
          <w:p>
            <w:pPr>
              <w:pStyle w:val="TABLE-col-heading"/>
              <w:jc w:val="left"/>
            </w:pPr>
            <w:r>
              <w:rPr/>
              <w:t xml:space="preserve">Description</w:t>
            </w:r>
          </w:p>
        </w:tc>
      </w:tr>
      <w:tr>
        <w:tc>
          <w:tcPr>
            <w:tcW w:w="2520" w:type="dxa"/>
            <w:vAlign w:val="center"/>
          </w:tcPr>
          <w:p>
            <w:pPr>
              <w:pStyle w:val="TABLE-cell"/>
            </w:pPr>
            <w:r>
              <w:rPr/>
              <w:t xml:space="preserve">PackMLAlarmDataType</w:t>
            </w:r>
          </w:p>
        </w:tc>
        <w:tc>
          <w:tcPr>
            <w:tcW w:w="6550" w:type="dxa"/>
            <w:gridSpan w:val="2"/>
            <w:vAlign w:val="center"/>
          </w:tcPr>
          <w:p>
            <w:pPr>
              <w:pStyle w:val="TABLE-cell"/>
            </w:pPr>
            <w:r>
              <w:rPr/>
              <w:t xml:space="preserve">Structure</w:t>
            </w:r>
          </w:p>
        </w:tc>
      </w:tr>
      <w:tr>
        <w:tc>
          <w:tcPr>
            <w:tcW w:w="2520" w:type="dxa"/>
            <w:vAlign w:val="center"/>
          </w:tcPr>
          <w:p>
            <w:pPr>
              <w:pStyle w:val="TABLE-cell"/>
            </w:pPr>
            <w:r>
              <w:rPr/>
              <w:t xml:space="preserve">ID</w:t>
            </w:r>
          </w:p>
        </w:tc>
        <w:tc>
          <w:tcPr>
            <w:tcW w:w="1080" w:type="dxa"/>
            <w:vAlign w:val="center"/>
          </w:tcPr>
          <w:p>
            <w:pPr>
              <w:pStyle w:val="TABLE-cell"/>
            </w:pPr>
            <w:r>
              <w:rPr/>
              <w:t xml:space="preserve">Int32</w:t>
            </w:r>
          </w:p>
        </w:tc>
        <w:tc>
          <w:tcPr>
            <w:tcW w:w="5470" w:type="dxa"/>
            <w:vAlign w:val="center"/>
          </w:tcPr>
          <w:p>
            <w:pPr>
              <w:pStyle w:val="TABLE-cell"/>
            </w:pPr>
            <w:r>
              <w:rPr/>
              <w:t xml:space="preserve">A unique number assigned to each type of alarm, stop or warning.</w:t>
            </w:r>
          </w:p>
        </w:tc>
      </w:tr>
      <w:tr>
        <w:tc>
          <w:tcPr>
            <w:tcW w:w="2520" w:type="dxa"/>
            <w:vAlign w:val="center"/>
          </w:tcPr>
          <w:p>
            <w:pPr>
              <w:pStyle w:val="TABLE-cell"/>
            </w:pPr>
            <w:r>
              <w:rPr/>
              <w:t xml:space="preserve">Value</w:t>
            </w:r>
          </w:p>
        </w:tc>
        <w:tc>
          <w:tcPr>
            <w:tcW w:w="1080" w:type="dxa"/>
            <w:vAlign w:val="center"/>
          </w:tcPr>
          <w:p>
            <w:pPr>
              <w:pStyle w:val="TABLE-cell"/>
            </w:pPr>
            <w:r>
              <w:rPr/>
              <w:t xml:space="preserve">Int32</w:t>
            </w:r>
          </w:p>
        </w:tc>
        <w:tc>
          <w:tcPr>
            <w:tcW w:w="5470" w:type="dxa"/>
            <w:vAlign w:val="center"/>
          </w:tcPr>
          <w:p>
            <w:pPr>
              <w:pStyle w:val="TABLE-cell"/>
            </w:pPr>
            <w:r>
              <w:rPr/>
              <w:t xml:space="preserve">An alarm, stop or warning message number associated to the ID to allow for user specific detail or to break down the Alarm.ID to greater detail</w:t>
            </w:r>
          </w:p>
        </w:tc>
      </w:tr>
      <w:tr>
        <w:tc>
          <w:tcPr>
            <w:tcW w:w="2520" w:type="dxa"/>
            <w:vAlign w:val="center"/>
          </w:tcPr>
          <w:p>
            <w:pPr>
              <w:pStyle w:val="TABLE-cell"/>
            </w:pPr>
            <w:r>
              <w:rPr/>
              <w:t xml:space="preserve">Message</w:t>
            </w:r>
          </w:p>
        </w:tc>
        <w:tc>
          <w:tcPr>
            <w:tcW w:w="1080" w:type="dxa"/>
            <w:vAlign w:val="center"/>
          </w:tcPr>
          <w:p>
            <w:pPr>
              <w:pStyle w:val="TABLE-cell"/>
            </w:pPr>
            <w:r>
              <w:rPr/>
              <w:t xml:space="preserve">String</w:t>
            </w:r>
          </w:p>
        </w:tc>
        <w:tc>
          <w:tcPr>
            <w:tcW w:w="5470" w:type="dxa"/>
            <w:vAlign w:val="center"/>
          </w:tcPr>
          <w:p>
            <w:pPr>
              <w:pStyle w:val="TABLE-cell"/>
            </w:pPr>
            <w:r>
              <w:rPr/>
              <w:t xml:space="preserve">The actual text of the alarm, stop or warning for those machines capable of providing string information</w:t>
            </w:r>
          </w:p>
        </w:tc>
      </w:tr>
      <w:tr>
        <w:tc>
          <w:tcPr>
            <w:tcW w:w="2520" w:type="dxa"/>
            <w:vAlign w:val="center"/>
          </w:tcPr>
          <w:p>
            <w:pPr>
              <w:pStyle w:val="TABLE-cell"/>
            </w:pPr>
            <w:r>
              <w:rPr/>
              <w:t xml:space="preserve">Category</w:t>
            </w:r>
          </w:p>
        </w:tc>
        <w:tc>
          <w:tcPr>
            <w:tcW w:w="1080" w:type="dxa"/>
            <w:vAlign w:val="center"/>
          </w:tcPr>
          <w:p>
            <w:pPr>
              <w:pStyle w:val="TABLE-cell"/>
            </w:pPr>
            <w:r>
              <w:rPr/>
              <w:t xml:space="preserve">Int32</w:t>
            </w:r>
          </w:p>
        </w:tc>
        <w:tc>
          <w:tcPr>
            <w:tcW w:w="5470" w:type="dxa"/>
            <w:vAlign w:val="center"/>
          </w:tcPr>
          <w:p>
            <w:pPr>
              <w:pStyle w:val="TABLE-cell"/>
            </w:pPr>
            <w:r>
              <w:rPr/>
              <w:t xml:space="preserve">A user defined value which indicates what type of alarm, stop or warning has occurred. E.g. electrical, mechanical, process limit, …</w:t>
            </w:r>
          </w:p>
        </w:tc>
      </w:tr>
      <w:tr>
        <w:tc>
          <w:tcPr>
            <w:tcW w:w="2520" w:type="dxa"/>
            <w:vAlign w:val="center"/>
          </w:tcPr>
          <w:p>
            <w:pPr>
              <w:pStyle w:val="TABLE-cell"/>
            </w:pPr>
            <w:r>
              <w:rPr/>
              <w:t xml:space="preserve">DateTime</w:t>
            </w:r>
          </w:p>
        </w:tc>
        <w:tc>
          <w:tcPr>
            <w:tcW w:w="1080" w:type="dxa"/>
            <w:vAlign w:val="center"/>
          </w:tcPr>
          <w:p>
            <w:pPr>
              <w:pStyle w:val="TABLE-cell"/>
            </w:pPr>
            <w:r>
              <w:rPr/>
              <w:t xml:space="preserve">UtcTime</w:t>
            </w:r>
          </w:p>
        </w:tc>
        <w:tc>
          <w:tcPr>
            <w:tcW w:w="5470" w:type="dxa"/>
            <w:vAlign w:val="center"/>
          </w:tcPr>
          <w:p>
            <w:pPr>
              <w:pStyle w:val="TABLE-cell"/>
            </w:pPr>
            <w:r>
              <w:rPr/>
              <w:t xml:space="preserve">The date and time that the alarm, stop or warning occurred</w:t>
            </w:r>
          </w:p>
        </w:tc>
      </w:tr>
      <w:tr>
        <w:tc>
          <w:tcPr>
            <w:tcW w:w="2520" w:type="dxa"/>
            <w:vAlign w:val="center"/>
          </w:tcPr>
          <w:p>
            <w:pPr>
              <w:pStyle w:val="TABLE-cell"/>
            </w:pPr>
            <w:r>
              <w:rPr/>
              <w:t xml:space="preserve">AckDateTime</w:t>
            </w:r>
          </w:p>
        </w:tc>
        <w:tc>
          <w:tcPr>
            <w:tcW w:w="1080" w:type="dxa"/>
            <w:vAlign w:val="center"/>
          </w:tcPr>
          <w:p>
            <w:pPr>
              <w:pStyle w:val="TABLE-cell"/>
            </w:pPr>
            <w:r>
              <w:rPr/>
              <w:t xml:space="preserve">UtcTime</w:t>
            </w:r>
          </w:p>
        </w:tc>
        <w:tc>
          <w:tcPr>
            <w:tcW w:w="5470" w:type="dxa"/>
            <w:vAlign w:val="center"/>
          </w:tcPr>
          <w:p>
            <w:pPr>
              <w:pStyle w:val="TABLE-cell"/>
            </w:pPr>
            <w:r>
              <w:rPr/>
              <w:t xml:space="preserve">The date and time that the alarm, stop or warning was Acknowledged,</w:t>
            </w:r>
          </w:p>
        </w:tc>
      </w:tr>
      <w:tr>
        <w:tc>
          <w:tcPr>
            <w:tcW w:w="2520" w:type="dxa"/>
            <w:vAlign w:val="center"/>
          </w:tcPr>
          <w:p>
            <w:pPr>
              <w:pStyle w:val="TABLE-cell"/>
            </w:pPr>
            <w:r>
              <w:rPr/>
              <w:t xml:space="preserve">Trigger</w:t>
            </w:r>
          </w:p>
        </w:tc>
        <w:tc>
          <w:tcPr>
            <w:tcW w:w="1080" w:type="dxa"/>
            <w:vAlign w:val="center"/>
          </w:tcPr>
          <w:p>
            <w:pPr>
              <w:pStyle w:val="TABLE-cell"/>
            </w:pPr>
            <w:r>
              <w:rPr/>
              <w:t xml:space="preserve">Boolean</w:t>
            </w:r>
          </w:p>
        </w:tc>
        <w:tc>
          <w:tcPr>
            <w:tcW w:w="5470" w:type="dxa"/>
            <w:vAlign w:val="center"/>
          </w:tcPr>
          <w:p>
            <w:pPr>
              <w:pStyle w:val="TABLE-cell"/>
            </w:pPr>
            <w:r>
              <w:rPr/>
              <w:t xml:space="preserve">This variable is true when the alarm is active</w:t>
            </w:r>
          </w:p>
        </w:tc>
      </w:tr>
    </w:tbl>
    <w:p>
      <w:pPr>
        <w:pStyle w:val="spacer"/>
      </w:pPr>
    </w:p>
    <w:p>
      <w:pPr>
        <w:pStyle w:val="Heading3"/>
      </w:pPr>
      <w:bookmarkStart w:name="Sts_sec_6_8_3" w:id="189"/>
      <w:r>
        <w:rPr/>
        <w:t xml:space="preserve">Alarm Events</w:t>
      </w:r>
      <w:bookmarkEnd w:id="189"/>
    </w:p>
    <w:p>
      <w:pPr>
        <w:pStyle w:val="PARAGRAPH"/>
      </w:pPr>
      <w:r>
        <w:rPr/>
        <w:t xml:space="preserve">[note: This section will be defined in a future release]</w:t>
      </w:r>
    </w:p>
    <w:p>
      <w:pPr>
        <w:pStyle w:val="Heading1"/>
      </w:pPr>
      <w:bookmarkStart w:name="Sts_sec_7" w:id="190"/>
      <w:r>
        <w:rPr/>
        <w:t xml:space="preserve">Profiles and Conformance Units</w:t>
      </w:r>
      <w:bookmarkEnd w:id="190"/>
    </w:p>
    <w:p>
      <w:pPr>
        <w:pStyle w:val="Heading2"/>
      </w:pPr>
      <w:bookmarkStart w:name="Sts_sec_7_1" w:id="191"/>
      <w:r>
        <w:rPr/>
        <w:t xml:space="preserve">Conformance Units</w:t>
      </w:r>
      <w:bookmarkEnd w:id="191"/>
    </w:p>
    <w:p>
      <w:pPr>
        <w:pStyle w:val="PARAGRAPH"/>
      </w:pPr>
      <w:r>
        <w:fldChar w:fldCharType="begin"/>
      </w:r>
      <w:r>
        <w:instrText xml:space="preserve"> REF Sts_tbl_63 \h \* MERGEFORMAT </w:instrText>
      </w:r>
      <w:r>
        <w:fldChar w:fldCharType="separate"/>
      </w:r>
      <w:r>
        <w:rPr/>
        <w:t xml:space="preserve">Table 63</w:t>
      </w:r>
      <w:r>
        <w:fldChar w:fldCharType="end"/>
      </w:r>
      <w:r>
        <w:rPr/>
        <w:t xml:space="preserve"> defines the Conformance Units for the OPC UA Information Model for PackML.</w:t>
      </w:r>
    </w:p>
    <w:p>
      <w:pPr>
        <w:pStyle w:val="TABLE-title"/>
      </w:pPr>
      <w:bookmarkStart w:name="Sts_tbl_63" w:id="192"/>
      <w:r>
        <w:t xml:space="preserve">Table </w:t>
      </w:r>
      <w:r>
        <w:fldChar w:fldCharType="begin"/>
      </w:r>
      <w:r>
        <w:instrText xml:space="preserve"> SEQ Table \* ARABIC </w:instrText>
      </w:r>
      <w:r>
        <w:fldChar w:fldCharType="separate"/>
      </w:r>
      <w:r>
        <w:rPr/>
        <w:t xml:space="preserve">63</w:t>
      </w:r>
      <w:r>
        <w:fldChar w:fldCharType="end"/>
      </w:r>
      <w:bookmarkEnd w:id="192"/>
      <w:r>
        <w:t xml:space="preserve"> – </w:t>
      </w:r>
      <w:r>
        <w:rPr/>
        <w:t xml:space="preserve">Conformance Units for PackML</w:t>
      </w:r>
    </w:p>
    <w:tbl>
      <w:tblPr>
        <w:tblStyle w:val="TableGrid"/>
        <w:tblW w:w="9070" w:type="dxa"/>
        <w:tblLayout w:type="fixed"/>
      </w:tblPr>
      <w:tblGrid>
        <w:gridCol w:w="1200"/>
        <w:gridCol w:w="3563"/>
        <w:gridCol w:w="4307"/>
      </w:tblGrid>
      <w:tr>
        <w:trPr>
          <w:tblHeader/>
        </w:trPr>
        <w:tc>
          <w:tcPr>
            <w:tcW w:w="1200" w:type="dxa"/>
            <w:vAlign w:val="center"/>
          </w:tcPr>
          <w:p>
            <w:pPr>
              <w:pStyle w:val="TABLE-col-heading"/>
              <w:jc w:val="left"/>
            </w:pPr>
            <w:r>
              <w:rPr/>
              <w:t xml:space="preserve">Category</w:t>
            </w:r>
          </w:p>
        </w:tc>
        <w:tc>
          <w:tcPr>
            <w:tcW w:w="3563" w:type="dxa"/>
            <w:vAlign w:val="center"/>
          </w:tcPr>
          <w:p>
            <w:pPr>
              <w:pStyle w:val="TABLE-col-heading"/>
              <w:jc w:val="left"/>
            </w:pPr>
            <w:r>
              <w:rPr/>
              <w:t xml:space="preserve">Title</w:t>
            </w:r>
          </w:p>
        </w:tc>
        <w:tc>
          <w:tcPr>
            <w:tcW w:w="4307" w:type="dxa"/>
            <w:vAlign w:val="center"/>
          </w:tcPr>
          <w:p>
            <w:pPr>
              <w:pStyle w:val="TABLE-col-heading"/>
              <w:jc w:val="left"/>
            </w:pPr>
            <w:r>
              <w:rPr/>
              <w:t xml:space="preserve">Description</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Base Functionality</w:t>
            </w:r>
          </w:p>
        </w:tc>
        <w:tc>
          <w:tcPr>
            <w:tcW w:w="4307" w:type="dxa"/>
            <w:vAlign w:val="center"/>
          </w:tcPr>
          <w:p>
            <w:pPr>
              <w:pStyle w:val="TABLE-cell"/>
            </w:pPr>
            <w:r>
              <w:rPr/>
              <w:t xml:space="preserve">The server supports the BaseObjectModel. This includes exposing all mandatory objects, variables and methods.</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Base TagID</w:t>
            </w:r>
          </w:p>
        </w:tc>
        <w:tc>
          <w:tcPr>
            <w:tcW w:w="4307" w:type="dxa"/>
            <w:vAlign w:val="center"/>
          </w:tcPr>
          <w:p>
            <w:pPr>
              <w:pStyle w:val="TABLE-cell"/>
            </w:pPr>
            <w:r>
              <w:rPr/>
              <w:t xml:space="preserve">The Server supports the TagID Property</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Base Version</w:t>
            </w:r>
          </w:p>
        </w:tc>
        <w:tc>
          <w:tcPr>
            <w:tcW w:w="4307" w:type="dxa"/>
            <w:vAlign w:val="center"/>
          </w:tcPr>
          <w:p>
            <w:pPr>
              <w:pStyle w:val="TABLE-cell"/>
            </w:pPr>
            <w:r>
              <w:rPr/>
              <w:t xml:space="preserve">The Server supports the Version property and DataType</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Base Admin</w:t>
            </w:r>
          </w:p>
        </w:tc>
        <w:tc>
          <w:tcPr>
            <w:tcW w:w="4307" w:type="dxa"/>
            <w:vAlign w:val="center"/>
          </w:tcPr>
          <w:p>
            <w:pPr>
              <w:pStyle w:val="TABLE-cell"/>
            </w:pPr>
            <w:r>
              <w:rPr/>
              <w:t xml:space="preserve">The Server support all of the mandatory items in the PackMLAdminObjectType</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Base Status</w:t>
            </w:r>
          </w:p>
        </w:tc>
        <w:tc>
          <w:tcPr>
            <w:tcW w:w="4307" w:type="dxa"/>
            <w:vAlign w:val="center"/>
          </w:tcPr>
          <w:p>
            <w:pPr>
              <w:pStyle w:val="TABLE-cell"/>
            </w:pPr>
            <w:r>
              <w:rPr/>
              <w:t xml:space="preserve">The Server support all of the mandatory items in the PackMLStatusObjectType</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Information</w:t>
            </w:r>
          </w:p>
        </w:tc>
        <w:tc>
          <w:tcPr>
            <w:tcW w:w="4307" w:type="dxa"/>
            <w:vAlign w:val="center"/>
          </w:tcPr>
          <w:p>
            <w:pPr>
              <w:pStyle w:val="TABLE-cell"/>
            </w:pPr>
            <w:r>
              <w:rPr/>
              <w:t xml:space="preserve">The server supports the BaseStateMachine. This include the list of AvailableStates and AvailableTransitions. It also includes all mandatory states and any method associated with the states. The certification will include a list of all states and transitions supported by the StateMachine.  This include the mandatory Sub-statemachines</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Abort</w:t>
            </w:r>
          </w:p>
        </w:tc>
        <w:tc>
          <w:tcPr>
            <w:tcW w:w="4307" w:type="dxa"/>
            <w:vAlign w:val="center"/>
          </w:tcPr>
          <w:p>
            <w:pPr>
              <w:pStyle w:val="TABLE-cell"/>
            </w:pPr>
            <w:r>
              <w:rPr/>
              <w:t xml:space="preserve">The server supports the Abort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Clear</w:t>
            </w:r>
          </w:p>
        </w:tc>
        <w:tc>
          <w:tcPr>
            <w:tcW w:w="4307" w:type="dxa"/>
            <w:vAlign w:val="center"/>
          </w:tcPr>
          <w:p>
            <w:pPr>
              <w:pStyle w:val="TABLE-cell"/>
            </w:pPr>
            <w:r>
              <w:rPr/>
              <w:t xml:space="preserve">The server supports the Clear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Stop</w:t>
            </w:r>
          </w:p>
        </w:tc>
        <w:tc>
          <w:tcPr>
            <w:tcW w:w="4307" w:type="dxa"/>
            <w:vAlign w:val="center"/>
          </w:tcPr>
          <w:p>
            <w:pPr>
              <w:pStyle w:val="TABLE-cell"/>
            </w:pPr>
            <w:r>
              <w:rPr/>
              <w:t xml:space="preserve">The server supports the Stop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Reset</w:t>
            </w:r>
          </w:p>
        </w:tc>
        <w:tc>
          <w:tcPr>
            <w:tcW w:w="4307" w:type="dxa"/>
            <w:vAlign w:val="center"/>
          </w:tcPr>
          <w:p>
            <w:pPr>
              <w:pStyle w:val="TABLE-cell"/>
            </w:pPr>
            <w:r>
              <w:rPr/>
              <w:t xml:space="preserve">The server supports the Reset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Complete</w:t>
            </w:r>
          </w:p>
        </w:tc>
        <w:tc>
          <w:tcPr>
            <w:tcW w:w="4307" w:type="dxa"/>
            <w:vAlign w:val="center"/>
          </w:tcPr>
          <w:p>
            <w:pPr>
              <w:pStyle w:val="TABLE-cell"/>
            </w:pPr>
            <w:r>
              <w:rPr/>
              <w:t xml:space="preserve">The server supports the Complete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Start</w:t>
            </w:r>
          </w:p>
        </w:tc>
        <w:tc>
          <w:tcPr>
            <w:tcW w:w="4307" w:type="dxa"/>
            <w:vAlign w:val="center"/>
          </w:tcPr>
          <w:p>
            <w:pPr>
              <w:pStyle w:val="TABLE-cell"/>
            </w:pPr>
            <w:r>
              <w:rPr/>
              <w:t xml:space="preserve">The server supports the Start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Unhold</w:t>
            </w:r>
          </w:p>
        </w:tc>
        <w:tc>
          <w:tcPr>
            <w:tcW w:w="4307" w:type="dxa"/>
            <w:vAlign w:val="center"/>
          </w:tcPr>
          <w:p>
            <w:pPr>
              <w:pStyle w:val="TABLE-cell"/>
            </w:pPr>
            <w:r>
              <w:rPr/>
              <w:t xml:space="preserve">The server supports the Unhold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Suspend</w:t>
            </w:r>
          </w:p>
        </w:tc>
        <w:tc>
          <w:tcPr>
            <w:tcW w:w="4307" w:type="dxa"/>
            <w:vAlign w:val="center"/>
          </w:tcPr>
          <w:p>
            <w:pPr>
              <w:pStyle w:val="TABLE-cell"/>
            </w:pPr>
            <w:r>
              <w:rPr/>
              <w:t xml:space="preserve">The server supports the Suspend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Hold</w:t>
            </w:r>
          </w:p>
        </w:tc>
        <w:tc>
          <w:tcPr>
            <w:tcW w:w="4307" w:type="dxa"/>
            <w:vAlign w:val="center"/>
          </w:tcPr>
          <w:p>
            <w:pPr>
              <w:pStyle w:val="TABLE-cell"/>
            </w:pPr>
            <w:r>
              <w:rPr/>
              <w:t xml:space="preserve">The server supports the Hold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Unsuspend</w:t>
            </w:r>
          </w:p>
        </w:tc>
        <w:tc>
          <w:tcPr>
            <w:tcW w:w="4307" w:type="dxa"/>
            <w:vAlign w:val="center"/>
          </w:tcPr>
          <w:p>
            <w:pPr>
              <w:pStyle w:val="TABLE-cell"/>
            </w:pPr>
            <w:r>
              <w:rPr/>
              <w:t xml:space="preserve">The server supports the Unsuspend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SetUnitMode</w:t>
            </w:r>
          </w:p>
        </w:tc>
        <w:tc>
          <w:tcPr>
            <w:tcW w:w="4307" w:type="dxa"/>
            <w:vAlign w:val="center"/>
          </w:tcPr>
          <w:p>
            <w:pPr>
              <w:pStyle w:val="TABLE-cell"/>
            </w:pPr>
            <w:r>
              <w:rPr/>
              <w:t xml:space="preserve">The Server supports the SetUnitMode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Set Product</w:t>
            </w:r>
          </w:p>
        </w:tc>
        <w:tc>
          <w:tcPr>
            <w:tcW w:w="4307" w:type="dxa"/>
            <w:vAlign w:val="center"/>
          </w:tcPr>
          <w:p>
            <w:pPr>
              <w:pStyle w:val="TABLE-cell"/>
            </w:pPr>
            <w:r>
              <w:rPr/>
              <w:t xml:space="preserve">The Server supports the SetProduct Method </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Machine Speed</w:t>
            </w:r>
          </w:p>
        </w:tc>
        <w:tc>
          <w:tcPr>
            <w:tcW w:w="4307" w:type="dxa"/>
            <w:vAlign w:val="center"/>
          </w:tcPr>
          <w:p>
            <w:pPr>
              <w:pStyle w:val="TABLE-cell"/>
            </w:pPr>
            <w:r>
              <w:rPr/>
              <w:t xml:space="preserve">The Server supports the SetMachSpeed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RemoteCommand</w:t>
            </w:r>
          </w:p>
        </w:tc>
        <w:tc>
          <w:tcPr>
            <w:tcW w:w="4307" w:type="dxa"/>
            <w:vAlign w:val="center"/>
          </w:tcPr>
          <w:p>
            <w:pPr>
              <w:pStyle w:val="TABLE-cell"/>
            </w:pPr>
            <w:r>
              <w:rPr/>
              <w:t xml:space="preserve">The Server supports the RemoteCommand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SetInterlock</w:t>
            </w:r>
          </w:p>
        </w:tc>
        <w:tc>
          <w:tcPr>
            <w:tcW w:w="4307" w:type="dxa"/>
            <w:vAlign w:val="center"/>
          </w:tcPr>
          <w:p>
            <w:pPr>
              <w:pStyle w:val="TABLE-cell"/>
            </w:pPr>
            <w:r>
              <w:rPr/>
              <w:t xml:space="preserve">The Server supports the SetInterlock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UnitModeRequested</w:t>
            </w:r>
          </w:p>
        </w:tc>
        <w:tc>
          <w:tcPr>
            <w:tcW w:w="4307" w:type="dxa"/>
            <w:vAlign w:val="center"/>
          </w:tcPr>
          <w:p>
            <w:pPr>
              <w:pStyle w:val="TABLE-cell"/>
            </w:pPr>
            <w:r>
              <w:rPr/>
              <w:t xml:space="preserve">The Server support the UnitModeChangeInProcess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UnitModeChangeInProcess</w:t>
            </w:r>
          </w:p>
        </w:tc>
        <w:tc>
          <w:tcPr>
            <w:tcW w:w="4307" w:type="dxa"/>
            <w:vAlign w:val="center"/>
          </w:tcPr>
          <w:p>
            <w:pPr>
              <w:pStyle w:val="TABLE-cell"/>
            </w:pPr>
            <w:r>
              <w:rPr/>
              <w:t xml:space="preserve">The Server support the UnitModeChangeInProcess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State</w:t>
            </w:r>
          </w:p>
        </w:tc>
        <w:tc>
          <w:tcPr>
            <w:tcW w:w="4307" w:type="dxa"/>
            <w:vAlign w:val="center"/>
          </w:tcPr>
          <w:p>
            <w:pPr>
              <w:pStyle w:val="TABLE-cell"/>
            </w:pPr>
            <w:r>
              <w:rPr/>
              <w:t xml:space="preserve">The Server supports the StateRequested and StateChangeInProcess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Interlock</w:t>
            </w:r>
          </w:p>
        </w:tc>
        <w:tc>
          <w:tcPr>
            <w:tcW w:w="4307" w:type="dxa"/>
            <w:vAlign w:val="center"/>
          </w:tcPr>
          <w:p>
            <w:pPr>
              <w:pStyle w:val="TABLE-cell"/>
            </w:pPr>
            <w:r>
              <w:rPr/>
              <w:t xml:space="preserve">The Server includes support for at least one MaterialInterlock and the summary MaterialInterlocked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RemoteParameter</w:t>
            </w:r>
          </w:p>
        </w:tc>
        <w:tc>
          <w:tcPr>
            <w:tcW w:w="4307" w:type="dxa"/>
            <w:vAlign w:val="center"/>
          </w:tcPr>
          <w:p>
            <w:pPr>
              <w:pStyle w:val="TABLE-cell"/>
            </w:pPr>
            <w:r>
              <w:rPr/>
              <w:t xml:space="preserve">The Server supports exposing of the configured RemoteParameter</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Product</w:t>
            </w:r>
          </w:p>
        </w:tc>
        <w:tc>
          <w:tcPr>
            <w:tcW w:w="4307" w:type="dxa"/>
            <w:vAlign w:val="center"/>
          </w:tcPr>
          <w:p>
            <w:pPr>
              <w:pStyle w:val="TABLE-cell"/>
            </w:pPr>
            <w:r>
              <w:rPr/>
              <w:t xml:space="preserve">The Server supports exposing of the configured product data</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Alarm</w:t>
            </w:r>
          </w:p>
        </w:tc>
        <w:tc>
          <w:tcPr>
            <w:tcW w:w="4307" w:type="dxa"/>
            <w:vAlign w:val="center"/>
          </w:tcPr>
          <w:p>
            <w:pPr>
              <w:pStyle w:val="TABLE-cell"/>
            </w:pPr>
            <w:r>
              <w:rPr/>
              <w:t xml:space="preserve">The server supports the PackML Alarm instance including the Alarm extent.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Alarm History</w:t>
            </w:r>
          </w:p>
        </w:tc>
        <w:tc>
          <w:tcPr>
            <w:tcW w:w="4307" w:type="dxa"/>
            <w:vAlign w:val="center"/>
          </w:tcPr>
          <w:p>
            <w:pPr>
              <w:pStyle w:val="TABLE-cell"/>
            </w:pPr>
            <w:r>
              <w:rPr/>
              <w:t xml:space="preserve">The server supports the PackML AlarmHistory including the Alarm history extent.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Warning</w:t>
            </w:r>
          </w:p>
        </w:tc>
        <w:tc>
          <w:tcPr>
            <w:tcW w:w="4307" w:type="dxa"/>
            <w:vAlign w:val="center"/>
          </w:tcPr>
          <w:p>
            <w:pPr>
              <w:pStyle w:val="TABLE-cell"/>
            </w:pPr>
            <w:r>
              <w:rPr/>
              <w:t xml:space="preserve">The server supports the PackML warning instance including the warning extent.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Stop</w:t>
            </w:r>
          </w:p>
        </w:tc>
        <w:tc>
          <w:tcPr>
            <w:tcW w:w="4307" w:type="dxa"/>
            <w:vAlign w:val="center"/>
          </w:tcPr>
          <w:p>
            <w:pPr>
              <w:pStyle w:val="TABLE-cell"/>
            </w:pPr>
            <w:r>
              <w:rPr/>
              <w:t xml:space="preserve">The server supports the PackML stop reason including the stop reason extent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mode statistics</w:t>
            </w:r>
          </w:p>
        </w:tc>
        <w:tc>
          <w:tcPr>
            <w:tcW w:w="4307" w:type="dxa"/>
            <w:vAlign w:val="center"/>
          </w:tcPr>
          <w:p>
            <w:pPr>
              <w:pStyle w:val="TABLE-cell"/>
            </w:pPr>
            <w:r>
              <w:rPr/>
              <w:t xml:space="preserve">The server supports the ModeCurrentTime and cumulative time statistics</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state Statistics</w:t>
            </w:r>
          </w:p>
        </w:tc>
        <w:tc>
          <w:tcPr>
            <w:tcW w:w="4307" w:type="dxa"/>
            <w:vAlign w:val="center"/>
          </w:tcPr>
          <w:p>
            <w:pPr>
              <w:pStyle w:val="TABLE-cell"/>
            </w:pPr>
            <w:r>
              <w:rPr/>
              <w:t xml:space="preserve">The server supports the StateCurrentTime and cumulative time statistics</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w:t>
            </w:r>
          </w:p>
        </w:tc>
        <w:tc>
          <w:tcPr>
            <w:tcW w:w="4307" w:type="dxa"/>
            <w:vAlign w:val="center"/>
          </w:tcPr>
          <w:p>
            <w:pPr>
              <w:pStyle w:val="TABLE-cell"/>
            </w:pPr>
            <w:r>
              <w:rPr/>
              <w:t xml:space="preserve">The server supports the prodrelated counts including ProdConsumedCount, ProdProcessedCount and ProdDefectiveCount.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ResetTime</w:t>
            </w:r>
          </w:p>
        </w:tc>
        <w:tc>
          <w:tcPr>
            <w:tcW w:w="4307" w:type="dxa"/>
            <w:vAlign w:val="center"/>
          </w:tcPr>
          <w:p>
            <w:pPr>
              <w:pStyle w:val="TABLE-cell"/>
            </w:pPr>
            <w:r>
              <w:rPr/>
              <w:t xml:space="preserve">The server supports the PackML Time since reset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machine speed.</w:t>
            </w:r>
          </w:p>
        </w:tc>
        <w:tc>
          <w:tcPr>
            <w:tcW w:w="4307" w:type="dxa"/>
            <w:vAlign w:val="center"/>
          </w:tcPr>
          <w:p>
            <w:pPr>
              <w:pStyle w:val="TABLE-cell"/>
            </w:pPr>
            <w:r>
              <w:rPr/>
              <w:t xml:space="preserve">The server supports the PackML Machine Design Speed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Machine Speed</w:t>
            </w:r>
          </w:p>
        </w:tc>
        <w:tc>
          <w:tcPr>
            <w:tcW w:w="4307" w:type="dxa"/>
            <w:vAlign w:val="center"/>
          </w:tcPr>
          <w:p>
            <w:pPr>
              <w:pStyle w:val="TABLE-cell"/>
            </w:pPr>
            <w:r>
              <w:rPr/>
              <w:t xml:space="preserve">The Server supports the CurMachSpeed information including units</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Equipment Blocked</w:t>
            </w:r>
          </w:p>
        </w:tc>
        <w:tc>
          <w:tcPr>
            <w:tcW w:w="4307" w:type="dxa"/>
            <w:vAlign w:val="center"/>
          </w:tcPr>
          <w:p>
            <w:pPr>
              <w:pStyle w:val="TABLE-cell"/>
            </w:pPr>
            <w:r>
              <w:rPr/>
              <w:t xml:space="preserve">The Server supports the EquipmentBlocked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Equipment Starved</w:t>
            </w:r>
          </w:p>
        </w:tc>
        <w:tc>
          <w:tcPr>
            <w:tcW w:w="4307" w:type="dxa"/>
            <w:vAlign w:val="center"/>
          </w:tcPr>
          <w:p>
            <w:pPr>
              <w:pStyle w:val="TABLE-cell"/>
            </w:pPr>
            <w:r>
              <w:rPr/>
              <w:t xml:space="preserve">The Server supports the EquipmentStarved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ProdDefectiveCount</w:t>
            </w:r>
          </w:p>
        </w:tc>
        <w:tc>
          <w:tcPr>
            <w:tcW w:w="4307" w:type="dxa"/>
            <w:vAlign w:val="center"/>
          </w:tcPr>
          <w:p>
            <w:pPr>
              <w:pStyle w:val="TABLE-cell"/>
            </w:pPr>
            <w:r>
              <w:rPr/>
              <w:t xml:space="preserve">The Server supports ProdDefectiveCount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ProdProcessedCount</w:t>
            </w:r>
          </w:p>
        </w:tc>
        <w:tc>
          <w:tcPr>
            <w:tcW w:w="4307" w:type="dxa"/>
            <w:vAlign w:val="center"/>
          </w:tcPr>
          <w:p>
            <w:pPr>
              <w:pStyle w:val="TABLE-cell"/>
            </w:pPr>
            <w:r>
              <w:rPr/>
              <w:t xml:space="preserve">The Server supports ProdProcessedCount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Base Functionality Client</w:t>
            </w:r>
          </w:p>
        </w:tc>
        <w:tc>
          <w:tcPr>
            <w:tcW w:w="4307" w:type="dxa"/>
            <w:vAlign w:val="center"/>
          </w:tcPr>
          <w:p>
            <w:pPr>
              <w:pStyle w:val="TABLE-cell"/>
            </w:pPr>
            <w:r>
              <w:rPr/>
              <w:t xml:space="preserve">The Client makes use of the BaseObjectModel.   This includes exposing all mandatory objects, variables and methods.</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Base TagID Client</w:t>
            </w:r>
          </w:p>
        </w:tc>
        <w:tc>
          <w:tcPr>
            <w:tcW w:w="4307" w:type="dxa"/>
            <w:vAlign w:val="center"/>
          </w:tcPr>
          <w:p>
            <w:pPr>
              <w:pStyle w:val="TABLE-cell"/>
            </w:pPr>
            <w:r>
              <w:rPr/>
              <w:t xml:space="preserve">The Client makes use of the TagID Property</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Base Version Client</w:t>
            </w:r>
          </w:p>
        </w:tc>
        <w:tc>
          <w:tcPr>
            <w:tcW w:w="4307" w:type="dxa"/>
            <w:vAlign w:val="center"/>
          </w:tcPr>
          <w:p>
            <w:pPr>
              <w:pStyle w:val="TABLE-cell"/>
            </w:pPr>
            <w:r>
              <w:rPr/>
              <w:t xml:space="preserve">The Client makes use of the Version property and DataType</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Base Admin Client</w:t>
            </w:r>
          </w:p>
        </w:tc>
        <w:tc>
          <w:tcPr>
            <w:tcW w:w="4307" w:type="dxa"/>
            <w:vAlign w:val="center"/>
          </w:tcPr>
          <w:p>
            <w:pPr>
              <w:pStyle w:val="TABLE-cell"/>
            </w:pPr>
            <w:r>
              <w:rPr/>
              <w:t xml:space="preserve">TheClient makes use of all of the mandatory items in the PackMLAdminObjectType</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Base Status Client</w:t>
            </w:r>
          </w:p>
        </w:tc>
        <w:tc>
          <w:tcPr>
            <w:tcW w:w="4307" w:type="dxa"/>
            <w:vAlign w:val="center"/>
          </w:tcPr>
          <w:p>
            <w:pPr>
              <w:pStyle w:val="TABLE-cell"/>
            </w:pPr>
            <w:r>
              <w:rPr/>
              <w:t xml:space="preserve">The Client makes use of all of the mandatory items in the PackMLStatusObjectType</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Information Client</w:t>
            </w:r>
          </w:p>
        </w:tc>
        <w:tc>
          <w:tcPr>
            <w:tcW w:w="4307" w:type="dxa"/>
            <w:vAlign w:val="center"/>
          </w:tcPr>
          <w:p>
            <w:pPr>
              <w:pStyle w:val="TABLE-cell"/>
            </w:pPr>
            <w:r>
              <w:rPr/>
              <w:t xml:space="preserve">The Client makes use of the BaseStateMachine. This include the list of AvailableStates and AvailableTransitions.   It also includes all mandatory states and any method associated with the states. The certification will include a list of all states and transitions used  by the Client.  This include the mandatory Sub-statemachines</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Abort Client</w:t>
            </w:r>
          </w:p>
        </w:tc>
        <w:tc>
          <w:tcPr>
            <w:tcW w:w="4307" w:type="dxa"/>
            <w:vAlign w:val="center"/>
          </w:tcPr>
          <w:p>
            <w:pPr>
              <w:pStyle w:val="TABLE-cell"/>
            </w:pPr>
            <w:r>
              <w:rPr/>
              <w:t xml:space="preserve">The Client makes use of the Abort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Clear Client</w:t>
            </w:r>
          </w:p>
        </w:tc>
        <w:tc>
          <w:tcPr>
            <w:tcW w:w="4307" w:type="dxa"/>
            <w:vAlign w:val="center"/>
          </w:tcPr>
          <w:p>
            <w:pPr>
              <w:pStyle w:val="TABLE-cell"/>
            </w:pPr>
            <w:r>
              <w:rPr/>
              <w:t xml:space="preserve">The Client makes use of the Clear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Stop Client</w:t>
            </w:r>
          </w:p>
        </w:tc>
        <w:tc>
          <w:tcPr>
            <w:tcW w:w="4307" w:type="dxa"/>
            <w:vAlign w:val="center"/>
          </w:tcPr>
          <w:p>
            <w:pPr>
              <w:pStyle w:val="TABLE-cell"/>
            </w:pPr>
            <w:r>
              <w:rPr/>
              <w:t xml:space="preserve">The Client makes use of the Stop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Reset Client</w:t>
            </w:r>
          </w:p>
        </w:tc>
        <w:tc>
          <w:tcPr>
            <w:tcW w:w="4307" w:type="dxa"/>
            <w:vAlign w:val="center"/>
          </w:tcPr>
          <w:p>
            <w:pPr>
              <w:pStyle w:val="TABLE-cell"/>
            </w:pPr>
            <w:r>
              <w:rPr/>
              <w:t xml:space="preserve">The Client makes use of the Reset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Complete Client</w:t>
            </w:r>
          </w:p>
        </w:tc>
        <w:tc>
          <w:tcPr>
            <w:tcW w:w="4307" w:type="dxa"/>
            <w:vAlign w:val="center"/>
          </w:tcPr>
          <w:p>
            <w:pPr>
              <w:pStyle w:val="TABLE-cell"/>
            </w:pPr>
            <w:r>
              <w:rPr/>
              <w:t xml:space="preserve">The Client makes use of the Complete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Start Client</w:t>
            </w:r>
          </w:p>
        </w:tc>
        <w:tc>
          <w:tcPr>
            <w:tcW w:w="4307" w:type="dxa"/>
            <w:vAlign w:val="center"/>
          </w:tcPr>
          <w:p>
            <w:pPr>
              <w:pStyle w:val="TABLE-cell"/>
            </w:pPr>
            <w:r>
              <w:rPr/>
              <w:t xml:space="preserve">The Client makes use of the Start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Unhold Client</w:t>
            </w:r>
          </w:p>
        </w:tc>
        <w:tc>
          <w:tcPr>
            <w:tcW w:w="4307" w:type="dxa"/>
            <w:vAlign w:val="center"/>
          </w:tcPr>
          <w:p>
            <w:pPr>
              <w:pStyle w:val="TABLE-cell"/>
            </w:pPr>
            <w:r>
              <w:rPr/>
              <w:t xml:space="preserve">The Client makes use of the Unhold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Suspend Client</w:t>
            </w:r>
          </w:p>
        </w:tc>
        <w:tc>
          <w:tcPr>
            <w:tcW w:w="4307" w:type="dxa"/>
            <w:vAlign w:val="center"/>
          </w:tcPr>
          <w:p>
            <w:pPr>
              <w:pStyle w:val="TABLE-cell"/>
            </w:pPr>
            <w:r>
              <w:rPr/>
              <w:t xml:space="preserve">The Client makes use of the Suspend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Hold Client</w:t>
            </w:r>
          </w:p>
        </w:tc>
        <w:tc>
          <w:tcPr>
            <w:tcW w:w="4307" w:type="dxa"/>
            <w:vAlign w:val="center"/>
          </w:tcPr>
          <w:p>
            <w:pPr>
              <w:pStyle w:val="TABLE-cell"/>
            </w:pPr>
            <w:r>
              <w:rPr/>
              <w:t xml:space="preserve">The Client makes use of the Hold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Unsuspend Client</w:t>
            </w:r>
          </w:p>
        </w:tc>
        <w:tc>
          <w:tcPr>
            <w:tcW w:w="4307" w:type="dxa"/>
            <w:vAlign w:val="center"/>
          </w:tcPr>
          <w:p>
            <w:pPr>
              <w:pStyle w:val="TABLE-cell"/>
            </w:pPr>
            <w:r>
              <w:rPr/>
              <w:t xml:space="preserve">The Client makes use of the Unsuspend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SetUnitMode Client</w:t>
            </w:r>
          </w:p>
        </w:tc>
        <w:tc>
          <w:tcPr>
            <w:tcW w:w="4307" w:type="dxa"/>
            <w:vAlign w:val="center"/>
          </w:tcPr>
          <w:p>
            <w:pPr>
              <w:pStyle w:val="TABLE-cell"/>
            </w:pPr>
            <w:r>
              <w:rPr/>
              <w:t xml:space="preserve">The Client makes use of the SetUnitMode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Set Product Client</w:t>
            </w:r>
          </w:p>
        </w:tc>
        <w:tc>
          <w:tcPr>
            <w:tcW w:w="4307" w:type="dxa"/>
            <w:vAlign w:val="center"/>
          </w:tcPr>
          <w:p>
            <w:pPr>
              <w:pStyle w:val="TABLE-cell"/>
            </w:pPr>
            <w:r>
              <w:rPr/>
              <w:t xml:space="preserve">The Client makes use of the SetProduct Method </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Machine Speed Client</w:t>
            </w:r>
          </w:p>
        </w:tc>
        <w:tc>
          <w:tcPr>
            <w:tcW w:w="4307" w:type="dxa"/>
            <w:vAlign w:val="center"/>
          </w:tcPr>
          <w:p>
            <w:pPr>
              <w:pStyle w:val="TABLE-cell"/>
            </w:pPr>
            <w:r>
              <w:rPr/>
              <w:t xml:space="preserve">The Client makes use of the SetMachSpeed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RemoteCommand Client</w:t>
            </w:r>
          </w:p>
        </w:tc>
        <w:tc>
          <w:tcPr>
            <w:tcW w:w="4307" w:type="dxa"/>
            <w:vAlign w:val="center"/>
          </w:tcPr>
          <w:p>
            <w:pPr>
              <w:pStyle w:val="TABLE-cell"/>
            </w:pPr>
            <w:r>
              <w:rPr/>
              <w:t xml:space="preserve">The Client makes use of the optional RemoteCommand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SetInterlock Client</w:t>
            </w:r>
          </w:p>
        </w:tc>
        <w:tc>
          <w:tcPr>
            <w:tcW w:w="4307" w:type="dxa"/>
            <w:vAlign w:val="center"/>
          </w:tcPr>
          <w:p>
            <w:pPr>
              <w:pStyle w:val="TABLE-cell"/>
            </w:pPr>
            <w:r>
              <w:rPr/>
              <w:t xml:space="preserve">The Client makes use of the optional SetInterlock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PackML-Status UnitModeChangeInProcess Client</w:t>
            </w:r>
          </w:p>
        </w:tc>
        <w:tc>
          <w:tcPr>
            <w:tcW w:w="4307" w:type="dxa"/>
            <w:vAlign w:val="center"/>
          </w:tcPr>
          <w:p>
            <w:pPr>
              <w:pStyle w:val="TABLE-cell"/>
            </w:pPr>
            <w:r>
              <w:rPr/>
              <w:t xml:space="preserve">The Client makes use of the UnitModeChangeInProcess flag</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PackML-Status State Client</w:t>
            </w:r>
          </w:p>
        </w:tc>
        <w:tc>
          <w:tcPr>
            <w:tcW w:w="4307" w:type="dxa"/>
            <w:vAlign w:val="center"/>
          </w:tcPr>
          <w:p>
            <w:pPr>
              <w:pStyle w:val="TABLE-cell"/>
            </w:pPr>
            <w:r>
              <w:rPr/>
              <w:t xml:space="preserve">The Client makes use of the StateRequested and StateChangeInProcess flag</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PackML-Status Interlock Client</w:t>
            </w:r>
          </w:p>
        </w:tc>
        <w:tc>
          <w:tcPr>
            <w:tcW w:w="4307" w:type="dxa"/>
            <w:vAlign w:val="center"/>
          </w:tcPr>
          <w:p>
            <w:pPr>
              <w:pStyle w:val="TABLE-cell"/>
            </w:pPr>
            <w:r>
              <w:rPr/>
              <w:t xml:space="preserve">The Client makes use of at least one MaterialInterlock and the summary MaterialInterlocked flag.</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PackML-Status RemoteParameter Client</w:t>
            </w:r>
          </w:p>
        </w:tc>
        <w:tc>
          <w:tcPr>
            <w:tcW w:w="4307" w:type="dxa"/>
            <w:vAlign w:val="center"/>
          </w:tcPr>
          <w:p>
            <w:pPr>
              <w:pStyle w:val="TABLE-cell"/>
            </w:pPr>
            <w:r>
              <w:rPr/>
              <w:t xml:space="preserve">The Client makes use of exposing of the configured RemoteParameter</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Status Product Client</w:t>
            </w:r>
          </w:p>
        </w:tc>
        <w:tc>
          <w:tcPr>
            <w:tcW w:w="4307" w:type="dxa"/>
            <w:vAlign w:val="center"/>
          </w:tcPr>
          <w:p>
            <w:pPr>
              <w:pStyle w:val="TABLE-cell"/>
            </w:pPr>
            <w:r>
              <w:rPr/>
              <w:t xml:space="preserve">The Client makes use of exposing of the configured product data</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Alarm Client</w:t>
            </w:r>
          </w:p>
        </w:tc>
        <w:tc>
          <w:tcPr>
            <w:tcW w:w="4307" w:type="dxa"/>
            <w:vAlign w:val="center"/>
          </w:tcPr>
          <w:p>
            <w:pPr>
              <w:pStyle w:val="TABLE-cell"/>
            </w:pPr>
            <w:r>
              <w:rPr/>
              <w:t xml:space="preserve">The Client makes use of the PackML Alarm instance including the Alarm extent.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Alarm History Client</w:t>
            </w:r>
          </w:p>
        </w:tc>
        <w:tc>
          <w:tcPr>
            <w:tcW w:w="4307" w:type="dxa"/>
            <w:vAlign w:val="center"/>
          </w:tcPr>
          <w:p>
            <w:pPr>
              <w:pStyle w:val="TABLE-cell"/>
            </w:pPr>
            <w:r>
              <w:rPr/>
              <w:t xml:space="preserve">The Client makes use of the PackML AlarmHistory including the Alarm history extent.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Warning Client</w:t>
            </w:r>
          </w:p>
        </w:tc>
        <w:tc>
          <w:tcPr>
            <w:tcW w:w="4307" w:type="dxa"/>
            <w:vAlign w:val="center"/>
          </w:tcPr>
          <w:p>
            <w:pPr>
              <w:pStyle w:val="TABLE-cell"/>
            </w:pPr>
            <w:r>
              <w:rPr/>
              <w:t xml:space="preserve">The Client makes use of the PackML warning instance including the warning extent.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Stop Client</w:t>
            </w:r>
          </w:p>
        </w:tc>
        <w:tc>
          <w:tcPr>
            <w:tcW w:w="4307" w:type="dxa"/>
            <w:vAlign w:val="center"/>
          </w:tcPr>
          <w:p>
            <w:pPr>
              <w:pStyle w:val="TABLE-cell"/>
            </w:pPr>
            <w:r>
              <w:rPr/>
              <w:t xml:space="preserve">The Client makes use of the PackML stop reason including the stop reason extent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mode statistics Client</w:t>
            </w:r>
          </w:p>
        </w:tc>
        <w:tc>
          <w:tcPr>
            <w:tcW w:w="4307" w:type="dxa"/>
            <w:vAlign w:val="center"/>
          </w:tcPr>
          <w:p>
            <w:pPr>
              <w:pStyle w:val="TABLE-cell"/>
            </w:pPr>
            <w:r>
              <w:rPr/>
              <w:t xml:space="preserve">The Client makes use of the ModeCurrentTime and cumulative time statistics</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state Statistics Client</w:t>
            </w:r>
          </w:p>
        </w:tc>
        <w:tc>
          <w:tcPr>
            <w:tcW w:w="4307" w:type="dxa"/>
            <w:vAlign w:val="center"/>
          </w:tcPr>
          <w:p>
            <w:pPr>
              <w:pStyle w:val="TABLE-cell"/>
            </w:pPr>
            <w:r>
              <w:rPr/>
              <w:t xml:space="preserve">The Client makes use of the StateCurrentTime and cumulative time statistics</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Client</w:t>
            </w:r>
          </w:p>
        </w:tc>
        <w:tc>
          <w:tcPr>
            <w:tcW w:w="4307" w:type="dxa"/>
            <w:vAlign w:val="center"/>
          </w:tcPr>
          <w:p>
            <w:pPr>
              <w:pStyle w:val="TABLE-cell"/>
            </w:pPr>
            <w:r>
              <w:rPr/>
              <w:t xml:space="preserve">The Client makes use of the prodrelated counts including ProdConsumedCount, ProdProcessedCount and ProdDefectiveCount.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ResetTime Client</w:t>
            </w:r>
          </w:p>
        </w:tc>
        <w:tc>
          <w:tcPr>
            <w:tcW w:w="4307" w:type="dxa"/>
            <w:vAlign w:val="center"/>
          </w:tcPr>
          <w:p>
            <w:pPr>
              <w:pStyle w:val="TABLE-cell"/>
            </w:pPr>
            <w:r>
              <w:rPr/>
              <w:t xml:space="preserve">The Client makes use of the PackML Time since reset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machine speed. Client</w:t>
            </w:r>
          </w:p>
        </w:tc>
        <w:tc>
          <w:tcPr>
            <w:tcW w:w="4307" w:type="dxa"/>
            <w:vAlign w:val="center"/>
          </w:tcPr>
          <w:p>
            <w:pPr>
              <w:pStyle w:val="TABLE-cell"/>
            </w:pPr>
            <w:r>
              <w:rPr/>
              <w:t xml:space="preserve">The Client makes use of the PackML Machine Design Speed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Machine Speed Client</w:t>
            </w:r>
          </w:p>
        </w:tc>
        <w:tc>
          <w:tcPr>
            <w:tcW w:w="4307" w:type="dxa"/>
            <w:vAlign w:val="center"/>
          </w:tcPr>
          <w:p>
            <w:pPr>
              <w:pStyle w:val="TABLE-cell"/>
            </w:pPr>
            <w:r>
              <w:rPr/>
              <w:t xml:space="preserve">The Client makes use of the CurMachSpeed information including units </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Equipment Blocked Client</w:t>
            </w:r>
          </w:p>
        </w:tc>
        <w:tc>
          <w:tcPr>
            <w:tcW w:w="4307" w:type="dxa"/>
            <w:vAlign w:val="center"/>
          </w:tcPr>
          <w:p>
            <w:pPr>
              <w:pStyle w:val="TABLE-cell"/>
            </w:pPr>
            <w:r>
              <w:rPr/>
              <w:t xml:space="preserve">The Client makes use of the EquipmentBlocked flag</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Equipment Starved Client</w:t>
            </w:r>
          </w:p>
        </w:tc>
        <w:tc>
          <w:tcPr>
            <w:tcW w:w="4307" w:type="dxa"/>
            <w:vAlign w:val="center"/>
          </w:tcPr>
          <w:p>
            <w:pPr>
              <w:pStyle w:val="TABLE-cell"/>
            </w:pPr>
            <w:r>
              <w:rPr/>
              <w:t xml:space="preserve">The Client makes use of the EquipmentStarved flag</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ProdDefectiveCount Client</w:t>
            </w:r>
          </w:p>
        </w:tc>
        <w:tc>
          <w:tcPr>
            <w:tcW w:w="4307" w:type="dxa"/>
            <w:vAlign w:val="center"/>
          </w:tcPr>
          <w:p>
            <w:pPr>
              <w:pStyle w:val="TABLE-cell"/>
            </w:pPr>
            <w:r>
              <w:rPr/>
              <w:t xml:space="preserve">The Client makes use of ProdDefectiveCount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ProdProcessedCount Client</w:t>
            </w:r>
          </w:p>
        </w:tc>
        <w:tc>
          <w:tcPr>
            <w:tcW w:w="4307" w:type="dxa"/>
            <w:vAlign w:val="center"/>
          </w:tcPr>
          <w:p>
            <w:pPr>
              <w:pStyle w:val="TABLE-cell"/>
            </w:pPr>
            <w:r>
              <w:rPr/>
              <w:t xml:space="preserve">The Client makes use of ProdProcessedCount</w:t>
            </w:r>
          </w:p>
        </w:tc>
      </w:tr>
    </w:tbl>
    <w:p>
      <w:pPr>
        <w:pStyle w:val="spacer"/>
      </w:pPr>
    </w:p>
    <w:p>
      <w:pPr>
        <w:pStyle w:val="Heading2"/>
      </w:pPr>
      <w:bookmarkStart w:name="Sts_sec_7_2" w:id="193"/>
      <w:r>
        <w:rPr/>
        <w:t xml:space="preserve">Profiles</w:t>
      </w:r>
      <w:bookmarkEnd w:id="193"/>
    </w:p>
    <w:p>
      <w:pPr>
        <w:pStyle w:val="Heading3"/>
      </w:pPr>
      <w:bookmarkStart w:name="Sts_sec_7_2_1" w:id="194"/>
      <w:r>
        <w:rPr/>
        <w:t xml:space="preserve">Profile list</w:t>
      </w:r>
      <w:bookmarkEnd w:id="194"/>
    </w:p>
    <w:p>
      <w:pPr>
        <w:pStyle w:val="PARAGRAPH"/>
      </w:pPr>
      <w:r>
        <w:fldChar w:fldCharType="begin"/>
      </w:r>
      <w:r>
        <w:instrText xml:space="preserve"> REF Sts_tbl_64 \h \* MERGEFORMAT </w:instrText>
      </w:r>
      <w:r>
        <w:fldChar w:fldCharType="separate"/>
      </w:r>
      <w:r>
        <w:rPr/>
        <w:t xml:space="preserve">Table 64</w:t>
      </w:r>
      <w:r>
        <w:fldChar w:fldCharType="end"/>
      </w:r>
      <w:r>
        <w:rPr/>
        <w:t xml:space="preserve"> lists all Profiles defined in this document and defines their URIs.</w:t>
      </w:r>
    </w:p>
    <w:p>
      <w:pPr>
        <w:pStyle w:val="TABLE-title"/>
      </w:pPr>
      <w:bookmarkStart w:name="Sts_tbl_64" w:id="195"/>
      <w:r>
        <w:t xml:space="preserve">Table </w:t>
      </w:r>
      <w:r>
        <w:fldChar w:fldCharType="begin"/>
      </w:r>
      <w:r>
        <w:instrText xml:space="preserve"> SEQ Table \* ARABIC </w:instrText>
      </w:r>
      <w:r>
        <w:fldChar w:fldCharType="separate"/>
      </w:r>
      <w:r>
        <w:rPr/>
        <w:t xml:space="preserve">64</w:t>
      </w:r>
      <w:r>
        <w:fldChar w:fldCharType="end"/>
      </w:r>
      <w:bookmarkEnd w:id="195"/>
      <w:r>
        <w:t xml:space="preserve"> – </w:t>
      </w:r>
      <w:r>
        <w:rPr/>
        <w:t xml:space="preserve">Profile URIs for PackML</w:t>
      </w:r>
    </w:p>
    <w:tbl>
      <w:tblPr>
        <w:tblStyle w:val="TableGrid"/>
        <w:tblW w:w="9070" w:type="dxa"/>
        <w:tblLayout w:type="fixed"/>
      </w:tblPr>
      <w:tblGrid>
        <w:gridCol w:w="3516"/>
        <w:gridCol w:w="5554"/>
      </w:tblGrid>
      <w:tr>
        <w:trPr>
          <w:tblHeader/>
        </w:trPr>
        <w:tc>
          <w:tcPr>
            <w:tcW w:w="3516" w:type="dxa"/>
            <w:vAlign w:val="center"/>
          </w:tcPr>
          <w:p>
            <w:pPr>
              <w:pStyle w:val="TABLE-col-heading"/>
              <w:jc w:val="left"/>
            </w:pPr>
            <w:r>
              <w:rPr/>
              <w:t xml:space="preserve">Profile</w:t>
            </w:r>
          </w:p>
        </w:tc>
        <w:tc>
          <w:tcPr>
            <w:tcW w:w="5554" w:type="dxa"/>
            <w:vAlign w:val="center"/>
          </w:tcPr>
          <w:p>
            <w:pPr>
              <w:pStyle w:val="TABLE-col-heading"/>
              <w:jc w:val="left"/>
            </w:pPr>
            <w:r>
              <w:rPr/>
              <w:t xml:space="preserve">URI</w:t>
            </w:r>
          </w:p>
        </w:tc>
      </w:tr>
      <w:tr>
        <w:tc>
          <w:tcPr>
            <w:tcW w:w="3516" w:type="dxa"/>
            <w:vAlign w:val="center"/>
          </w:tcPr>
          <w:p>
            <w:pPr>
              <w:pStyle w:val="TABLE-cell"/>
            </w:pPr>
            <w:r>
              <w:rPr/>
              <w:t xml:space="preserve">PackML Base Functionality Server Facet</w:t>
            </w:r>
          </w:p>
        </w:tc>
        <w:tc>
          <w:tcPr>
            <w:tcW w:w="5554" w:type="dxa"/>
            <w:vAlign w:val="center"/>
          </w:tcPr>
          <w:p>
            <w:pPr>
              <w:pStyle w:val="TABLE-cell"/>
            </w:pPr>
            <w:hyperlink r:id="R5380716e60a5456c">
              <w:r>
                <w:rPr>
                  <w:rStyle w:val="Hyperlink"/>
                </w:rPr>
                <w:t xml:space="preserve">http://opcfoundation.org/UA-Profile/PackML/Server/PackMLBaseServerFacet</w:t>
              </w:r>
            </w:hyperlink>
          </w:p>
        </w:tc>
      </w:tr>
      <w:tr>
        <w:tc>
          <w:tcPr>
            <w:tcW w:w="3516" w:type="dxa"/>
            <w:vAlign w:val="center"/>
          </w:tcPr>
          <w:p>
            <w:pPr>
              <w:pStyle w:val="TABLE-cell"/>
            </w:pPr>
            <w:r>
              <w:rPr/>
              <w:t xml:space="preserve">PackML Base Functionality Client Facet</w:t>
            </w:r>
          </w:p>
        </w:tc>
        <w:tc>
          <w:tcPr>
            <w:tcW w:w="5554" w:type="dxa"/>
            <w:vAlign w:val="center"/>
          </w:tcPr>
          <w:p>
            <w:pPr>
              <w:pStyle w:val="TABLE-cell"/>
            </w:pPr>
            <w:hyperlink r:id="Re02339cd195f47a9">
              <w:r>
                <w:rPr>
                  <w:rStyle w:val="Hyperlink"/>
                </w:rPr>
                <w:t xml:space="preserve">http://opcfoundation.org/UA-Profile/PackML/Client/PackMLBaseClientFacet</w:t>
              </w:r>
            </w:hyperlink>
          </w:p>
        </w:tc>
      </w:tr>
    </w:tbl>
    <w:p>
      <w:pPr>
        <w:pStyle w:val="spacer"/>
      </w:pPr>
    </w:p>
    <w:p>
      <w:pPr>
        <w:pStyle w:val="Heading3"/>
      </w:pPr>
      <w:bookmarkStart w:name="Sts_sec_7_2_2" w:id="196"/>
      <w:r>
        <w:rPr/>
        <w:t xml:space="preserve">PackML Facets</w:t>
      </w:r>
      <w:bookmarkEnd w:id="196"/>
    </w:p>
    <w:p>
      <w:pPr>
        <w:pStyle w:val="Heading4"/>
      </w:pPr>
      <w:bookmarkStart w:name="Sts_sec_7_2_2_1" w:id="197"/>
      <w:r>
        <w:rPr/>
        <w:t xml:space="preserve">Overview</w:t>
      </w:r>
      <w:bookmarkEnd w:id="197"/>
    </w:p>
    <w:p>
      <w:pPr>
        <w:pStyle w:val="PARAGRAPH"/>
      </w:pPr>
      <w:r>
        <w:rPr/>
        <w:t xml:space="preserve">The following subclauses specify the PackML Facets available for applications that implement the PackML companion specification. Each subclause defines and describes a Facet or Profile.</w:t>
      </w:r>
    </w:p>
    <w:p>
      <w:pPr>
        <w:pStyle w:val="Heading4"/>
      </w:pPr>
      <w:bookmarkStart w:name="Sts_sec_7_2_2_2" w:id="198"/>
      <w:r>
        <w:rPr/>
        <w:t xml:space="preserve">PackML Base Functionality Server Facet</w:t>
      </w:r>
      <w:bookmarkEnd w:id="198"/>
    </w:p>
    <w:p>
      <w:pPr>
        <w:pStyle w:val="PARAGRAPH"/>
      </w:pPr>
      <w:r>
        <w:rPr/>
        <w:t xml:space="preserve">This Facet defines support for base Sample server functionality.</w:t>
      </w:r>
    </w:p>
    <w:p>
      <w:pPr>
        <w:pStyle w:val="TABLE-title"/>
      </w:pPr>
      <w:bookmarkStart w:name="Sts_tbl_65" w:id="199"/>
      <w:r>
        <w:t xml:space="preserve">Table </w:t>
      </w:r>
      <w:r>
        <w:fldChar w:fldCharType="begin"/>
      </w:r>
      <w:r>
        <w:instrText xml:space="preserve"> SEQ Table \* ARABIC </w:instrText>
      </w:r>
      <w:r>
        <w:fldChar w:fldCharType="separate"/>
      </w:r>
      <w:r>
        <w:rPr/>
        <w:t xml:space="preserve">65</w:t>
      </w:r>
      <w:r>
        <w:fldChar w:fldCharType="end"/>
      </w:r>
      <w:bookmarkEnd w:id="199"/>
      <w:r>
        <w:t xml:space="preserve"> – </w:t>
      </w:r>
      <w:r>
        <w:rPr/>
        <w:t xml:space="preserve">PackML Base Functionality Server Facet</w:t>
      </w:r>
    </w:p>
    <w:tbl>
      <w:tblPr>
        <w:tblStyle w:val="TableGrid"/>
        <w:tblW w:w="9070" w:type="dxa"/>
        <w:tblLayout w:type="fixed"/>
      </w:tblPr>
      <w:tblGrid>
        <w:gridCol w:w="1577"/>
        <w:gridCol w:w="4865"/>
        <w:gridCol w:w="2628"/>
      </w:tblGrid>
      <w:tr>
        <w:trPr>
          <w:tblHeader/>
        </w:trPr>
        <w:tc>
          <w:tcPr>
            <w:tcW w:w="1577" w:type="dxa"/>
            <w:vAlign w:val="center"/>
          </w:tcPr>
          <w:p>
            <w:pPr>
              <w:pStyle w:val="TABLE-col-heading"/>
              <w:jc w:val="left"/>
            </w:pPr>
            <w:r>
              <w:rPr/>
              <w:t xml:space="preserve">Group</w:t>
            </w:r>
          </w:p>
        </w:tc>
        <w:tc>
          <w:tcPr>
            <w:tcW w:w="4865" w:type="dxa"/>
            <w:vAlign w:val="center"/>
          </w:tcPr>
          <w:p>
            <w:pPr>
              <w:pStyle w:val="TABLE-col-heading"/>
              <w:jc w:val="left"/>
            </w:pPr>
            <w:r>
              <w:rPr/>
              <w:t xml:space="preserve">Conformance Unit / Profile Title</w:t>
            </w:r>
          </w:p>
        </w:tc>
        <w:tc>
          <w:tcPr>
            <w:tcW w:w="2628" w:type="dxa"/>
            <w:vAlign w:val="center"/>
          </w:tcPr>
          <w:p>
            <w:pPr>
              <w:pStyle w:val="TABLE-col-heading"/>
              <w:jc w:val="left"/>
            </w:pPr>
            <w:r>
              <w:rPr/>
              <w:t xml:space="preserve">Mandatory / Optional</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Base Functionality</w:t>
            </w:r>
          </w:p>
        </w:tc>
        <w:tc>
          <w:tcPr>
            <w:tcW w:w="2628" w:type="dxa"/>
            <w:vAlign w:val="center"/>
          </w:tcPr>
          <w:p>
            <w:pPr>
              <w:pStyle w:val="TABLE-cell"/>
            </w:pPr>
            <w:r>
              <w:rPr/>
              <w:t xml:space="preserve">M</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Base Admin</w:t>
            </w:r>
          </w:p>
        </w:tc>
        <w:tc>
          <w:tcPr>
            <w:tcW w:w="2628" w:type="dxa"/>
            <w:vAlign w:val="center"/>
          </w:tcPr>
          <w:p>
            <w:pPr>
              <w:pStyle w:val="TABLE-cell"/>
            </w:pPr>
            <w:r>
              <w:rPr/>
              <w:t xml:space="preserve">M</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Base Status</w:t>
            </w:r>
          </w:p>
        </w:tc>
        <w:tc>
          <w:tcPr>
            <w:tcW w:w="2628" w:type="dxa"/>
            <w:vAlign w:val="center"/>
          </w:tcPr>
          <w:p>
            <w:pPr>
              <w:pStyle w:val="TABLE-cell"/>
            </w:pPr>
            <w:r>
              <w:rPr/>
              <w:t xml:space="preserve">M</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Information</w:t>
            </w:r>
          </w:p>
        </w:tc>
        <w:tc>
          <w:tcPr>
            <w:tcW w:w="2628" w:type="dxa"/>
            <w:vAlign w:val="center"/>
          </w:tcPr>
          <w:p>
            <w:pPr>
              <w:pStyle w:val="TABLE-cell"/>
            </w:pPr>
            <w:r>
              <w:rPr/>
              <w:t xml:space="preserve">M</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Abort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Clear</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Stop</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Reset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Complete</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Start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Unhold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Suspend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Hold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Unsuspend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SetUnitMode</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Set Product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Machine Speed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RemoteCommand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SetInterlock</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UnitModeRequested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UnitModeChangeInProcess</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State</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Interlock</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RemoteParameter</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Product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Alarm</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Alarm History</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Warning</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Stop</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mode statistics</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state Statistics</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ResetTime</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machine speed.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Machine Speed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Equipment Blocked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Equipment Starved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ProdDefectiveCount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ProdProcessedCount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Base TagID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Base Version</w:t>
            </w:r>
          </w:p>
        </w:tc>
        <w:tc>
          <w:tcPr>
            <w:tcW w:w="2628" w:type="dxa"/>
            <w:vAlign w:val="center"/>
          </w:tcPr>
          <w:p>
            <w:pPr>
              <w:pStyle w:val="TABLE-cell"/>
            </w:pPr>
            <w:r>
              <w:rPr/>
              <w:t xml:space="preserve">O</w:t>
            </w:r>
          </w:p>
        </w:tc>
      </w:tr>
    </w:tbl>
    <w:p>
      <w:pPr>
        <w:pStyle w:val="spacer"/>
      </w:pPr>
    </w:p>
    <w:p>
      <w:pPr>
        <w:pStyle w:val="Heading3"/>
      </w:pPr>
      <w:bookmarkStart w:name="Sts_sec_7_2_3" w:id="200"/>
      <w:r>
        <w:rPr/>
        <w:t xml:space="preserve">PackML Base</w:t>
      </w:r>
      <w:bookmarkEnd w:id="200"/>
    </w:p>
    <w:p>
      <w:pPr>
        <w:pStyle w:val="Heading4"/>
      </w:pPr>
      <w:bookmarkStart w:name="Sts_sec_7_2_3_1" w:id="201"/>
      <w:r>
        <w:rPr/>
        <w:t xml:space="preserve">Overview</w:t>
      </w:r>
      <w:bookmarkEnd w:id="201"/>
    </w:p>
    <w:p>
      <w:pPr>
        <w:pStyle w:val="PARAGRAPH"/>
      </w:pPr>
      <w:r>
        <w:rPr/>
        <w:t xml:space="preserve">The following subclauses specify the PackML Base available for applications that implement the PackML companion specification. Each subclause defines and describes a Facet or Profile.</w:t>
      </w:r>
    </w:p>
    <w:p>
      <w:pPr>
        <w:pStyle w:val="Heading4"/>
      </w:pPr>
      <w:bookmarkStart w:name="Sts_sec_7_2_3_2" w:id="202"/>
      <w:r>
        <w:rPr/>
        <w:t xml:space="preserve">PackML Base Functionality Client Facet</w:t>
      </w:r>
      <w:bookmarkEnd w:id="202"/>
    </w:p>
    <w:p>
      <w:pPr>
        <w:pStyle w:val="PARAGRAPH"/>
      </w:pPr>
      <w:r>
        <w:rPr/>
        <w:t xml:space="preserve">This Facet defines support for base Sample server functionality.</w:t>
      </w:r>
    </w:p>
    <w:p>
      <w:pPr>
        <w:pStyle w:val="TABLE-title"/>
      </w:pPr>
      <w:bookmarkStart w:name="Sts_tbl_66" w:id="203"/>
      <w:r>
        <w:t xml:space="preserve">Table </w:t>
      </w:r>
      <w:r>
        <w:fldChar w:fldCharType="begin"/>
      </w:r>
      <w:r>
        <w:instrText xml:space="preserve"> SEQ Table \* ARABIC </w:instrText>
      </w:r>
      <w:r>
        <w:fldChar w:fldCharType="separate"/>
      </w:r>
      <w:r>
        <w:rPr/>
        <w:t xml:space="preserve">66</w:t>
      </w:r>
      <w:r>
        <w:fldChar w:fldCharType="end"/>
      </w:r>
      <w:bookmarkEnd w:id="203"/>
      <w:r>
        <w:t xml:space="preserve"> – </w:t>
      </w:r>
      <w:r>
        <w:rPr/>
        <w:t xml:space="preserve">PackML Base Functionality Client Facet</w:t>
      </w:r>
    </w:p>
    <w:tbl>
      <w:tblPr>
        <w:tblStyle w:val="TableGrid"/>
        <w:tblW w:w="9070" w:type="dxa"/>
        <w:tblLayout w:type="fixed"/>
      </w:tblPr>
      <w:tblGrid>
        <w:gridCol w:w="1432"/>
        <w:gridCol w:w="5252"/>
        <w:gridCol w:w="2386"/>
      </w:tblGrid>
      <w:tr>
        <w:trPr>
          <w:tblHeader/>
        </w:trPr>
        <w:tc>
          <w:tcPr>
            <w:tcW w:w="1432" w:type="dxa"/>
            <w:vAlign w:val="center"/>
          </w:tcPr>
          <w:p>
            <w:pPr>
              <w:pStyle w:val="TABLE-col-heading"/>
              <w:jc w:val="left"/>
            </w:pPr>
            <w:r>
              <w:rPr/>
              <w:t xml:space="preserve">Group</w:t>
            </w:r>
          </w:p>
        </w:tc>
        <w:tc>
          <w:tcPr>
            <w:tcW w:w="5252" w:type="dxa"/>
            <w:vAlign w:val="center"/>
          </w:tcPr>
          <w:p>
            <w:pPr>
              <w:pStyle w:val="TABLE-col-heading"/>
              <w:jc w:val="left"/>
            </w:pPr>
            <w:r>
              <w:rPr/>
              <w:t xml:space="preserve">Conformance Unit / Profile Title</w:t>
            </w:r>
          </w:p>
        </w:tc>
        <w:tc>
          <w:tcPr>
            <w:tcW w:w="2386" w:type="dxa"/>
            <w:vAlign w:val="center"/>
          </w:tcPr>
          <w:p>
            <w:pPr>
              <w:pStyle w:val="TABLE-col-heading"/>
              <w:jc w:val="left"/>
            </w:pPr>
            <w:r>
              <w:rPr/>
              <w:t xml:space="preserve">Mandatory / Optional</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Functionality</w:t>
            </w:r>
          </w:p>
        </w:tc>
        <w:tc>
          <w:tcPr>
            <w:tcW w:w="2386" w:type="dxa"/>
            <w:vAlign w:val="center"/>
          </w:tcPr>
          <w:p>
            <w:pPr>
              <w:pStyle w:val="TABLE-cell"/>
            </w:pPr>
            <w:r>
              <w:rPr/>
              <w:t xml:space="preserve">M</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Functionality Client</w:t>
            </w:r>
          </w:p>
        </w:tc>
        <w:tc>
          <w:tcPr>
            <w:tcW w:w="2386" w:type="dxa"/>
            <w:vAlign w:val="center"/>
          </w:tcPr>
          <w:p>
            <w:pPr>
              <w:pStyle w:val="TABLE-cell"/>
            </w:pPr>
            <w:r>
              <w:rPr/>
              <w:t xml:space="preserve">M</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Version Client</w:t>
            </w:r>
          </w:p>
        </w:tc>
        <w:tc>
          <w:tcPr>
            <w:tcW w:w="2386" w:type="dxa"/>
            <w:vAlign w:val="center"/>
          </w:tcPr>
          <w:p>
            <w:pPr>
              <w:pStyle w:val="TABLE-cell"/>
            </w:pPr>
            <w:r>
              <w:rPr/>
              <w:t xml:space="preserve">M</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Status Client</w:t>
            </w:r>
          </w:p>
        </w:tc>
        <w:tc>
          <w:tcPr>
            <w:tcW w:w="2386" w:type="dxa"/>
            <w:vAlign w:val="center"/>
          </w:tcPr>
          <w:p>
            <w:pPr>
              <w:pStyle w:val="TABLE-cell"/>
            </w:pPr>
            <w:r>
              <w:rPr/>
              <w:t xml:space="preserve">M</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Information Client</w:t>
            </w:r>
          </w:p>
        </w:tc>
        <w:tc>
          <w:tcPr>
            <w:tcW w:w="2386" w:type="dxa"/>
            <w:vAlign w:val="center"/>
          </w:tcPr>
          <w:p>
            <w:pPr>
              <w:pStyle w:val="TABLE-cell"/>
            </w:pPr>
            <w:r>
              <w:rPr/>
              <w:t xml:space="preserve">M</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TagID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Version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Abort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Clear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Stop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Reset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Complete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Start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Unhold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Suspend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Hold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Unsuspend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SetUnitMode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Set Product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Machine Speed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RemoteCommand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SetInterlock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PackML-Status UnitModeChangeInProcess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PackML-Status State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PackML-Status Interlock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PackML-Status RemoteParameter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Status Product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Alarm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Alarm History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Warning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Stop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mode statistics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state Statistics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ResetTime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machine speed.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Machine Speed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Equipment Blocked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Equipment Starved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ProdDefectiveCount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ProdProcessedCount Client</w:t>
            </w:r>
          </w:p>
        </w:tc>
        <w:tc>
          <w:tcPr>
            <w:tcW w:w="2386" w:type="dxa"/>
            <w:vAlign w:val="center"/>
          </w:tcPr>
          <w:p>
            <w:pPr>
              <w:pStyle w:val="TABLE-cell"/>
            </w:pPr>
            <w:r>
              <w:rPr/>
              <w:t xml:space="preserve">O</w:t>
            </w:r>
          </w:p>
        </w:tc>
      </w:tr>
    </w:tbl>
    <w:p>
      <w:pPr>
        <w:pStyle w:val="spacer"/>
      </w:pPr>
    </w:p>
    <w:p>
      <w:pPr>
        <w:pStyle w:val="Heading1"/>
      </w:pPr>
      <w:bookmarkStart w:name="Sts_sec_8" w:id="204"/>
      <w:r>
        <w:rPr/>
        <w:t xml:space="preserve">Namespaces</w:t>
      </w:r>
      <w:bookmarkEnd w:id="204"/>
    </w:p>
    <w:p>
      <w:pPr>
        <w:pStyle w:val="Heading2"/>
      </w:pPr>
      <w:bookmarkStart w:name="Sts_sec_8_1" w:id="205"/>
      <w:r>
        <w:rPr/>
        <w:t xml:space="preserve">Namespace Metadata</w:t>
      </w:r>
      <w:bookmarkEnd w:id="205"/>
    </w:p>
    <w:p>
      <w:pPr>
        <w:pStyle w:val="PARAGRAPH"/>
      </w:pPr>
      <w:r>
        <w:fldChar w:fldCharType="begin"/>
      </w:r>
      <w:r>
        <w:instrText xml:space="preserve"> REF Sts_tbl_67 \h \* MERGEFORMAT </w:instrText>
      </w:r>
      <w:r>
        <w:fldChar w:fldCharType="separate"/>
      </w:r>
      <w:r>
        <w:rPr/>
        <w:t xml:space="preserve">Table 67</w:t>
      </w:r>
      <w:r>
        <w:fldChar w:fldCharType="end"/>
      </w:r>
      <w:r>
        <w:rPr/>
        <w:t xml:space="preserve"> defines the namespace metadata for this document. The Object is used to provide version information for the namespace and an indication about static Nodes. Static Nodes are identical for all Attributes in all Servers, including the Value Attribute.</w:t>
      </w:r>
    </w:p>
    <w:p>
      <w:pPr>
        <w:pStyle w:val="PARAGRAPH"/>
      </w:pPr>
      <w:r>
        <w:rPr/>
        <w:t xml:space="preserve">The information is provided as Object of type </w:t>
      </w:r>
      <w:r>
        <w:rPr>
          <w:i/>
        </w:rPr>
        <w:t xml:space="preserve">NamespaceMetadataType</w:t>
      </w:r>
      <w:r>
        <w:rPr/>
        <w:t xml:space="preserve">. This Object is a component of the </w:t>
      </w:r>
      <w:r>
        <w:rPr>
          <w:i/>
        </w:rPr>
        <w:t xml:space="preserve">Namespaces</w:t>
      </w:r>
      <w:r>
        <w:rPr/>
        <w:t xml:space="preserve"> Object that is part of the </w:t>
      </w:r>
      <w:r>
        <w:rPr>
          <w:i/>
        </w:rPr>
        <w:t xml:space="preserve">Server</w:t>
      </w:r>
      <w:r>
        <w:rPr/>
        <w:t xml:space="preserve"> Object. The NamespaceMetadataType ObjectType and its Properties are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The version information is also provided as part of the </w:t>
      </w:r>
      <w:r>
        <w:rPr>
          <w:i/>
        </w:rPr>
        <w:t xml:space="preserve">ModelTableEntry</w:t>
      </w:r>
      <w:r>
        <w:rPr/>
        <w:t xml:space="preserve"> in the UANodeSet XML file. The UANodeSet XML schema is defined in </w:t>
      </w:r>
      <w:r>
        <w:fldChar w:fldCharType="begin"/>
      </w:r>
      <w:r>
        <w:instrText xml:space="preserve"> REF Sts_ref_uapart6 \h \* MERGEFORMAT </w:instrText>
      </w:r>
      <w:r>
        <w:fldChar w:fldCharType="separate"/>
      </w:r>
      <w:r>
        <w:rPr/>
        <w:t xml:space="preserve">OPC 10000-6</w:t>
      </w:r>
      <w:r>
        <w:fldChar w:fldCharType="end"/>
      </w:r>
      <w:r>
        <w:rPr/>
        <w:t xml:space="preserve">.</w:t>
      </w:r>
    </w:p>
    <w:p>
      <w:pPr>
        <w:pStyle w:val="TABLE-title"/>
      </w:pPr>
      <w:bookmarkStart w:name="Sts_tbl_67" w:id="206"/>
      <w:r>
        <w:t xml:space="preserve">Table </w:t>
      </w:r>
      <w:r>
        <w:fldChar w:fldCharType="begin"/>
      </w:r>
      <w:r>
        <w:instrText xml:space="preserve"> SEQ Table \* ARABIC </w:instrText>
      </w:r>
      <w:r>
        <w:fldChar w:fldCharType="separate"/>
      </w:r>
      <w:r>
        <w:rPr/>
        <w:t xml:space="preserve">67</w:t>
      </w:r>
      <w:r>
        <w:fldChar w:fldCharType="end"/>
      </w:r>
      <w:bookmarkEnd w:id="206"/>
      <w:r>
        <w:t xml:space="preserve"> – </w:t>
      </w:r>
      <w:r>
        <w:rPr/>
        <w:t xml:space="preserve">NamespaceMetadata Object for this Document</w:t>
      </w:r>
    </w:p>
    <w:tbl>
      <w:tblPr>
        <w:tblStyle w:val="TableGrid"/>
        <w:tblW w:w="9070" w:type="dxa"/>
        <w:tblLayout w:type="fixed"/>
      </w:tblPr>
      <w:tblGrid>
        <w:gridCol w:w="2015"/>
        <w:gridCol w:w="7055"/>
      </w:tblGrid>
      <w:tr>
        <w:trPr>
          <w:tblHeader/>
        </w:trPr>
        <w:tc>
          <w:tcPr>
            <w:tcW w:w="2015" w:type="dxa"/>
            <w:vAlign w:val="center"/>
          </w:tcPr>
          <w:p>
            <w:pPr>
              <w:pStyle w:val="TABLE-col-heading"/>
              <w:jc w:val="left"/>
            </w:pPr>
            <w:r>
              <w:rPr/>
              <w:t xml:space="preserve">Attribute</w:t>
            </w:r>
          </w:p>
        </w:tc>
        <w:tc>
          <w:tcPr>
            <w:tcW w:w="7055" w:type="dxa"/>
            <w:vAlign w:val="center"/>
          </w:tcPr>
          <w:p>
            <w:pPr>
              <w:pStyle w:val="TABLE-col-heading"/>
              <w:jc w:val="left"/>
            </w:pPr>
            <w:r>
              <w:rPr/>
              <w:t xml:space="preserve">Value</w:t>
            </w:r>
          </w:p>
        </w:tc>
      </w:tr>
      <w:tr>
        <w:tc>
          <w:tcPr>
            <w:tcW w:w="2015" w:type="dxa"/>
            <w:vAlign w:val="center"/>
          </w:tcPr>
          <w:p>
            <w:pPr>
              <w:pStyle w:val="TABLE-cell"/>
            </w:pPr>
            <w:r>
              <w:rPr/>
              <w:t xml:space="preserve">BrowseName</w:t>
            </w:r>
          </w:p>
        </w:tc>
        <w:tc>
          <w:tcPr>
            <w:tcW w:w="7055" w:type="dxa"/>
            <w:vAlign w:val="center"/>
          </w:tcPr>
          <w:p>
            <w:pPr>
              <w:pStyle w:val="TABLE-cell"/>
            </w:pPr>
            <w:r>
              <w:rPr/>
              <w:t xml:space="preserve">http://opcfoundation.org/UA/PackML/</w:t>
            </w:r>
          </w:p>
        </w:tc>
      </w:tr>
    </w:tbl>
    <w:tbl>
      <w:tblPr>
        <w:tblStyle w:val="TableGrid"/>
        <w:tblW w:w="9070" w:type="dxa"/>
        <w:tblLayout w:type="fixed"/>
      </w:tblPr>
      <w:tblGrid>
        <w:gridCol w:w="3023"/>
        <w:gridCol w:w="1814"/>
        <w:gridCol w:w="4233"/>
      </w:tblGrid>
      <w:tr>
        <w:trPr>
          <w:tblHeader/>
        </w:trPr>
        <w:tc>
          <w:tcPr>
            <w:tcW w:w="3023" w:type="dxa"/>
            <w:vAlign w:val="center"/>
          </w:tcPr>
          <w:p>
            <w:pPr>
              <w:pStyle w:val="TABLE-col-heading"/>
              <w:jc w:val="left"/>
            </w:pPr>
            <w:r>
              <w:rPr/>
              <w:t xml:space="preserve">Property</w:t>
            </w:r>
          </w:p>
        </w:tc>
        <w:tc>
          <w:tcPr>
            <w:tcW w:w="1814" w:type="dxa"/>
            <w:vAlign w:val="center"/>
          </w:tcPr>
          <w:p>
            <w:pPr>
              <w:pStyle w:val="TABLE-col-heading"/>
              <w:jc w:val="left"/>
            </w:pPr>
            <w:r>
              <w:rPr/>
              <w:t xml:space="preserve">DataType</w:t>
            </w:r>
          </w:p>
        </w:tc>
        <w:tc>
          <w:tcPr>
            <w:tcW w:w="4233" w:type="dxa"/>
            <w:vAlign w:val="center"/>
          </w:tcPr>
          <w:p>
            <w:pPr>
              <w:pStyle w:val="TABLE-col-heading"/>
              <w:jc w:val="left"/>
            </w:pPr>
            <w:r>
              <w:rPr/>
              <w:t xml:space="preserve">Value</w:t>
            </w:r>
          </w:p>
        </w:tc>
      </w:tr>
      <w:tr>
        <w:tc>
          <w:tcPr>
            <w:tcW w:w="3023" w:type="dxa"/>
            <w:vAlign w:val="center"/>
          </w:tcPr>
          <w:p>
            <w:pPr>
              <w:pStyle w:val="TABLE-cell"/>
            </w:pPr>
            <w:r>
              <w:rPr/>
              <w:t xml:space="preserve">NamespaceUri</w:t>
            </w:r>
          </w:p>
        </w:tc>
        <w:tc>
          <w:tcPr>
            <w:tcW w:w="1814" w:type="dxa"/>
            <w:vAlign w:val="center"/>
          </w:tcPr>
          <w:p>
            <w:pPr>
              <w:pStyle w:val="TABLE-cell"/>
            </w:pPr>
            <w:r>
              <w:rPr/>
              <w:t xml:space="preserve">String</w:t>
            </w:r>
          </w:p>
        </w:tc>
        <w:tc>
          <w:tcPr>
            <w:tcW w:w="4233" w:type="dxa"/>
            <w:vAlign w:val="center"/>
          </w:tcPr>
          <w:p>
            <w:pPr>
              <w:pStyle w:val="TABLE-cell"/>
            </w:pPr>
            <w:r>
              <w:rPr/>
              <w:t xml:space="preserve">http://opcfoundation.org/UA/PackML/</w:t>
            </w:r>
          </w:p>
        </w:tc>
      </w:tr>
      <w:tr>
        <w:tc>
          <w:tcPr>
            <w:tcW w:w="3023" w:type="dxa"/>
            <w:vAlign w:val="center"/>
          </w:tcPr>
          <w:p>
            <w:pPr>
              <w:pStyle w:val="TABLE-cell"/>
            </w:pPr>
            <w:r>
              <w:rPr/>
              <w:t xml:space="preserve">NamespaceVersion</w:t>
            </w:r>
          </w:p>
        </w:tc>
        <w:tc>
          <w:tcPr>
            <w:tcW w:w="1814" w:type="dxa"/>
            <w:vAlign w:val="center"/>
          </w:tcPr>
          <w:p>
            <w:pPr>
              <w:pStyle w:val="TABLE-cell"/>
            </w:pPr>
            <w:r>
              <w:rPr/>
              <w:t xml:space="preserve">String</w:t>
            </w:r>
          </w:p>
        </w:tc>
        <w:tc>
          <w:tcPr>
            <w:tcW w:w="4233" w:type="dxa"/>
            <w:vAlign w:val="center"/>
          </w:tcPr>
          <w:p>
            <w:pPr>
              <w:pStyle w:val="TABLE-cell"/>
            </w:pPr>
            <w:r>
              <w:rPr/>
              <w:t xml:space="preserve">2.0.1-alpha</w:t>
            </w:r>
          </w:p>
        </w:tc>
      </w:tr>
      <w:tr>
        <w:tc>
          <w:tcPr>
            <w:tcW w:w="3023" w:type="dxa"/>
            <w:vAlign w:val="center"/>
          </w:tcPr>
          <w:p>
            <w:pPr>
              <w:pStyle w:val="TABLE-cell"/>
            </w:pPr>
            <w:r>
              <w:rPr/>
              <w:t xml:space="preserve">NamespacePublicationDate</w:t>
            </w:r>
          </w:p>
        </w:tc>
        <w:tc>
          <w:tcPr>
            <w:tcW w:w="1814" w:type="dxa"/>
            <w:vAlign w:val="center"/>
          </w:tcPr>
          <w:p>
            <w:pPr>
              <w:pStyle w:val="TABLE-cell"/>
            </w:pPr>
            <w:r>
              <w:rPr/>
              <w:t xml:space="preserve">DateTime</w:t>
            </w:r>
          </w:p>
        </w:tc>
        <w:tc>
          <w:tcPr>
            <w:tcW w:w="4233" w:type="dxa"/>
            <w:vAlign w:val="center"/>
          </w:tcPr>
          <w:p>
            <w:pPr>
              <w:pStyle w:val="TABLE-cell"/>
            </w:pPr>
            <w:r>
              <w:rPr/>
              <w:t xml:space="preserve">2026-09-08</w:t>
            </w:r>
          </w:p>
        </w:tc>
      </w:tr>
      <w:tr>
        <w:tc>
          <w:tcPr>
            <w:tcW w:w="3023" w:type="dxa"/>
            <w:vAlign w:val="center"/>
          </w:tcPr>
          <w:p>
            <w:pPr>
              <w:pStyle w:val="TABLE-cell"/>
            </w:pPr>
            <w:r>
              <w:rPr/>
              <w:t xml:space="preserve">IsNamespaceSubset</w:t>
            </w:r>
          </w:p>
        </w:tc>
        <w:tc>
          <w:tcPr>
            <w:tcW w:w="1814" w:type="dxa"/>
            <w:vAlign w:val="center"/>
          </w:tcPr>
          <w:p>
            <w:pPr>
              <w:pStyle w:val="TABLE-cell"/>
            </w:pPr>
            <w:r>
              <w:rPr/>
              <w:t xml:space="preserve">Boolean</w:t>
            </w:r>
          </w:p>
        </w:tc>
        <w:tc>
          <w:tcPr>
            <w:tcW w:w="4233" w:type="dxa"/>
            <w:vAlign w:val="center"/>
          </w:tcPr>
          <w:p>
            <w:pPr>
              <w:pStyle w:val="TABLE-cell"/>
            </w:pPr>
            <w:r>
              <w:rPr/>
              <w:t xml:space="preserve">False</w:t>
            </w:r>
          </w:p>
        </w:tc>
      </w:tr>
      <w:tr>
        <w:tc>
          <w:tcPr>
            <w:tcW w:w="3023" w:type="dxa"/>
            <w:vAlign w:val="center"/>
          </w:tcPr>
          <w:p>
            <w:pPr>
              <w:pStyle w:val="TABLE-cell"/>
            </w:pPr>
            <w:r>
              <w:rPr/>
              <w:t xml:space="preserve">StaticNodeIdTypes</w:t>
            </w:r>
          </w:p>
        </w:tc>
        <w:tc>
          <w:tcPr>
            <w:tcW w:w="1814" w:type="dxa"/>
            <w:vAlign w:val="center"/>
          </w:tcPr>
          <w:p>
            <w:pPr>
              <w:pStyle w:val="TABLE-cell"/>
            </w:pPr>
            <w:r>
              <w:rPr/>
              <w:t xml:space="preserve">IdType []</w:t>
            </w:r>
          </w:p>
        </w:tc>
        <w:tc>
          <w:tcPr>
            <w:tcW w:w="4233" w:type="dxa"/>
            <w:vAlign w:val="center"/>
          </w:tcPr>
          <w:p>
            <w:pPr>
              <w:pStyle w:val="TABLE-cell"/>
            </w:pPr>
          </w:p>
        </w:tc>
      </w:tr>
      <w:tr>
        <w:tc>
          <w:tcPr>
            <w:tcW w:w="3023" w:type="dxa"/>
            <w:vAlign w:val="center"/>
          </w:tcPr>
          <w:p>
            <w:pPr>
              <w:pStyle w:val="TABLE-cell"/>
            </w:pPr>
            <w:r>
              <w:rPr/>
              <w:t xml:space="preserve">StaticNumericNodeIdRange</w:t>
            </w:r>
          </w:p>
        </w:tc>
        <w:tc>
          <w:tcPr>
            <w:tcW w:w="1814" w:type="dxa"/>
            <w:vAlign w:val="center"/>
          </w:tcPr>
          <w:p>
            <w:pPr>
              <w:pStyle w:val="TABLE-cell"/>
            </w:pPr>
            <w:r>
              <w:rPr/>
              <w:t xml:space="preserve">NumericRange []</w:t>
            </w:r>
          </w:p>
        </w:tc>
        <w:tc>
          <w:tcPr>
            <w:tcW w:w="4233" w:type="dxa"/>
            <w:vAlign w:val="center"/>
          </w:tcPr>
          <w:p>
            <w:pPr>
              <w:pStyle w:val="TABLE-cell"/>
            </w:pPr>
          </w:p>
        </w:tc>
      </w:tr>
      <w:tr>
        <w:tc>
          <w:tcPr>
            <w:tcW w:w="3023" w:type="dxa"/>
            <w:vAlign w:val="center"/>
          </w:tcPr>
          <w:p>
            <w:pPr>
              <w:pStyle w:val="TABLE-cell"/>
            </w:pPr>
            <w:r>
              <w:rPr/>
              <w:t xml:space="preserve">StaticStringNodeIdPattern</w:t>
            </w:r>
          </w:p>
        </w:tc>
        <w:tc>
          <w:tcPr>
            <w:tcW w:w="1814" w:type="dxa"/>
            <w:vAlign w:val="center"/>
          </w:tcPr>
          <w:p>
            <w:pPr>
              <w:pStyle w:val="TABLE-cell"/>
            </w:pPr>
            <w:r>
              <w:rPr/>
              <w:t xml:space="preserve">String</w:t>
            </w:r>
          </w:p>
        </w:tc>
        <w:tc>
          <w:tcPr>
            <w:tcW w:w="4233" w:type="dxa"/>
            <w:vAlign w:val="center"/>
          </w:tcPr>
          <w:p>
            <w:pPr>
              <w:pStyle w:val="TABLE-cell"/>
            </w:pPr>
          </w:p>
        </w:tc>
      </w:tr>
    </w:tbl>
    <w:p>
      <w:pPr>
        <w:pStyle w:val="spacer"/>
      </w:pPr>
    </w:p>
    <w:p>
      <w:pPr>
        <w:pStyle w:val="PARAGRAPH"/>
      </w:pPr>
      <w:r>
        <w:rPr/>
        <w:t xml:space="preserve">The </w:t>
      </w:r>
      <w:r>
        <w:rPr>
          <w:i/>
        </w:rPr>
        <w:t xml:space="preserve">IsNamespaceSubset</w:t>
      </w:r>
      <w:r>
        <w:rPr/>
        <w:t xml:space="preserve"> Property is set to False as the UANodeSet XML file contains the complete Namespace. Servers only exposing a subset of the Namespace shall set this Property to True.</w:t>
      </w:r>
    </w:p>
    <w:p>
      <w:pPr>
        <w:pStyle w:val="Heading2"/>
      </w:pPr>
      <w:bookmarkStart w:name="Sts_sec_8_2" w:id="207"/>
      <w:r>
        <w:rPr/>
        <w:t xml:space="preserve">Handling of OPC UA Namespaces</w:t>
      </w:r>
      <w:bookmarkEnd w:id="207"/>
    </w:p>
    <w:p>
      <w:pPr>
        <w:pStyle w:val="PARAGRAPH"/>
      </w:pPr>
      <w:r>
        <w:rPr/>
        <w:t xml:space="preserve">Namespaces are used by OPC UA to create unique identifiers across different naming authorities. The Attributes </w:t>
      </w:r>
      <w:r>
        <w:rPr>
          <w:i/>
        </w:rPr>
        <w:t xml:space="preserve">NodeId</w:t>
      </w:r>
      <w:r>
        <w:rPr/>
        <w:t xml:space="preserve"> and </w:t>
      </w:r>
      <w:r>
        <w:rPr>
          <w:i/>
        </w:rPr>
        <w:t xml:space="preserve">BrowseName</w:t>
      </w:r>
      <w:r>
        <w:rPr/>
        <w:t xml:space="preserve"> are identifiers. A namespace is identified with a string, typically a URI, and is represented in the </w:t>
      </w:r>
      <w:r>
        <w:rPr>
          <w:i/>
        </w:rPr>
        <w:t xml:space="preserve">NodeId</w:t>
      </w:r>
      <w:r>
        <w:rPr/>
        <w:t xml:space="preserve"> and </w:t>
      </w:r>
      <w:r>
        <w:rPr>
          <w:i/>
        </w:rPr>
        <w:t xml:space="preserve">BrowseName</w:t>
      </w:r>
      <w:r>
        <w:rPr/>
        <w:t xml:space="preserve"> by an index into the Server's namespace table.</w:t>
      </w:r>
    </w:p>
    <w:p>
      <w:pPr>
        <w:pStyle w:val="PARAGRAPH"/>
      </w:pPr>
      <w:r>
        <w:fldChar w:fldCharType="begin"/>
      </w:r>
      <w:r>
        <w:instrText xml:space="preserve"> REF Sts_tbl_68 \h \* MERGEFORMAT </w:instrText>
      </w:r>
      <w:r>
        <w:fldChar w:fldCharType="separate"/>
      </w:r>
      <w:r>
        <w:rPr/>
        <w:t xml:space="preserve">Table 68</w:t>
      </w:r>
      <w:r>
        <w:fldChar w:fldCharType="end"/>
      </w:r>
      <w:r>
        <w:rPr/>
        <w:t xml:space="preserve"> provides a list of mandatory and optional namespaces used in an PackML Server.</w:t>
      </w:r>
    </w:p>
    <w:p>
      <w:pPr>
        <w:pStyle w:val="TABLE-title"/>
      </w:pPr>
      <w:bookmarkStart w:name="Sts_tbl_68" w:id="208"/>
      <w:r>
        <w:t xml:space="preserve">Table </w:t>
      </w:r>
      <w:r>
        <w:fldChar w:fldCharType="begin"/>
      </w:r>
      <w:r>
        <w:instrText xml:space="preserve"> SEQ Table \* ARABIC </w:instrText>
      </w:r>
      <w:r>
        <w:fldChar w:fldCharType="separate"/>
      </w:r>
      <w:r>
        <w:rPr/>
        <w:t xml:space="preserve">68</w:t>
      </w:r>
      <w:r>
        <w:fldChar w:fldCharType="end"/>
      </w:r>
      <w:bookmarkEnd w:id="208"/>
      <w:r>
        <w:t xml:space="preserve"> – </w:t>
      </w:r>
      <w:r>
        <w:rPr/>
        <w:t xml:space="preserve">Namespaces used in an PackML Server</w:t>
      </w:r>
    </w:p>
    <w:tbl>
      <w:tblPr>
        <w:tblStyle w:val="TableGrid"/>
        <w:tblW w:w="9070" w:type="dxa"/>
        <w:tblLayout w:type="fixed"/>
      </w:tblPr>
      <w:tblGrid>
        <w:gridCol w:w="4536"/>
        <w:gridCol w:w="4534"/>
      </w:tblGrid>
      <w:tr>
        <w:trPr>
          <w:tblHeader/>
        </w:trPr>
        <w:tc>
          <w:tcPr>
            <w:tcW w:w="4536" w:type="dxa"/>
            <w:vAlign w:val="center"/>
          </w:tcPr>
          <w:p>
            <w:pPr>
              <w:pStyle w:val="TABLE-col-heading"/>
              <w:jc w:val="left"/>
            </w:pPr>
            <w:r>
              <w:rPr/>
              <w:t xml:space="preserve">NamespaceURI</w:t>
            </w:r>
          </w:p>
        </w:tc>
        <w:tc>
          <w:tcPr>
            <w:tcW w:w="4534" w:type="dxa"/>
            <w:vAlign w:val="center"/>
          </w:tcPr>
          <w:p>
            <w:pPr>
              <w:pStyle w:val="TABLE-col-heading"/>
              <w:jc w:val="left"/>
            </w:pPr>
            <w:r>
              <w:rPr/>
              <w:t xml:space="preserve">Description</w:t>
            </w:r>
          </w:p>
        </w:tc>
      </w:tr>
      <w:tr>
        <w:tc>
          <w:tcPr>
            <w:tcW w:w="4536" w:type="dxa"/>
            <w:vAlign w:val="center"/>
          </w:tcPr>
          <w:p>
            <w:pPr>
              <w:pStyle w:val="TABLE-cell"/>
            </w:pPr>
            <w:r>
              <w:rPr/>
              <w:t xml:space="preserve">http://opcfoundation.org/UA/</w:t>
            </w:r>
          </w:p>
        </w:tc>
        <w:tc>
          <w:tcPr>
            <w:tcW w:w="4534"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the OPC UA specification. This namespace shall have namespace index 0.</w:t>
            </w:r>
          </w:p>
        </w:tc>
      </w:tr>
      <w:tr>
        <w:tc>
          <w:tcPr>
            <w:tcW w:w="4536" w:type="dxa"/>
            <w:vAlign w:val="center"/>
          </w:tcPr>
          <w:p>
            <w:pPr>
              <w:pStyle w:val="TABLE-cell"/>
            </w:pPr>
            <w:r>
              <w:rPr/>
              <w:t xml:space="preserve">urn:opcua:opcfoundation.org.com:2026-08:PackML</w:t>
            </w:r>
          </w:p>
        </w:tc>
        <w:tc>
          <w:tcPr>
            <w:tcW w:w="4534"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model.</w:t>
            </w:r>
          </w:p>
        </w:tc>
      </w:tr>
      <w:tr>
        <w:tc>
          <w:tcPr>
            <w:tcW w:w="4536" w:type="dxa"/>
            <w:vAlign w:val="center"/>
          </w:tcPr>
          <w:p>
            <w:pPr>
              <w:pStyle w:val="TABLE-cell"/>
            </w:pPr>
            <w:r>
              <w:rPr/>
              <w:t xml:space="preserve">http://opcfoundation.org/UA/DI/</w:t>
            </w:r>
          </w:p>
        </w:tc>
        <w:tc>
          <w:tcPr>
            <w:tcW w:w="4534"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w:t>
            </w:r>
            <w:r>
              <w:fldChar w:fldCharType="begin"/>
            </w:r>
            <w:r>
              <w:instrText xml:space="preserve"> REF Sts_ref_uapart100 \h \* MERGEFORMAT </w:instrText>
            </w:r>
            <w:r>
              <w:fldChar w:fldCharType="separate"/>
            </w:r>
            <w:r>
              <w:rPr/>
              <w:t xml:space="preserve">OPC 10000-100</w:t>
            </w:r>
            <w:r>
              <w:fldChar w:fldCharType="end"/>
            </w:r>
            <w:r>
              <w:rPr/>
              <w:t xml:space="preserve">.</w:t>
            </w:r>
          </w:p>
        </w:tc>
      </w:tr>
      <w:tr>
        <w:tc>
          <w:tcPr>
            <w:tcW w:w="4536" w:type="dxa"/>
            <w:vAlign w:val="center"/>
          </w:tcPr>
          <w:p>
            <w:pPr>
              <w:pStyle w:val="TABLE-cell"/>
            </w:pPr>
            <w:r>
              <w:rPr/>
              <w:t xml:space="preserve">http://opcfoundation.org/UA/Dictionary/IRDI</w:t>
            </w:r>
          </w:p>
        </w:tc>
        <w:tc>
          <w:tcPr>
            <w:tcW w:w="4534"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IRDI dictionary model. Note that IRDI model is never available as a single NodeSet. The NodeIds are IRDIs which identify the target even if an IRDI NodeSet with the NodeId is not available.</w:t>
            </w:r>
          </w:p>
        </w:tc>
      </w:tr>
    </w:tbl>
    <w:p>
      <w:pPr>
        <w:pStyle w:val="spacer"/>
      </w:pPr>
    </w:p>
    <w:p>
      <w:pPr>
        <w:pStyle w:val="PARAGRAPH"/>
      </w:pPr>
      <w:r>
        <w:fldChar w:fldCharType="begin"/>
      </w:r>
      <w:r>
        <w:instrText xml:space="preserve"> REF Sts_tbl_69 \h \* MERGEFORMAT </w:instrText>
      </w:r>
      <w:r>
        <w:fldChar w:fldCharType="separate"/>
      </w:r>
      <w:r>
        <w:rPr/>
        <w:t xml:space="preserve">Table 69</w:t>
      </w:r>
      <w:r>
        <w:fldChar w:fldCharType="end"/>
      </w:r>
      <w:r>
        <w:rPr/>
        <w:t xml:space="preserve"> provides a list of namespaces and their indices used for </w:t>
      </w:r>
      <w:r>
        <w:rPr>
          <w:i/>
        </w:rPr>
        <w:t xml:space="preserve">BrowseNames</w:t>
      </w:r>
      <w:r>
        <w:rPr/>
        <w:t xml:space="preserve"> in this document. A </w:t>
      </w:r>
      <w:r>
        <w:rPr>
          <w:i/>
        </w:rPr>
        <w:t xml:space="preserve">BrowseName</w:t>
      </w:r>
      <w:r>
        <w:rPr/>
        <w:t xml:space="preserve"> written without a prefix is from the default namespace of this document.</w:t>
      </w:r>
    </w:p>
    <w:p>
      <w:pPr>
        <w:pStyle w:val="TABLE-title"/>
      </w:pPr>
      <w:bookmarkStart w:name="Sts_tbl_69" w:id="209"/>
      <w:r>
        <w:t xml:space="preserve">Table </w:t>
      </w:r>
      <w:r>
        <w:fldChar w:fldCharType="begin"/>
      </w:r>
      <w:r>
        <w:instrText xml:space="preserve"> SEQ Table \* ARABIC </w:instrText>
      </w:r>
      <w:r>
        <w:fldChar w:fldCharType="separate"/>
      </w:r>
      <w:r>
        <w:rPr/>
        <w:t xml:space="preserve">69</w:t>
      </w:r>
      <w:r>
        <w:fldChar w:fldCharType="end"/>
      </w:r>
      <w:bookmarkEnd w:id="209"/>
      <w:r>
        <w:t xml:space="preserve"> – </w:t>
      </w:r>
      <w:r>
        <w:rPr/>
        <w:t xml:space="preserve">Namespaces used in this document</w:t>
      </w:r>
    </w:p>
    <w:tbl>
      <w:tblPr>
        <w:tblStyle w:val="TableGrid"/>
        <w:tblW w:w="9070" w:type="dxa"/>
        <w:tblLayout w:type="fixed"/>
      </w:tblPr>
      <w:tblGrid>
        <w:gridCol w:w="4948"/>
        <w:gridCol w:w="1722"/>
        <w:gridCol w:w="2400"/>
      </w:tblGrid>
      <w:tr>
        <w:trPr>
          <w:tblHeader/>
        </w:trPr>
        <w:tc>
          <w:tcPr>
            <w:tcW w:w="4948" w:type="dxa"/>
            <w:vAlign w:val="center"/>
          </w:tcPr>
          <w:p>
            <w:pPr>
              <w:pStyle w:val="TABLE-col-heading"/>
              <w:jc w:val="left"/>
            </w:pPr>
            <w:r>
              <w:rPr/>
              <w:t xml:space="preserve">NamespaceURI</w:t>
            </w:r>
          </w:p>
        </w:tc>
        <w:tc>
          <w:tcPr>
            <w:tcW w:w="1722" w:type="dxa"/>
            <w:vAlign w:val="center"/>
          </w:tcPr>
          <w:p>
            <w:pPr>
              <w:pStyle w:val="TABLE-col-heading"/>
              <w:jc w:val="left"/>
            </w:pPr>
            <w:r>
              <w:rPr/>
              <w:t xml:space="preserve">Namespace Index</w:t>
            </w:r>
          </w:p>
        </w:tc>
        <w:tc>
          <w:tcPr>
            <w:tcW w:w="2400" w:type="dxa"/>
            <w:vAlign w:val="center"/>
          </w:tcPr>
          <w:p>
            <w:pPr>
              <w:pStyle w:val="TABLE-col-heading"/>
              <w:jc w:val="left"/>
            </w:pPr>
            <w:r>
              <w:rPr/>
              <w:t xml:space="preserve">Example</w:t>
            </w:r>
          </w:p>
        </w:tc>
      </w:tr>
      <w:tr>
        <w:tc>
          <w:tcPr>
            <w:tcW w:w="4948" w:type="dxa"/>
            <w:vAlign w:val="center"/>
          </w:tcPr>
          <w:p>
            <w:pPr>
              <w:pStyle w:val="TABLE-cell"/>
            </w:pPr>
            <w:r>
              <w:rPr/>
              <w:t xml:space="preserve">http://opcfoundation.org/UA/</w:t>
            </w:r>
          </w:p>
        </w:tc>
        <w:tc>
          <w:tcPr>
            <w:tcW w:w="1722" w:type="dxa"/>
            <w:vAlign w:val="center"/>
          </w:tcPr>
          <w:p>
            <w:pPr>
              <w:pStyle w:val="TABLE-cell"/>
            </w:pPr>
            <w:r>
              <w:rPr/>
              <w:t xml:space="preserve">0</w:t>
            </w:r>
          </w:p>
        </w:tc>
        <w:tc>
          <w:tcPr>
            <w:tcW w:w="2400" w:type="dxa"/>
            <w:vAlign w:val="center"/>
          </w:tcPr>
          <w:p>
            <w:pPr>
              <w:pStyle w:val="TABLE-cell"/>
            </w:pPr>
            <w:r>
              <w:rPr/>
              <w:t xml:space="preserve">0:EngineeringUnits</w:t>
            </w:r>
          </w:p>
        </w:tc>
      </w:tr>
      <w:tr>
        <w:tc>
          <w:tcPr>
            <w:tcW w:w="4948" w:type="dxa"/>
            <w:vAlign w:val="center"/>
          </w:tcPr>
          <w:p>
            <w:pPr>
              <w:pStyle w:val="TABLE-cell"/>
            </w:pPr>
            <w:r>
              <w:rPr/>
              <w:t xml:space="preserve">urn:opcua:opcfoundation.org.com:2026-08:PackML</w:t>
            </w:r>
          </w:p>
        </w:tc>
        <w:tc>
          <w:tcPr>
            <w:tcW w:w="1722" w:type="dxa"/>
            <w:vAlign w:val="center"/>
          </w:tcPr>
          <w:p>
            <w:pPr>
              <w:pStyle w:val="TABLE-cell"/>
            </w:pPr>
            <w:r>
              <w:rPr/>
              <w:t xml:space="preserve">1</w:t>
            </w:r>
          </w:p>
        </w:tc>
        <w:tc>
          <w:tcPr>
            <w:tcW w:w="2400" w:type="dxa"/>
            <w:vAlign w:val="center"/>
          </w:tcPr>
          <w:p>
            <w:pPr>
              <w:pStyle w:val="TABLE-cell"/>
            </w:pPr>
          </w:p>
        </w:tc>
      </w:tr>
      <w:tr>
        <w:tc>
          <w:tcPr>
            <w:tcW w:w="4948" w:type="dxa"/>
            <w:vAlign w:val="center"/>
          </w:tcPr>
          <w:p>
            <w:pPr>
              <w:pStyle w:val="TABLE-cell"/>
            </w:pPr>
            <w:r>
              <w:rPr/>
              <w:t xml:space="preserve">http://opcfoundation.org/UA/DI/</w:t>
            </w:r>
          </w:p>
        </w:tc>
        <w:tc>
          <w:tcPr>
            <w:tcW w:w="1722" w:type="dxa"/>
            <w:vAlign w:val="center"/>
          </w:tcPr>
          <w:p>
            <w:pPr>
              <w:pStyle w:val="TABLE-cell"/>
            </w:pPr>
            <w:r>
              <w:rPr/>
              <w:t xml:space="preserve">2</w:t>
            </w:r>
          </w:p>
        </w:tc>
        <w:tc>
          <w:tcPr>
            <w:tcW w:w="2400" w:type="dxa"/>
            <w:vAlign w:val="center"/>
          </w:tcPr>
          <w:p>
            <w:pPr>
              <w:pStyle w:val="TABLE-cell"/>
            </w:pPr>
            <w:r>
              <w:rPr/>
              <w:t xml:space="preserve">2:DeviceRevision</w:t>
            </w:r>
          </w:p>
        </w:tc>
      </w:tr>
      <w:tr>
        <w:tc>
          <w:tcPr>
            <w:tcW w:w="4948" w:type="dxa"/>
            <w:vAlign w:val="center"/>
          </w:tcPr>
          <w:p>
            <w:pPr>
              <w:pStyle w:val="TABLE-cell"/>
            </w:pPr>
            <w:r>
              <w:rPr/>
              <w:t xml:space="preserve">http://opcfoundation.org/UA/Dictionary/IRDI</w:t>
            </w:r>
          </w:p>
        </w:tc>
        <w:tc>
          <w:tcPr>
            <w:tcW w:w="1722" w:type="dxa"/>
            <w:vAlign w:val="center"/>
          </w:tcPr>
          <w:p>
            <w:pPr>
              <w:pStyle w:val="TABLE-cell"/>
            </w:pPr>
            <w:r>
              <w:rPr/>
              <w:t xml:space="preserve">3</w:t>
            </w:r>
          </w:p>
        </w:tc>
        <w:tc>
          <w:tcPr>
            <w:tcW w:w="2400" w:type="dxa"/>
            <w:vAlign w:val="center"/>
          </w:tcPr>
          <w:p>
            <w:pPr>
              <w:pStyle w:val="TABLE-cell"/>
            </w:pPr>
          </w:p>
        </w:tc>
      </w:tr>
    </w:tbl>
    <w:p>
      <w:pPr>
        <w:pStyle w:val="spacer"/>
      </w:pPr>
    </w:p>
    <w:p>
      <w:pPr>
        <w:pStyle w:val="ANNEXtitle"/>
      </w:pPr>
      <w:r>
        <w:br/>
      </w:r>
      <w:r>
        <w:t xml:space="preserve">(informative)</w:t>
      </w:r>
      <w:r>
        <w:br/>
      </w:r>
      <w:bookmarkStart w:name="Sts_sec_A" w:id="210"/>
      <w:r>
        <w:rPr/>
        <w:t xml:space="preserve">Recommended localized names</w:t>
      </w:r>
      <w:bookmarkEnd w:id="210"/>
    </w:p>
    <w:p>
      <w:pPr>
        <w:pStyle w:val="ANNEX-heading1"/>
      </w:pPr>
      <w:bookmarkStart w:name="Sts_sec_A_1" w:id="211"/>
      <w:r>
        <w:rPr/>
        <w:t xml:space="preserve">Recommended state names for </w:t>
      </w:r>
      <w:r>
        <w:rPr>
          <w:i/>
        </w:rPr>
        <w:t xml:space="preserve">StateMachine</w:t>
      </w:r>
      <w:r>
        <w:rPr/>
        <w:t xml:space="preserve"> </w:t>
      </w:r>
      <w:r>
        <w:rPr>
          <w:i/>
        </w:rPr>
        <w:t xml:space="preserve">Variables</w:t>
      </w:r>
      <w:bookmarkEnd w:id="211"/>
    </w:p>
    <w:p>
      <w:pPr>
        <w:pStyle w:val="ANNEX-heading2"/>
      </w:pPr>
      <w:bookmarkStart w:name="Sts_sec_A_1_1" w:id="212"/>
      <w:r>
        <w:rPr/>
        <w:t xml:space="preserve">LocaleID "en"</w:t>
      </w:r>
      <w:bookmarkEnd w:id="212"/>
    </w:p>
    <w:p>
      <w:pPr>
        <w:pStyle w:val="PARAGRAPH"/>
      </w:pPr>
      <w:r>
        <w:rPr/>
        <w:t xml:space="preserve">The recommended state display names for the LocaleId "en" and the State values for all </w:t>
      </w:r>
      <w:r>
        <w:rPr>
          <w:i/>
        </w:rPr>
        <w:t xml:space="preserve">StateMachines</w:t>
      </w:r>
      <w:r>
        <w:rPr/>
        <w:t xml:space="preserve"> defined in this specification are listed in Table B.1</w:t>
      </w:r>
    </w:p>
    <w:p>
      <w:pPr>
        <w:pStyle w:val="TABLE-title"/>
      </w:pPr>
      <w:bookmarkStart w:name="Sts_tbl_70" w:id="213"/>
      <w:r>
        <w:t xml:space="preserve">Table </w:t>
      </w:r>
      <w:r>
        <w:fldChar w:fldCharType="begin"/>
      </w:r>
      <w:r>
        <w:instrText xml:space="preserve"> SEQ Table \* ARABIC </w:instrText>
      </w:r>
      <w:r>
        <w:fldChar w:fldCharType="separate"/>
      </w:r>
      <w:r>
        <w:rPr/>
        <w:t xml:space="preserve">70</w:t>
      </w:r>
      <w:r>
        <w:fldChar w:fldCharType="end"/>
      </w:r>
      <w:bookmarkEnd w:id="213"/>
      <w:r>
        <w:t xml:space="preserve"> – </w:t>
      </w:r>
      <w:r>
        <w:rPr/>
        <w:t xml:space="preserve">Recommended display names for LocaleId "en"</w:t>
      </w:r>
    </w:p>
    <w:tbl>
      <w:tblPr>
        <w:tblStyle w:val="TableGrid"/>
        <w:tblW w:w="9070" w:type="dxa"/>
        <w:tblLayout w:type="fixed"/>
      </w:tblPr>
      <w:tblGrid>
        <w:gridCol w:w="4112"/>
        <w:gridCol w:w="1700"/>
        <w:gridCol w:w="1700"/>
        <w:gridCol w:w="1558"/>
      </w:tblGrid>
      <w:tr>
        <w:trPr>
          <w:tblHeader/>
        </w:trPr>
        <w:tc>
          <w:tcPr>
            <w:tcW w:w="4112" w:type="dxa"/>
            <w:vAlign w:val="center"/>
          </w:tcPr>
          <w:p>
            <w:pPr>
              <w:pStyle w:val="TABLE-col-heading"/>
              <w:jc w:val="left"/>
            </w:pPr>
            <w:r>
              <w:rPr/>
              <w:t xml:space="preserve">StateMachine</w:t>
            </w:r>
          </w:p>
        </w:tc>
        <w:tc>
          <w:tcPr>
            <w:tcW w:w="1700" w:type="dxa"/>
            <w:vAlign w:val="center"/>
          </w:tcPr>
          <w:p>
            <w:pPr>
              <w:pStyle w:val="TABLE-col-heading"/>
              <w:jc w:val="left"/>
            </w:pPr>
            <w:r>
              <w:rPr/>
              <w:t xml:space="preserve">Browse Name</w:t>
            </w:r>
          </w:p>
        </w:tc>
        <w:tc>
          <w:tcPr>
            <w:tcW w:w="1700" w:type="dxa"/>
            <w:vAlign w:val="center"/>
          </w:tcPr>
          <w:p>
            <w:pPr>
              <w:pStyle w:val="TABLE-col-heading"/>
              <w:jc w:val="left"/>
            </w:pPr>
            <w:r>
              <w:rPr/>
              <w:t xml:space="preserve">display name</w:t>
            </w:r>
          </w:p>
        </w:tc>
        <w:tc>
          <w:tcPr>
            <w:tcW w:w="1558" w:type="dxa"/>
            <w:vAlign w:val="center"/>
          </w:tcPr>
          <w:p>
            <w:pPr>
              <w:pStyle w:val="TABLE-col-heading"/>
              <w:jc w:val="left"/>
            </w:pPr>
            <w:r>
              <w:rPr/>
              <w:t xml:space="preserve">State Value</w:t>
            </w:r>
          </w:p>
        </w:tc>
      </w:tr>
      <w:tr>
        <w:tc>
          <w:tcPr>
            <w:tcW w:w="4112" w:type="dxa"/>
            <w:vAlign w:val="center"/>
          </w:tcPr>
          <w:p>
            <w:pPr>
              <w:pStyle w:val="TABLE-cell"/>
            </w:pPr>
            <w:r>
              <w:rPr/>
              <w:t xml:space="preserve">PackMLBaseStateMachineType</w:t>
            </w:r>
          </w:p>
        </w:tc>
        <w:tc>
          <w:tcPr>
            <w:tcW w:w="1700" w:type="dxa"/>
            <w:vAlign w:val="center"/>
          </w:tcPr>
          <w:p>
            <w:pPr>
              <w:pStyle w:val="TABLE-cell"/>
            </w:pPr>
            <w:r>
              <w:rPr/>
              <w:t xml:space="preserve">Cleared</w:t>
            </w:r>
          </w:p>
        </w:tc>
        <w:tc>
          <w:tcPr>
            <w:tcW w:w="1700" w:type="dxa"/>
            <w:vAlign w:val="center"/>
          </w:tcPr>
          <w:p>
            <w:pPr>
              <w:pStyle w:val="TABLE-cell"/>
            </w:pPr>
            <w:r>
              <w:rPr/>
              <w:t xml:space="preserve">Cleared</w:t>
            </w:r>
          </w:p>
        </w:tc>
        <w:tc>
          <w:tcPr>
            <w:tcW w:w="1558" w:type="dxa"/>
            <w:vAlign w:val="center"/>
          </w:tcPr>
          <w:p>
            <w:pPr>
              <w:pStyle w:val="TABLE-cell"/>
            </w:pPr>
            <w:r>
              <w:rPr/>
              <w:t xml:space="preserve">18</w:t>
            </w:r>
          </w:p>
        </w:tc>
      </w:tr>
      <w:tr>
        <w:tc>
          <w:tcPr>
            <w:tcW w:w="4112" w:type="dxa"/>
            <w:vAlign w:val="center"/>
          </w:tcPr>
          <w:p>
            <w:pPr>
              <w:pStyle w:val="TABLE-cell"/>
            </w:pPr>
          </w:p>
        </w:tc>
        <w:tc>
          <w:tcPr>
            <w:tcW w:w="1700" w:type="dxa"/>
            <w:vAlign w:val="center"/>
          </w:tcPr>
          <w:p>
            <w:pPr>
              <w:pStyle w:val="TABLE-cell"/>
            </w:pPr>
            <w:r>
              <w:rPr/>
              <w:t xml:space="preserve">Aborting</w:t>
            </w:r>
          </w:p>
        </w:tc>
        <w:tc>
          <w:tcPr>
            <w:tcW w:w="1700" w:type="dxa"/>
            <w:vAlign w:val="center"/>
          </w:tcPr>
          <w:p>
            <w:pPr>
              <w:pStyle w:val="TABLE-cell"/>
            </w:pPr>
            <w:r>
              <w:rPr/>
              <w:t xml:space="preserve">Aborting</w:t>
            </w:r>
          </w:p>
        </w:tc>
        <w:tc>
          <w:tcPr>
            <w:tcW w:w="1558" w:type="dxa"/>
            <w:vAlign w:val="center"/>
          </w:tcPr>
          <w:p>
            <w:pPr>
              <w:pStyle w:val="TABLE-cell"/>
            </w:pPr>
            <w:r>
              <w:rPr/>
              <w:t xml:space="preserve">8</w:t>
            </w:r>
          </w:p>
        </w:tc>
      </w:tr>
      <w:tr>
        <w:tc>
          <w:tcPr>
            <w:tcW w:w="4112" w:type="dxa"/>
            <w:vAlign w:val="center"/>
          </w:tcPr>
          <w:p>
            <w:pPr>
              <w:pStyle w:val="TABLE-cell"/>
            </w:pPr>
          </w:p>
        </w:tc>
        <w:tc>
          <w:tcPr>
            <w:tcW w:w="1700" w:type="dxa"/>
            <w:vAlign w:val="center"/>
          </w:tcPr>
          <w:p>
            <w:pPr>
              <w:pStyle w:val="TABLE-cell"/>
            </w:pPr>
            <w:r>
              <w:rPr/>
              <w:t xml:space="preserve">Aborted</w:t>
            </w:r>
          </w:p>
        </w:tc>
        <w:tc>
          <w:tcPr>
            <w:tcW w:w="1700" w:type="dxa"/>
            <w:vAlign w:val="center"/>
          </w:tcPr>
          <w:p>
            <w:pPr>
              <w:pStyle w:val="TABLE-cell"/>
            </w:pPr>
            <w:r>
              <w:rPr/>
              <w:t xml:space="preserve">Aborted</w:t>
            </w:r>
          </w:p>
        </w:tc>
        <w:tc>
          <w:tcPr>
            <w:tcW w:w="1558" w:type="dxa"/>
            <w:vAlign w:val="center"/>
          </w:tcPr>
          <w:p>
            <w:pPr>
              <w:pStyle w:val="TABLE-cell"/>
            </w:pPr>
            <w:r>
              <w:rPr/>
              <w:t xml:space="preserve">9</w:t>
            </w:r>
          </w:p>
        </w:tc>
      </w:tr>
      <w:tr>
        <w:tc>
          <w:tcPr>
            <w:tcW w:w="4112" w:type="dxa"/>
            <w:vAlign w:val="center"/>
          </w:tcPr>
          <w:p>
            <w:pPr>
              <w:pStyle w:val="TABLE-cell"/>
            </w:pPr>
            <w:r>
              <w:rPr/>
              <w:t xml:space="preserve">PackMLMachineStateMachineType</w:t>
            </w:r>
          </w:p>
        </w:tc>
        <w:tc>
          <w:tcPr>
            <w:tcW w:w="1700" w:type="dxa"/>
            <w:vAlign w:val="center"/>
          </w:tcPr>
          <w:p>
            <w:pPr>
              <w:pStyle w:val="TABLE-cell"/>
            </w:pPr>
            <w:r>
              <w:rPr/>
              <w:t xml:space="preserve">Running</w:t>
            </w:r>
          </w:p>
        </w:tc>
        <w:tc>
          <w:tcPr>
            <w:tcW w:w="1700" w:type="dxa"/>
            <w:vAlign w:val="center"/>
          </w:tcPr>
          <w:p>
            <w:pPr>
              <w:pStyle w:val="TABLE-cell"/>
            </w:pPr>
            <w:r>
              <w:rPr/>
              <w:t xml:space="preserve">Running</w:t>
            </w:r>
          </w:p>
        </w:tc>
        <w:tc>
          <w:tcPr>
            <w:tcW w:w="1558" w:type="dxa"/>
            <w:vAlign w:val="center"/>
          </w:tcPr>
          <w:p>
            <w:pPr>
              <w:pStyle w:val="TABLE-cell"/>
            </w:pPr>
            <w:r>
              <w:rPr/>
              <w:t xml:space="preserve">19</w:t>
            </w:r>
          </w:p>
        </w:tc>
      </w:tr>
      <w:tr>
        <w:tc>
          <w:tcPr>
            <w:tcW w:w="4112" w:type="dxa"/>
            <w:vAlign w:val="center"/>
          </w:tcPr>
          <w:p>
            <w:pPr>
              <w:pStyle w:val="TABLE-cell"/>
            </w:pPr>
          </w:p>
        </w:tc>
        <w:tc>
          <w:tcPr>
            <w:tcW w:w="1700" w:type="dxa"/>
            <w:vAlign w:val="center"/>
          </w:tcPr>
          <w:p>
            <w:pPr>
              <w:pStyle w:val="TABLE-cell"/>
            </w:pPr>
            <w:r>
              <w:rPr/>
              <w:t xml:space="preserve">Clearing</w:t>
            </w:r>
          </w:p>
        </w:tc>
        <w:tc>
          <w:tcPr>
            <w:tcW w:w="1700" w:type="dxa"/>
            <w:vAlign w:val="center"/>
          </w:tcPr>
          <w:p>
            <w:pPr>
              <w:pStyle w:val="TABLE-cell"/>
            </w:pPr>
            <w:r>
              <w:rPr/>
              <w:t xml:space="preserve">Clearing</w:t>
            </w:r>
          </w:p>
        </w:tc>
        <w:tc>
          <w:tcPr>
            <w:tcW w:w="1558" w:type="dxa"/>
            <w:vAlign w:val="center"/>
          </w:tcPr>
          <w:p>
            <w:pPr>
              <w:pStyle w:val="TABLE-cell"/>
            </w:pPr>
            <w:r>
              <w:rPr/>
              <w:t xml:space="preserve">1</w:t>
            </w:r>
          </w:p>
        </w:tc>
      </w:tr>
      <w:tr>
        <w:tc>
          <w:tcPr>
            <w:tcW w:w="4112" w:type="dxa"/>
            <w:vAlign w:val="center"/>
          </w:tcPr>
          <w:p>
            <w:pPr>
              <w:pStyle w:val="TABLE-cell"/>
            </w:pPr>
          </w:p>
        </w:tc>
        <w:tc>
          <w:tcPr>
            <w:tcW w:w="1700" w:type="dxa"/>
            <w:vAlign w:val="center"/>
          </w:tcPr>
          <w:p>
            <w:pPr>
              <w:pStyle w:val="TABLE-cell"/>
            </w:pPr>
            <w:r>
              <w:rPr/>
              <w:t xml:space="preserve">Stopping</w:t>
            </w:r>
          </w:p>
        </w:tc>
        <w:tc>
          <w:tcPr>
            <w:tcW w:w="1700" w:type="dxa"/>
            <w:vAlign w:val="center"/>
          </w:tcPr>
          <w:p>
            <w:pPr>
              <w:pStyle w:val="TABLE-cell"/>
            </w:pPr>
            <w:r>
              <w:rPr/>
              <w:t xml:space="preserve">Stopping</w:t>
            </w:r>
          </w:p>
        </w:tc>
        <w:tc>
          <w:tcPr>
            <w:tcW w:w="1558" w:type="dxa"/>
            <w:vAlign w:val="center"/>
          </w:tcPr>
          <w:p>
            <w:pPr>
              <w:pStyle w:val="TABLE-cell"/>
            </w:pPr>
            <w:r>
              <w:rPr/>
              <w:t xml:space="preserve">7</w:t>
            </w:r>
          </w:p>
        </w:tc>
      </w:tr>
      <w:tr>
        <w:tc>
          <w:tcPr>
            <w:tcW w:w="4112" w:type="dxa"/>
            <w:vAlign w:val="center"/>
          </w:tcPr>
          <w:p>
            <w:pPr>
              <w:pStyle w:val="TABLE-cell"/>
            </w:pPr>
          </w:p>
        </w:tc>
        <w:tc>
          <w:tcPr>
            <w:tcW w:w="1700" w:type="dxa"/>
            <w:vAlign w:val="center"/>
          </w:tcPr>
          <w:p>
            <w:pPr>
              <w:pStyle w:val="TABLE-cell"/>
            </w:pPr>
            <w:r>
              <w:rPr/>
              <w:t xml:space="preserve">Stopped</w:t>
            </w:r>
          </w:p>
        </w:tc>
        <w:tc>
          <w:tcPr>
            <w:tcW w:w="1700" w:type="dxa"/>
            <w:vAlign w:val="center"/>
          </w:tcPr>
          <w:p>
            <w:pPr>
              <w:pStyle w:val="TABLE-cell"/>
            </w:pPr>
            <w:r>
              <w:rPr/>
              <w:t xml:space="preserve">Stopped</w:t>
            </w:r>
          </w:p>
        </w:tc>
        <w:tc>
          <w:tcPr>
            <w:tcW w:w="1558" w:type="dxa"/>
            <w:vAlign w:val="center"/>
          </w:tcPr>
          <w:p>
            <w:pPr>
              <w:pStyle w:val="TABLE-cell"/>
            </w:pPr>
            <w:r>
              <w:rPr/>
              <w:t xml:space="preserve">2</w:t>
            </w:r>
          </w:p>
        </w:tc>
      </w:tr>
      <w:tr>
        <w:tc>
          <w:tcPr>
            <w:tcW w:w="4112" w:type="dxa"/>
            <w:vAlign w:val="center"/>
          </w:tcPr>
          <w:p>
            <w:pPr>
              <w:pStyle w:val="TABLE-cell"/>
            </w:pPr>
            <w:r>
              <w:rPr/>
              <w:t xml:space="preserve">PackMLExecuteStateMachineType</w:t>
            </w:r>
          </w:p>
        </w:tc>
        <w:tc>
          <w:tcPr>
            <w:tcW w:w="1700" w:type="dxa"/>
            <w:vAlign w:val="center"/>
          </w:tcPr>
          <w:p>
            <w:pPr>
              <w:pStyle w:val="TABLE-cell"/>
            </w:pPr>
            <w:r>
              <w:rPr/>
              <w:t xml:space="preserve">Resetting</w:t>
            </w:r>
          </w:p>
        </w:tc>
        <w:tc>
          <w:tcPr>
            <w:tcW w:w="1700" w:type="dxa"/>
            <w:vAlign w:val="center"/>
          </w:tcPr>
          <w:p>
            <w:pPr>
              <w:pStyle w:val="TABLE-cell"/>
            </w:pPr>
            <w:r>
              <w:rPr/>
              <w:t xml:space="preserve">Resetting</w:t>
            </w:r>
          </w:p>
        </w:tc>
        <w:tc>
          <w:tcPr>
            <w:tcW w:w="1558" w:type="dxa"/>
            <w:vAlign w:val="center"/>
          </w:tcPr>
          <w:p>
            <w:pPr>
              <w:pStyle w:val="TABLE-cell"/>
            </w:pPr>
            <w:r>
              <w:rPr/>
              <w:t xml:space="preserve">15</w:t>
            </w:r>
          </w:p>
        </w:tc>
      </w:tr>
      <w:tr>
        <w:tc>
          <w:tcPr>
            <w:tcW w:w="4112" w:type="dxa"/>
            <w:vAlign w:val="center"/>
          </w:tcPr>
          <w:p>
            <w:pPr>
              <w:pStyle w:val="TABLE-cell"/>
            </w:pPr>
          </w:p>
        </w:tc>
        <w:tc>
          <w:tcPr>
            <w:tcW w:w="1700" w:type="dxa"/>
            <w:vAlign w:val="center"/>
          </w:tcPr>
          <w:p>
            <w:pPr>
              <w:pStyle w:val="TABLE-cell"/>
            </w:pPr>
            <w:r>
              <w:rPr/>
              <w:t xml:space="preserve">Idle</w:t>
            </w:r>
          </w:p>
        </w:tc>
        <w:tc>
          <w:tcPr>
            <w:tcW w:w="1700" w:type="dxa"/>
            <w:vAlign w:val="center"/>
          </w:tcPr>
          <w:p>
            <w:pPr>
              <w:pStyle w:val="TABLE-cell"/>
            </w:pPr>
            <w:r>
              <w:rPr/>
              <w:t xml:space="preserve">Idle</w:t>
            </w:r>
          </w:p>
        </w:tc>
        <w:tc>
          <w:tcPr>
            <w:tcW w:w="1558" w:type="dxa"/>
            <w:vAlign w:val="center"/>
          </w:tcPr>
          <w:p>
            <w:pPr>
              <w:pStyle w:val="TABLE-cell"/>
            </w:pPr>
            <w:r>
              <w:rPr/>
              <w:t xml:space="preserve">4</w:t>
            </w:r>
          </w:p>
        </w:tc>
      </w:tr>
      <w:tr>
        <w:tc>
          <w:tcPr>
            <w:tcW w:w="4112" w:type="dxa"/>
            <w:vAlign w:val="center"/>
          </w:tcPr>
          <w:p>
            <w:pPr>
              <w:pStyle w:val="TABLE-cell"/>
            </w:pPr>
          </w:p>
        </w:tc>
        <w:tc>
          <w:tcPr>
            <w:tcW w:w="1700" w:type="dxa"/>
            <w:vAlign w:val="center"/>
          </w:tcPr>
          <w:p>
            <w:pPr>
              <w:pStyle w:val="TABLE-cell"/>
            </w:pPr>
            <w:r>
              <w:rPr/>
              <w:t xml:space="preserve">Starting</w:t>
            </w:r>
          </w:p>
        </w:tc>
        <w:tc>
          <w:tcPr>
            <w:tcW w:w="1700" w:type="dxa"/>
            <w:vAlign w:val="center"/>
          </w:tcPr>
          <w:p>
            <w:pPr>
              <w:pStyle w:val="TABLE-cell"/>
            </w:pPr>
            <w:r>
              <w:rPr/>
              <w:t xml:space="preserve">Starting</w:t>
            </w:r>
          </w:p>
        </w:tc>
        <w:tc>
          <w:tcPr>
            <w:tcW w:w="1558" w:type="dxa"/>
            <w:vAlign w:val="center"/>
          </w:tcPr>
          <w:p>
            <w:pPr>
              <w:pStyle w:val="TABLE-cell"/>
            </w:pPr>
            <w:r>
              <w:rPr/>
              <w:t xml:space="preserve">3</w:t>
            </w:r>
          </w:p>
        </w:tc>
      </w:tr>
      <w:tr>
        <w:tc>
          <w:tcPr>
            <w:tcW w:w="4112" w:type="dxa"/>
            <w:vAlign w:val="center"/>
          </w:tcPr>
          <w:p>
            <w:pPr>
              <w:pStyle w:val="TABLE-cell"/>
            </w:pPr>
          </w:p>
        </w:tc>
        <w:tc>
          <w:tcPr>
            <w:tcW w:w="1700" w:type="dxa"/>
            <w:vAlign w:val="center"/>
          </w:tcPr>
          <w:p>
            <w:pPr>
              <w:pStyle w:val="TABLE-cell"/>
            </w:pPr>
            <w:r>
              <w:rPr/>
              <w:t xml:space="preserve">Unsuspending</w:t>
            </w:r>
          </w:p>
        </w:tc>
        <w:tc>
          <w:tcPr>
            <w:tcW w:w="1700" w:type="dxa"/>
            <w:vAlign w:val="center"/>
          </w:tcPr>
          <w:p>
            <w:pPr>
              <w:pStyle w:val="TABLE-cell"/>
            </w:pPr>
            <w:r>
              <w:rPr/>
              <w:t xml:space="preserve">Unsuspending</w:t>
            </w:r>
          </w:p>
        </w:tc>
        <w:tc>
          <w:tcPr>
            <w:tcW w:w="1558" w:type="dxa"/>
            <w:vAlign w:val="center"/>
          </w:tcPr>
          <w:p>
            <w:pPr>
              <w:pStyle w:val="TABLE-cell"/>
            </w:pPr>
            <w:r>
              <w:rPr/>
              <w:t xml:space="preserve">14</w:t>
            </w:r>
          </w:p>
        </w:tc>
      </w:tr>
      <w:tr>
        <w:tc>
          <w:tcPr>
            <w:tcW w:w="4112" w:type="dxa"/>
            <w:vAlign w:val="center"/>
          </w:tcPr>
          <w:p>
            <w:pPr>
              <w:pStyle w:val="TABLE-cell"/>
            </w:pPr>
          </w:p>
        </w:tc>
        <w:tc>
          <w:tcPr>
            <w:tcW w:w="1700" w:type="dxa"/>
            <w:vAlign w:val="center"/>
          </w:tcPr>
          <w:p>
            <w:pPr>
              <w:pStyle w:val="TABLE-cell"/>
            </w:pPr>
            <w:r>
              <w:rPr/>
              <w:t xml:space="preserve">Suspended</w:t>
            </w:r>
          </w:p>
        </w:tc>
        <w:tc>
          <w:tcPr>
            <w:tcW w:w="1700" w:type="dxa"/>
            <w:vAlign w:val="center"/>
          </w:tcPr>
          <w:p>
            <w:pPr>
              <w:pStyle w:val="TABLE-cell"/>
            </w:pPr>
            <w:r>
              <w:rPr/>
              <w:t xml:space="preserve">Suspended</w:t>
            </w:r>
          </w:p>
        </w:tc>
        <w:tc>
          <w:tcPr>
            <w:tcW w:w="1558" w:type="dxa"/>
            <w:vAlign w:val="center"/>
          </w:tcPr>
          <w:p>
            <w:pPr>
              <w:pStyle w:val="TABLE-cell"/>
            </w:pPr>
            <w:r>
              <w:rPr/>
              <w:t xml:space="preserve">5</w:t>
            </w:r>
          </w:p>
        </w:tc>
      </w:tr>
      <w:tr>
        <w:tc>
          <w:tcPr>
            <w:tcW w:w="4112" w:type="dxa"/>
            <w:vAlign w:val="center"/>
          </w:tcPr>
          <w:p>
            <w:pPr>
              <w:pStyle w:val="TABLE-cell"/>
            </w:pPr>
          </w:p>
        </w:tc>
        <w:tc>
          <w:tcPr>
            <w:tcW w:w="1700" w:type="dxa"/>
            <w:vAlign w:val="center"/>
          </w:tcPr>
          <w:p>
            <w:pPr>
              <w:pStyle w:val="TABLE-cell"/>
            </w:pPr>
            <w:r>
              <w:rPr/>
              <w:t xml:space="preserve">Suspending</w:t>
            </w:r>
          </w:p>
        </w:tc>
        <w:tc>
          <w:tcPr>
            <w:tcW w:w="1700" w:type="dxa"/>
            <w:vAlign w:val="center"/>
          </w:tcPr>
          <w:p>
            <w:pPr>
              <w:pStyle w:val="TABLE-cell"/>
            </w:pPr>
            <w:r>
              <w:rPr/>
              <w:t xml:space="preserve">Suspending</w:t>
            </w:r>
          </w:p>
        </w:tc>
        <w:tc>
          <w:tcPr>
            <w:tcW w:w="1558" w:type="dxa"/>
            <w:vAlign w:val="center"/>
          </w:tcPr>
          <w:p>
            <w:pPr>
              <w:pStyle w:val="TABLE-cell"/>
            </w:pPr>
            <w:r>
              <w:rPr/>
              <w:t xml:space="preserve">13</w:t>
            </w:r>
          </w:p>
        </w:tc>
      </w:tr>
      <w:tr>
        <w:tc>
          <w:tcPr>
            <w:tcW w:w="4112" w:type="dxa"/>
            <w:vAlign w:val="center"/>
          </w:tcPr>
          <w:p>
            <w:pPr>
              <w:pStyle w:val="TABLE-cell"/>
            </w:pPr>
          </w:p>
        </w:tc>
        <w:tc>
          <w:tcPr>
            <w:tcW w:w="1700" w:type="dxa"/>
            <w:vAlign w:val="center"/>
          </w:tcPr>
          <w:p>
            <w:pPr>
              <w:pStyle w:val="TABLE-cell"/>
            </w:pPr>
            <w:r>
              <w:rPr/>
              <w:t xml:space="preserve">Execute</w:t>
            </w:r>
          </w:p>
        </w:tc>
        <w:tc>
          <w:tcPr>
            <w:tcW w:w="1700" w:type="dxa"/>
            <w:vAlign w:val="center"/>
          </w:tcPr>
          <w:p>
            <w:pPr>
              <w:pStyle w:val="TABLE-cell"/>
            </w:pPr>
            <w:r>
              <w:rPr/>
              <w:t xml:space="preserve">Execute</w:t>
            </w:r>
          </w:p>
        </w:tc>
        <w:tc>
          <w:tcPr>
            <w:tcW w:w="1558" w:type="dxa"/>
            <w:vAlign w:val="center"/>
          </w:tcPr>
          <w:p>
            <w:pPr>
              <w:pStyle w:val="TABLE-cell"/>
            </w:pPr>
            <w:r>
              <w:rPr/>
              <w:t xml:space="preserve">6</w:t>
            </w:r>
          </w:p>
        </w:tc>
      </w:tr>
      <w:tr>
        <w:tc>
          <w:tcPr>
            <w:tcW w:w="4112" w:type="dxa"/>
            <w:vAlign w:val="center"/>
          </w:tcPr>
          <w:p>
            <w:pPr>
              <w:pStyle w:val="TABLE-cell"/>
            </w:pPr>
          </w:p>
        </w:tc>
        <w:tc>
          <w:tcPr>
            <w:tcW w:w="1700" w:type="dxa"/>
            <w:vAlign w:val="center"/>
          </w:tcPr>
          <w:p>
            <w:pPr>
              <w:pStyle w:val="TABLE-cell"/>
            </w:pPr>
            <w:r>
              <w:rPr/>
              <w:t xml:space="preserve">Holding</w:t>
            </w:r>
          </w:p>
        </w:tc>
        <w:tc>
          <w:tcPr>
            <w:tcW w:w="1700" w:type="dxa"/>
            <w:vAlign w:val="center"/>
          </w:tcPr>
          <w:p>
            <w:pPr>
              <w:pStyle w:val="TABLE-cell"/>
            </w:pPr>
            <w:r>
              <w:rPr/>
              <w:t xml:space="preserve">Holding</w:t>
            </w:r>
          </w:p>
        </w:tc>
        <w:tc>
          <w:tcPr>
            <w:tcW w:w="1558" w:type="dxa"/>
            <w:vAlign w:val="center"/>
          </w:tcPr>
          <w:p>
            <w:pPr>
              <w:pStyle w:val="TABLE-cell"/>
            </w:pPr>
            <w:r>
              <w:rPr/>
              <w:t xml:space="preserve">10</w:t>
            </w:r>
          </w:p>
        </w:tc>
      </w:tr>
      <w:tr>
        <w:tc>
          <w:tcPr>
            <w:tcW w:w="4112" w:type="dxa"/>
            <w:vAlign w:val="center"/>
          </w:tcPr>
          <w:p>
            <w:pPr>
              <w:pStyle w:val="TABLE-cell"/>
            </w:pPr>
          </w:p>
        </w:tc>
        <w:tc>
          <w:tcPr>
            <w:tcW w:w="1700" w:type="dxa"/>
            <w:vAlign w:val="center"/>
          </w:tcPr>
          <w:p>
            <w:pPr>
              <w:pStyle w:val="TABLE-cell"/>
            </w:pPr>
            <w:r>
              <w:rPr/>
              <w:t xml:space="preserve">Held</w:t>
            </w:r>
          </w:p>
        </w:tc>
        <w:tc>
          <w:tcPr>
            <w:tcW w:w="1700" w:type="dxa"/>
            <w:vAlign w:val="center"/>
          </w:tcPr>
          <w:p>
            <w:pPr>
              <w:pStyle w:val="TABLE-cell"/>
            </w:pPr>
            <w:r>
              <w:rPr/>
              <w:t xml:space="preserve">Held</w:t>
            </w:r>
          </w:p>
        </w:tc>
        <w:tc>
          <w:tcPr>
            <w:tcW w:w="1558" w:type="dxa"/>
            <w:vAlign w:val="center"/>
          </w:tcPr>
          <w:p>
            <w:pPr>
              <w:pStyle w:val="TABLE-cell"/>
            </w:pPr>
            <w:r>
              <w:rPr/>
              <w:t xml:space="preserve">11</w:t>
            </w:r>
          </w:p>
        </w:tc>
      </w:tr>
      <w:tr>
        <w:tc>
          <w:tcPr>
            <w:tcW w:w="4112" w:type="dxa"/>
            <w:vAlign w:val="center"/>
          </w:tcPr>
          <w:p>
            <w:pPr>
              <w:pStyle w:val="TABLE-cell"/>
            </w:pPr>
          </w:p>
        </w:tc>
        <w:tc>
          <w:tcPr>
            <w:tcW w:w="1700" w:type="dxa"/>
            <w:vAlign w:val="center"/>
          </w:tcPr>
          <w:p>
            <w:pPr>
              <w:pStyle w:val="TABLE-cell"/>
            </w:pPr>
            <w:r>
              <w:rPr/>
              <w:t xml:space="preserve">Unholding</w:t>
            </w:r>
          </w:p>
        </w:tc>
        <w:tc>
          <w:tcPr>
            <w:tcW w:w="1700" w:type="dxa"/>
            <w:vAlign w:val="center"/>
          </w:tcPr>
          <w:p>
            <w:pPr>
              <w:pStyle w:val="TABLE-cell"/>
            </w:pPr>
            <w:r>
              <w:rPr/>
              <w:t xml:space="preserve">Unholding</w:t>
            </w:r>
          </w:p>
        </w:tc>
        <w:tc>
          <w:tcPr>
            <w:tcW w:w="1558" w:type="dxa"/>
            <w:vAlign w:val="center"/>
          </w:tcPr>
          <w:p>
            <w:pPr>
              <w:pStyle w:val="TABLE-cell"/>
            </w:pPr>
            <w:r>
              <w:rPr/>
              <w:t xml:space="preserve">12</w:t>
            </w:r>
          </w:p>
        </w:tc>
      </w:tr>
      <w:tr>
        <w:tc>
          <w:tcPr>
            <w:tcW w:w="4112" w:type="dxa"/>
            <w:vAlign w:val="center"/>
          </w:tcPr>
          <w:p>
            <w:pPr>
              <w:pStyle w:val="TABLE-cell"/>
            </w:pPr>
          </w:p>
        </w:tc>
        <w:tc>
          <w:tcPr>
            <w:tcW w:w="1700" w:type="dxa"/>
            <w:vAlign w:val="center"/>
          </w:tcPr>
          <w:p>
            <w:pPr>
              <w:pStyle w:val="TABLE-cell"/>
            </w:pPr>
            <w:r>
              <w:rPr/>
              <w:t xml:space="preserve">Completing</w:t>
            </w:r>
          </w:p>
        </w:tc>
        <w:tc>
          <w:tcPr>
            <w:tcW w:w="1700" w:type="dxa"/>
            <w:vAlign w:val="center"/>
          </w:tcPr>
          <w:p>
            <w:pPr>
              <w:pStyle w:val="TABLE-cell"/>
            </w:pPr>
            <w:r>
              <w:rPr/>
              <w:t xml:space="preserve">Completing</w:t>
            </w:r>
          </w:p>
        </w:tc>
        <w:tc>
          <w:tcPr>
            <w:tcW w:w="1558" w:type="dxa"/>
            <w:vAlign w:val="center"/>
          </w:tcPr>
          <w:p>
            <w:pPr>
              <w:pStyle w:val="TABLE-cell"/>
            </w:pPr>
            <w:r>
              <w:rPr/>
              <w:t xml:space="preserve">16</w:t>
            </w:r>
          </w:p>
        </w:tc>
      </w:tr>
      <w:tr>
        <w:tc>
          <w:tcPr>
            <w:tcW w:w="4112" w:type="dxa"/>
            <w:vAlign w:val="center"/>
          </w:tcPr>
          <w:p>
            <w:pPr>
              <w:pStyle w:val="TABLE-cell"/>
            </w:pPr>
          </w:p>
        </w:tc>
        <w:tc>
          <w:tcPr>
            <w:tcW w:w="1700" w:type="dxa"/>
            <w:vAlign w:val="center"/>
          </w:tcPr>
          <w:p>
            <w:pPr>
              <w:pStyle w:val="TABLE-cell"/>
            </w:pPr>
            <w:r>
              <w:rPr/>
              <w:t xml:space="preserve">Complete</w:t>
            </w:r>
          </w:p>
        </w:tc>
        <w:tc>
          <w:tcPr>
            <w:tcW w:w="1700" w:type="dxa"/>
            <w:vAlign w:val="center"/>
          </w:tcPr>
          <w:p>
            <w:pPr>
              <w:pStyle w:val="TABLE-cell"/>
            </w:pPr>
            <w:r>
              <w:rPr/>
              <w:t xml:space="preserve">Complete</w:t>
            </w:r>
          </w:p>
        </w:tc>
        <w:tc>
          <w:tcPr>
            <w:tcW w:w="1558" w:type="dxa"/>
            <w:vAlign w:val="center"/>
          </w:tcPr>
          <w:p>
            <w:pPr>
              <w:pStyle w:val="TABLE-cell"/>
            </w:pPr>
            <w:r>
              <w:rPr/>
              <w:t xml:space="preserve">17</w:t>
            </w:r>
          </w:p>
        </w:tc>
      </w:tr>
    </w:tbl>
    <w:p>
      <w:pPr>
        <w:pStyle w:val="spacer"/>
      </w:pPr>
    </w:p>
    <w:p>
      <w:pPr>
        <w:pStyle w:val="ANNEX-heading2"/>
      </w:pPr>
      <w:bookmarkStart w:name="Sts_sec_A_1_2" w:id="214"/>
      <w:r>
        <w:rPr/>
        <w:t xml:space="preserve">LocaleID "de"</w:t>
      </w:r>
      <w:bookmarkEnd w:id="214"/>
    </w:p>
    <w:p>
      <w:pPr>
        <w:pStyle w:val="PARAGRAPH"/>
      </w:pPr>
      <w:r>
        <w:rPr/>
        <w:t xml:space="preserve">The recommended state display names for the LocaleId "de" are listed in Table B.2&lt;break /&gt;&lt;xref ref-type="other" rid="ref_382998185"&gt; &lt;/xref&gt;.</w:t>
      </w:r>
    </w:p>
    <w:p>
      <w:pPr>
        <w:pStyle w:val="TABLE-title"/>
      </w:pPr>
      <w:bookmarkStart w:name="Sts_tbl_71" w:id="215"/>
      <w:r>
        <w:t xml:space="preserve">Table </w:t>
      </w:r>
      <w:r>
        <w:fldChar w:fldCharType="begin"/>
      </w:r>
      <w:r>
        <w:instrText xml:space="preserve"> SEQ Table \* ARABIC </w:instrText>
      </w:r>
      <w:r>
        <w:fldChar w:fldCharType="separate"/>
      </w:r>
      <w:r>
        <w:rPr/>
        <w:t xml:space="preserve">71</w:t>
      </w:r>
      <w:r>
        <w:fldChar w:fldCharType="end"/>
      </w:r>
      <w:bookmarkEnd w:id="215"/>
      <w:r>
        <w:t xml:space="preserve"> – </w:t>
      </w:r>
      <w:r>
        <w:rPr/>
        <w:t xml:space="preserve">Recommended display names for LocaleId "de"</w:t>
      </w:r>
    </w:p>
    <w:tbl>
      <w:tblPr>
        <w:tblStyle w:val="TableGrid"/>
        <w:tblW w:w="9070" w:type="dxa"/>
        <w:tblLayout w:type="fixed"/>
      </w:tblPr>
      <w:tblGrid>
        <w:gridCol w:w="3151"/>
        <w:gridCol w:w="1680"/>
        <w:gridCol w:w="2944"/>
        <w:gridCol w:w="1295"/>
      </w:tblGrid>
      <w:tr>
        <w:trPr>
          <w:tblHeader/>
        </w:trPr>
        <w:tc>
          <w:tcPr>
            <w:tcW w:w="3151" w:type="dxa"/>
            <w:vAlign w:val="center"/>
          </w:tcPr>
          <w:p>
            <w:pPr>
              <w:pStyle w:val="TABLE-col-heading"/>
              <w:jc w:val="left"/>
            </w:pPr>
            <w:r>
              <w:rPr/>
              <w:t xml:space="preserve">StateMachine</w:t>
            </w:r>
          </w:p>
        </w:tc>
        <w:tc>
          <w:tcPr>
            <w:tcW w:w="1680" w:type="dxa"/>
            <w:vAlign w:val="center"/>
          </w:tcPr>
          <w:p>
            <w:pPr>
              <w:pStyle w:val="TABLE-col-heading"/>
              <w:jc w:val="left"/>
            </w:pPr>
            <w:r>
              <w:rPr/>
              <w:t xml:space="preserve">Browse Name</w:t>
            </w:r>
          </w:p>
        </w:tc>
        <w:tc>
          <w:tcPr>
            <w:tcW w:w="2944" w:type="dxa"/>
            <w:vAlign w:val="center"/>
          </w:tcPr>
          <w:p>
            <w:pPr>
              <w:pStyle w:val="TABLE-col-heading"/>
              <w:jc w:val="left"/>
            </w:pPr>
            <w:r>
              <w:rPr/>
              <w:t xml:space="preserve">display name</w:t>
            </w:r>
          </w:p>
        </w:tc>
        <w:tc>
          <w:tcPr>
            <w:tcW w:w="1295" w:type="dxa"/>
            <w:vAlign w:val="center"/>
          </w:tcPr>
          <w:p>
            <w:pPr>
              <w:pStyle w:val="TABLE-col-heading"/>
              <w:jc w:val="left"/>
            </w:pPr>
            <w:r>
              <w:rPr/>
              <w:t xml:space="preserve">State Value</w:t>
            </w:r>
          </w:p>
        </w:tc>
      </w:tr>
      <w:tr>
        <w:tc>
          <w:tcPr>
            <w:tcW w:w="3151" w:type="dxa"/>
            <w:vAlign w:val="center"/>
          </w:tcPr>
          <w:p>
            <w:pPr>
              <w:pStyle w:val="TABLE-cell"/>
            </w:pPr>
            <w:r>
              <w:rPr/>
              <w:t xml:space="preserve">PackMLBaseStateMachineType</w:t>
            </w:r>
          </w:p>
        </w:tc>
        <w:tc>
          <w:tcPr>
            <w:tcW w:w="1680" w:type="dxa"/>
            <w:vAlign w:val="center"/>
          </w:tcPr>
          <w:p>
            <w:pPr>
              <w:pStyle w:val="TABLE-cell"/>
            </w:pPr>
            <w:r>
              <w:rPr/>
              <w:t xml:space="preserve">Cleared</w:t>
            </w:r>
          </w:p>
        </w:tc>
        <w:tc>
          <w:tcPr>
            <w:tcW w:w="2944" w:type="dxa"/>
            <w:vAlign w:val="center"/>
          </w:tcPr>
          <w:p>
            <w:pPr>
              <w:pStyle w:val="TABLE-cell"/>
            </w:pPr>
            <w:r>
              <w:rPr/>
              <w:t xml:space="preserve">Geleert</w:t>
            </w:r>
          </w:p>
        </w:tc>
        <w:tc>
          <w:tcPr>
            <w:tcW w:w="1295" w:type="dxa"/>
            <w:vAlign w:val="center"/>
          </w:tcPr>
          <w:p>
            <w:pPr>
              <w:pStyle w:val="TABLE-cell"/>
            </w:pPr>
            <w:r>
              <w:rPr/>
              <w:t xml:space="preserve">18</w:t>
            </w:r>
          </w:p>
        </w:tc>
      </w:tr>
      <w:tr>
        <w:tc>
          <w:tcPr>
            <w:tcW w:w="3151" w:type="dxa"/>
            <w:vAlign w:val="center"/>
          </w:tcPr>
          <w:p>
            <w:pPr>
              <w:pStyle w:val="TABLE-cell"/>
            </w:pPr>
          </w:p>
        </w:tc>
        <w:tc>
          <w:tcPr>
            <w:tcW w:w="1680" w:type="dxa"/>
            <w:vAlign w:val="center"/>
          </w:tcPr>
          <w:p>
            <w:pPr>
              <w:pStyle w:val="TABLE-cell"/>
            </w:pPr>
            <w:r>
              <w:rPr/>
              <w:t xml:space="preserve">Aborting</w:t>
            </w:r>
          </w:p>
        </w:tc>
        <w:tc>
          <w:tcPr>
            <w:tcW w:w="2944" w:type="dxa"/>
            <w:vAlign w:val="center"/>
          </w:tcPr>
          <w:p>
            <w:pPr>
              <w:pStyle w:val="TABLE-cell"/>
            </w:pPr>
            <w:r>
              <w:rPr/>
              <w:t xml:space="preserve">Abbrechen</w:t>
            </w:r>
          </w:p>
        </w:tc>
        <w:tc>
          <w:tcPr>
            <w:tcW w:w="1295" w:type="dxa"/>
            <w:vAlign w:val="center"/>
          </w:tcPr>
          <w:p>
            <w:pPr>
              <w:pStyle w:val="TABLE-cell"/>
            </w:pPr>
            <w:r>
              <w:rPr/>
              <w:t xml:space="preserve">8</w:t>
            </w:r>
          </w:p>
        </w:tc>
      </w:tr>
      <w:tr>
        <w:tc>
          <w:tcPr>
            <w:tcW w:w="3151" w:type="dxa"/>
            <w:vAlign w:val="center"/>
          </w:tcPr>
          <w:p>
            <w:pPr>
              <w:pStyle w:val="TABLE-cell"/>
            </w:pPr>
          </w:p>
        </w:tc>
        <w:tc>
          <w:tcPr>
            <w:tcW w:w="1680" w:type="dxa"/>
            <w:vAlign w:val="center"/>
          </w:tcPr>
          <w:p>
            <w:pPr>
              <w:pStyle w:val="TABLE-cell"/>
            </w:pPr>
            <w:r>
              <w:rPr/>
              <w:t xml:space="preserve">Aborted</w:t>
            </w:r>
          </w:p>
        </w:tc>
        <w:tc>
          <w:tcPr>
            <w:tcW w:w="2944" w:type="dxa"/>
            <w:vAlign w:val="center"/>
          </w:tcPr>
          <w:p>
            <w:pPr>
              <w:pStyle w:val="TABLE-cell"/>
            </w:pPr>
            <w:r>
              <w:rPr/>
              <w:t xml:space="preserve">Abgebrochen</w:t>
            </w:r>
          </w:p>
        </w:tc>
        <w:tc>
          <w:tcPr>
            <w:tcW w:w="1295" w:type="dxa"/>
            <w:vAlign w:val="center"/>
          </w:tcPr>
          <w:p>
            <w:pPr>
              <w:pStyle w:val="TABLE-cell"/>
            </w:pPr>
            <w:r>
              <w:rPr/>
              <w:t xml:space="preserve">9</w:t>
            </w:r>
          </w:p>
        </w:tc>
      </w:tr>
      <w:tr>
        <w:tc>
          <w:tcPr>
            <w:tcW w:w="3151" w:type="dxa"/>
            <w:vAlign w:val="center"/>
          </w:tcPr>
          <w:p>
            <w:pPr>
              <w:pStyle w:val="TABLE-cell"/>
            </w:pPr>
            <w:r>
              <w:rPr/>
              <w:t xml:space="preserve">PackMLMachineStateMachineType</w:t>
            </w:r>
          </w:p>
        </w:tc>
        <w:tc>
          <w:tcPr>
            <w:tcW w:w="1680" w:type="dxa"/>
            <w:vAlign w:val="center"/>
          </w:tcPr>
          <w:p>
            <w:pPr>
              <w:pStyle w:val="TABLE-cell"/>
            </w:pPr>
            <w:r>
              <w:rPr/>
              <w:t xml:space="preserve">Running</w:t>
            </w:r>
          </w:p>
        </w:tc>
        <w:tc>
          <w:tcPr>
            <w:tcW w:w="2944" w:type="dxa"/>
            <w:vAlign w:val="center"/>
          </w:tcPr>
          <w:p>
            <w:pPr>
              <w:pStyle w:val="TABLE-cell"/>
            </w:pPr>
            <w:r>
              <w:rPr/>
              <w:t xml:space="preserve">Im Betrieb</w:t>
            </w:r>
          </w:p>
        </w:tc>
        <w:tc>
          <w:tcPr>
            <w:tcW w:w="1295" w:type="dxa"/>
            <w:vAlign w:val="center"/>
          </w:tcPr>
          <w:p>
            <w:pPr>
              <w:pStyle w:val="TABLE-cell"/>
            </w:pPr>
            <w:r>
              <w:rPr/>
              <w:t xml:space="preserve">19</w:t>
            </w:r>
          </w:p>
        </w:tc>
      </w:tr>
      <w:tr>
        <w:tc>
          <w:tcPr>
            <w:tcW w:w="3151" w:type="dxa"/>
            <w:vAlign w:val="center"/>
          </w:tcPr>
          <w:p>
            <w:pPr>
              <w:pStyle w:val="TABLE-cell"/>
            </w:pPr>
          </w:p>
        </w:tc>
        <w:tc>
          <w:tcPr>
            <w:tcW w:w="1680" w:type="dxa"/>
            <w:vAlign w:val="center"/>
          </w:tcPr>
          <w:p>
            <w:pPr>
              <w:pStyle w:val="TABLE-cell"/>
            </w:pPr>
            <w:r>
              <w:rPr/>
              <w:t xml:space="preserve">Clearing</w:t>
            </w:r>
          </w:p>
        </w:tc>
        <w:tc>
          <w:tcPr>
            <w:tcW w:w="2944" w:type="dxa"/>
            <w:vAlign w:val="center"/>
          </w:tcPr>
          <w:p>
            <w:pPr>
              <w:pStyle w:val="TABLE-cell"/>
            </w:pPr>
            <w:r>
              <w:rPr/>
              <w:t xml:space="preserve">Leeren</w:t>
            </w:r>
          </w:p>
        </w:tc>
        <w:tc>
          <w:tcPr>
            <w:tcW w:w="1295" w:type="dxa"/>
            <w:vAlign w:val="center"/>
          </w:tcPr>
          <w:p>
            <w:pPr>
              <w:pStyle w:val="TABLE-cell"/>
            </w:pPr>
            <w:r>
              <w:rPr/>
              <w:t xml:space="preserve">1</w:t>
            </w:r>
          </w:p>
        </w:tc>
      </w:tr>
      <w:tr>
        <w:tc>
          <w:tcPr>
            <w:tcW w:w="3151" w:type="dxa"/>
            <w:vAlign w:val="center"/>
          </w:tcPr>
          <w:p>
            <w:pPr>
              <w:pStyle w:val="TABLE-cell"/>
            </w:pPr>
          </w:p>
        </w:tc>
        <w:tc>
          <w:tcPr>
            <w:tcW w:w="1680" w:type="dxa"/>
            <w:vAlign w:val="center"/>
          </w:tcPr>
          <w:p>
            <w:pPr>
              <w:pStyle w:val="TABLE-cell"/>
            </w:pPr>
            <w:r>
              <w:rPr/>
              <w:t xml:space="preserve">Stopping</w:t>
            </w:r>
          </w:p>
        </w:tc>
        <w:tc>
          <w:tcPr>
            <w:tcW w:w="2944" w:type="dxa"/>
            <w:vAlign w:val="center"/>
          </w:tcPr>
          <w:p>
            <w:pPr>
              <w:pStyle w:val="TABLE-cell"/>
            </w:pPr>
            <w:r>
              <w:rPr/>
              <w:t xml:space="preserve">Stoppen</w:t>
            </w:r>
          </w:p>
        </w:tc>
        <w:tc>
          <w:tcPr>
            <w:tcW w:w="1295" w:type="dxa"/>
            <w:vAlign w:val="center"/>
          </w:tcPr>
          <w:p>
            <w:pPr>
              <w:pStyle w:val="TABLE-cell"/>
            </w:pPr>
            <w:r>
              <w:rPr/>
              <w:t xml:space="preserve">7</w:t>
            </w:r>
          </w:p>
        </w:tc>
      </w:tr>
      <w:tr>
        <w:tc>
          <w:tcPr>
            <w:tcW w:w="3151" w:type="dxa"/>
            <w:vAlign w:val="center"/>
          </w:tcPr>
          <w:p>
            <w:pPr>
              <w:pStyle w:val="TABLE-cell"/>
            </w:pPr>
          </w:p>
        </w:tc>
        <w:tc>
          <w:tcPr>
            <w:tcW w:w="1680" w:type="dxa"/>
            <w:vAlign w:val="center"/>
          </w:tcPr>
          <w:p>
            <w:pPr>
              <w:pStyle w:val="TABLE-cell"/>
            </w:pPr>
            <w:r>
              <w:rPr/>
              <w:t xml:space="preserve">Stopped</w:t>
            </w:r>
          </w:p>
        </w:tc>
        <w:tc>
          <w:tcPr>
            <w:tcW w:w="2944" w:type="dxa"/>
            <w:vAlign w:val="center"/>
          </w:tcPr>
          <w:p>
            <w:pPr>
              <w:pStyle w:val="TABLE-cell"/>
            </w:pPr>
            <w:r>
              <w:rPr/>
              <w:t xml:space="preserve">Gestoppt</w:t>
            </w:r>
          </w:p>
        </w:tc>
        <w:tc>
          <w:tcPr>
            <w:tcW w:w="1295" w:type="dxa"/>
            <w:vAlign w:val="center"/>
          </w:tcPr>
          <w:p>
            <w:pPr>
              <w:pStyle w:val="TABLE-cell"/>
            </w:pPr>
            <w:r>
              <w:rPr/>
              <w:t xml:space="preserve">2</w:t>
            </w:r>
          </w:p>
        </w:tc>
      </w:tr>
      <w:tr>
        <w:tc>
          <w:tcPr>
            <w:tcW w:w="3151" w:type="dxa"/>
            <w:vAlign w:val="center"/>
          </w:tcPr>
          <w:p>
            <w:pPr>
              <w:pStyle w:val="TABLE-cell"/>
            </w:pPr>
            <w:r>
              <w:rPr/>
              <w:t xml:space="preserve">PackMLExecuteStateMachineType</w:t>
            </w:r>
          </w:p>
        </w:tc>
        <w:tc>
          <w:tcPr>
            <w:tcW w:w="1680" w:type="dxa"/>
            <w:vAlign w:val="center"/>
          </w:tcPr>
          <w:p>
            <w:pPr>
              <w:pStyle w:val="TABLE-cell"/>
            </w:pPr>
            <w:r>
              <w:rPr/>
              <w:t xml:space="preserve">Resetting</w:t>
            </w:r>
          </w:p>
        </w:tc>
        <w:tc>
          <w:tcPr>
            <w:tcW w:w="2944" w:type="dxa"/>
            <w:vAlign w:val="center"/>
          </w:tcPr>
          <w:p>
            <w:pPr>
              <w:pStyle w:val="TABLE-cell"/>
            </w:pPr>
            <w:r>
              <w:rPr/>
              <w:t xml:space="preserve">Rücksetzen</w:t>
            </w:r>
          </w:p>
        </w:tc>
        <w:tc>
          <w:tcPr>
            <w:tcW w:w="1295" w:type="dxa"/>
            <w:vAlign w:val="center"/>
          </w:tcPr>
          <w:p>
            <w:pPr>
              <w:pStyle w:val="TABLE-cell"/>
            </w:pPr>
            <w:r>
              <w:rPr/>
              <w:t xml:space="preserve">15</w:t>
            </w:r>
          </w:p>
        </w:tc>
      </w:tr>
      <w:tr>
        <w:tc>
          <w:tcPr>
            <w:tcW w:w="3151" w:type="dxa"/>
            <w:vAlign w:val="center"/>
          </w:tcPr>
          <w:p>
            <w:pPr>
              <w:pStyle w:val="TABLE-cell"/>
            </w:pPr>
          </w:p>
        </w:tc>
        <w:tc>
          <w:tcPr>
            <w:tcW w:w="1680" w:type="dxa"/>
            <w:vAlign w:val="center"/>
          </w:tcPr>
          <w:p>
            <w:pPr>
              <w:pStyle w:val="TABLE-cell"/>
            </w:pPr>
            <w:r>
              <w:rPr/>
              <w:t xml:space="preserve">Idle</w:t>
            </w:r>
          </w:p>
        </w:tc>
        <w:tc>
          <w:tcPr>
            <w:tcW w:w="2944" w:type="dxa"/>
            <w:vAlign w:val="center"/>
          </w:tcPr>
          <w:p>
            <w:pPr>
              <w:pStyle w:val="TABLE-cell"/>
            </w:pPr>
            <w:r>
              <w:rPr/>
              <w:t xml:space="preserve">Leerlauf</w:t>
            </w:r>
          </w:p>
        </w:tc>
        <w:tc>
          <w:tcPr>
            <w:tcW w:w="1295" w:type="dxa"/>
            <w:vAlign w:val="center"/>
          </w:tcPr>
          <w:p>
            <w:pPr>
              <w:pStyle w:val="TABLE-cell"/>
            </w:pPr>
            <w:r>
              <w:rPr/>
              <w:t xml:space="preserve">4</w:t>
            </w:r>
          </w:p>
        </w:tc>
      </w:tr>
      <w:tr>
        <w:tc>
          <w:tcPr>
            <w:tcW w:w="3151" w:type="dxa"/>
            <w:vAlign w:val="center"/>
          </w:tcPr>
          <w:p>
            <w:pPr>
              <w:pStyle w:val="TABLE-cell"/>
            </w:pPr>
          </w:p>
        </w:tc>
        <w:tc>
          <w:tcPr>
            <w:tcW w:w="1680" w:type="dxa"/>
            <w:vAlign w:val="center"/>
          </w:tcPr>
          <w:p>
            <w:pPr>
              <w:pStyle w:val="TABLE-cell"/>
            </w:pPr>
            <w:r>
              <w:rPr/>
              <w:t xml:space="preserve">Starting</w:t>
            </w:r>
          </w:p>
        </w:tc>
        <w:tc>
          <w:tcPr>
            <w:tcW w:w="2944" w:type="dxa"/>
            <w:vAlign w:val="center"/>
          </w:tcPr>
          <w:p>
            <w:pPr>
              <w:pStyle w:val="TABLE-cell"/>
            </w:pPr>
            <w:r>
              <w:rPr/>
              <w:t xml:space="preserve">Anlaufen</w:t>
            </w:r>
          </w:p>
        </w:tc>
        <w:tc>
          <w:tcPr>
            <w:tcW w:w="1295" w:type="dxa"/>
            <w:vAlign w:val="center"/>
          </w:tcPr>
          <w:p>
            <w:pPr>
              <w:pStyle w:val="TABLE-cell"/>
            </w:pPr>
            <w:r>
              <w:rPr/>
              <w:t xml:space="preserve">3</w:t>
            </w:r>
          </w:p>
        </w:tc>
      </w:tr>
      <w:tr>
        <w:tc>
          <w:tcPr>
            <w:tcW w:w="3151" w:type="dxa"/>
            <w:vAlign w:val="center"/>
          </w:tcPr>
          <w:p>
            <w:pPr>
              <w:pStyle w:val="TABLE-cell"/>
            </w:pPr>
          </w:p>
        </w:tc>
        <w:tc>
          <w:tcPr>
            <w:tcW w:w="1680" w:type="dxa"/>
            <w:vAlign w:val="center"/>
          </w:tcPr>
          <w:p>
            <w:pPr>
              <w:pStyle w:val="TABLE-cell"/>
            </w:pPr>
            <w:r>
              <w:rPr/>
              <w:t xml:space="preserve">Unsuspending</w:t>
            </w:r>
          </w:p>
        </w:tc>
        <w:tc>
          <w:tcPr>
            <w:tcW w:w="2944" w:type="dxa"/>
            <w:vAlign w:val="center"/>
          </w:tcPr>
          <w:p>
            <w:pPr>
              <w:pStyle w:val="TABLE-cell"/>
            </w:pPr>
            <w:r>
              <w:rPr/>
              <w:t xml:space="preserve">Aus Bereitschaft anlaufen</w:t>
            </w:r>
          </w:p>
        </w:tc>
        <w:tc>
          <w:tcPr>
            <w:tcW w:w="1295" w:type="dxa"/>
            <w:vAlign w:val="center"/>
          </w:tcPr>
          <w:p>
            <w:pPr>
              <w:pStyle w:val="TABLE-cell"/>
            </w:pPr>
            <w:r>
              <w:rPr/>
              <w:t xml:space="preserve">14</w:t>
            </w:r>
          </w:p>
        </w:tc>
      </w:tr>
      <w:tr>
        <w:tc>
          <w:tcPr>
            <w:tcW w:w="3151" w:type="dxa"/>
            <w:vAlign w:val="center"/>
          </w:tcPr>
          <w:p>
            <w:pPr>
              <w:pStyle w:val="TABLE-cell"/>
            </w:pPr>
          </w:p>
        </w:tc>
        <w:tc>
          <w:tcPr>
            <w:tcW w:w="1680" w:type="dxa"/>
            <w:vAlign w:val="center"/>
          </w:tcPr>
          <w:p>
            <w:pPr>
              <w:pStyle w:val="TABLE-cell"/>
            </w:pPr>
            <w:r>
              <w:rPr/>
              <w:t xml:space="preserve">Suspended</w:t>
            </w:r>
          </w:p>
        </w:tc>
        <w:tc>
          <w:tcPr>
            <w:tcW w:w="2944" w:type="dxa"/>
            <w:vAlign w:val="center"/>
          </w:tcPr>
          <w:p>
            <w:pPr>
              <w:pStyle w:val="TABLE-cell"/>
            </w:pPr>
            <w:r>
              <w:rPr/>
              <w:t xml:space="preserve">In Bereitschaft</w:t>
            </w:r>
          </w:p>
        </w:tc>
        <w:tc>
          <w:tcPr>
            <w:tcW w:w="1295" w:type="dxa"/>
            <w:vAlign w:val="center"/>
          </w:tcPr>
          <w:p>
            <w:pPr>
              <w:pStyle w:val="TABLE-cell"/>
            </w:pPr>
            <w:r>
              <w:rPr/>
              <w:t xml:space="preserve">5</w:t>
            </w:r>
          </w:p>
        </w:tc>
      </w:tr>
      <w:tr>
        <w:tc>
          <w:tcPr>
            <w:tcW w:w="3151" w:type="dxa"/>
            <w:vAlign w:val="center"/>
          </w:tcPr>
          <w:p>
            <w:pPr>
              <w:pStyle w:val="TABLE-cell"/>
            </w:pPr>
          </w:p>
        </w:tc>
        <w:tc>
          <w:tcPr>
            <w:tcW w:w="1680" w:type="dxa"/>
            <w:vAlign w:val="center"/>
          </w:tcPr>
          <w:p>
            <w:pPr>
              <w:pStyle w:val="TABLE-cell"/>
            </w:pPr>
            <w:r>
              <w:rPr/>
              <w:t xml:space="preserve">Suspending</w:t>
            </w:r>
          </w:p>
        </w:tc>
        <w:tc>
          <w:tcPr>
            <w:tcW w:w="2944" w:type="dxa"/>
            <w:vAlign w:val="center"/>
          </w:tcPr>
          <w:p>
            <w:pPr>
              <w:pStyle w:val="TABLE-cell"/>
            </w:pPr>
            <w:r>
              <w:rPr/>
              <w:t xml:space="preserve">Aussetzend</w:t>
            </w:r>
          </w:p>
        </w:tc>
        <w:tc>
          <w:tcPr>
            <w:tcW w:w="1295" w:type="dxa"/>
            <w:vAlign w:val="center"/>
          </w:tcPr>
          <w:p>
            <w:pPr>
              <w:pStyle w:val="TABLE-cell"/>
            </w:pPr>
            <w:r>
              <w:rPr/>
              <w:t xml:space="preserve">13</w:t>
            </w:r>
          </w:p>
        </w:tc>
      </w:tr>
      <w:tr>
        <w:tc>
          <w:tcPr>
            <w:tcW w:w="3151" w:type="dxa"/>
            <w:vAlign w:val="center"/>
          </w:tcPr>
          <w:p>
            <w:pPr>
              <w:pStyle w:val="TABLE-cell"/>
            </w:pPr>
          </w:p>
        </w:tc>
        <w:tc>
          <w:tcPr>
            <w:tcW w:w="1680" w:type="dxa"/>
            <w:vAlign w:val="center"/>
          </w:tcPr>
          <w:p>
            <w:pPr>
              <w:pStyle w:val="TABLE-cell"/>
            </w:pPr>
            <w:r>
              <w:rPr/>
              <w:t xml:space="preserve">Execute</w:t>
            </w:r>
          </w:p>
        </w:tc>
        <w:tc>
          <w:tcPr>
            <w:tcW w:w="2944" w:type="dxa"/>
            <w:vAlign w:val="center"/>
          </w:tcPr>
          <w:p>
            <w:pPr>
              <w:pStyle w:val="TABLE-cell"/>
            </w:pPr>
            <w:r>
              <w:rPr/>
              <w:t xml:space="preserve">Ausführen</w:t>
            </w:r>
          </w:p>
        </w:tc>
        <w:tc>
          <w:tcPr>
            <w:tcW w:w="1295" w:type="dxa"/>
            <w:vAlign w:val="center"/>
          </w:tcPr>
          <w:p>
            <w:pPr>
              <w:pStyle w:val="TABLE-cell"/>
            </w:pPr>
            <w:r>
              <w:rPr/>
              <w:t xml:space="preserve">6</w:t>
            </w:r>
          </w:p>
        </w:tc>
      </w:tr>
      <w:tr>
        <w:tc>
          <w:tcPr>
            <w:tcW w:w="3151" w:type="dxa"/>
            <w:vAlign w:val="center"/>
          </w:tcPr>
          <w:p>
            <w:pPr>
              <w:pStyle w:val="TABLE-cell"/>
            </w:pPr>
          </w:p>
        </w:tc>
        <w:tc>
          <w:tcPr>
            <w:tcW w:w="1680" w:type="dxa"/>
            <w:vAlign w:val="center"/>
          </w:tcPr>
          <w:p>
            <w:pPr>
              <w:pStyle w:val="TABLE-cell"/>
            </w:pPr>
            <w:r>
              <w:rPr/>
              <w:t xml:space="preserve">Holding</w:t>
            </w:r>
          </w:p>
        </w:tc>
        <w:tc>
          <w:tcPr>
            <w:tcW w:w="2944" w:type="dxa"/>
            <w:vAlign w:val="center"/>
          </w:tcPr>
          <w:p>
            <w:pPr>
              <w:pStyle w:val="TABLE-cell"/>
            </w:pPr>
            <w:r>
              <w:rPr/>
              <w:t xml:space="preserve">Innehalten</w:t>
            </w:r>
          </w:p>
        </w:tc>
        <w:tc>
          <w:tcPr>
            <w:tcW w:w="1295" w:type="dxa"/>
            <w:vAlign w:val="center"/>
          </w:tcPr>
          <w:p>
            <w:pPr>
              <w:pStyle w:val="TABLE-cell"/>
            </w:pPr>
            <w:r>
              <w:rPr/>
              <w:t xml:space="preserve">10</w:t>
            </w:r>
          </w:p>
        </w:tc>
      </w:tr>
      <w:tr>
        <w:tc>
          <w:tcPr>
            <w:tcW w:w="3151" w:type="dxa"/>
            <w:vAlign w:val="center"/>
          </w:tcPr>
          <w:p>
            <w:pPr>
              <w:pStyle w:val="TABLE-cell"/>
            </w:pPr>
          </w:p>
        </w:tc>
        <w:tc>
          <w:tcPr>
            <w:tcW w:w="1680" w:type="dxa"/>
            <w:vAlign w:val="center"/>
          </w:tcPr>
          <w:p>
            <w:pPr>
              <w:pStyle w:val="TABLE-cell"/>
            </w:pPr>
            <w:r>
              <w:rPr/>
              <w:t xml:space="preserve">Held</w:t>
            </w:r>
          </w:p>
        </w:tc>
        <w:tc>
          <w:tcPr>
            <w:tcW w:w="2944" w:type="dxa"/>
            <w:vAlign w:val="center"/>
          </w:tcPr>
          <w:p>
            <w:pPr>
              <w:pStyle w:val="TABLE-cell"/>
            </w:pPr>
            <w:r>
              <w:rPr/>
              <w:t xml:space="preserve">Angehalten</w:t>
            </w:r>
          </w:p>
        </w:tc>
        <w:tc>
          <w:tcPr>
            <w:tcW w:w="1295" w:type="dxa"/>
            <w:vAlign w:val="center"/>
          </w:tcPr>
          <w:p>
            <w:pPr>
              <w:pStyle w:val="TABLE-cell"/>
            </w:pPr>
            <w:r>
              <w:rPr/>
              <w:t xml:space="preserve">11</w:t>
            </w:r>
          </w:p>
        </w:tc>
      </w:tr>
      <w:tr>
        <w:tc>
          <w:tcPr>
            <w:tcW w:w="3151" w:type="dxa"/>
            <w:vAlign w:val="center"/>
          </w:tcPr>
          <w:p>
            <w:pPr>
              <w:pStyle w:val="TABLE-cell"/>
            </w:pPr>
          </w:p>
        </w:tc>
        <w:tc>
          <w:tcPr>
            <w:tcW w:w="1680" w:type="dxa"/>
            <w:vAlign w:val="center"/>
          </w:tcPr>
          <w:p>
            <w:pPr>
              <w:pStyle w:val="TABLE-cell"/>
            </w:pPr>
            <w:r>
              <w:rPr/>
              <w:t xml:space="preserve">Unholding</w:t>
            </w:r>
          </w:p>
        </w:tc>
        <w:tc>
          <w:tcPr>
            <w:tcW w:w="2944" w:type="dxa"/>
            <w:vAlign w:val="center"/>
          </w:tcPr>
          <w:p>
            <w:pPr>
              <w:pStyle w:val="TABLE-cell"/>
            </w:pPr>
            <w:r>
              <w:rPr/>
              <w:t xml:space="preserve">Wiederanlaufen</w:t>
            </w:r>
          </w:p>
        </w:tc>
        <w:tc>
          <w:tcPr>
            <w:tcW w:w="1295" w:type="dxa"/>
            <w:vAlign w:val="center"/>
          </w:tcPr>
          <w:p>
            <w:pPr>
              <w:pStyle w:val="TABLE-cell"/>
            </w:pPr>
            <w:r>
              <w:rPr/>
              <w:t xml:space="preserve">12</w:t>
            </w:r>
          </w:p>
        </w:tc>
      </w:tr>
      <w:tr>
        <w:tc>
          <w:tcPr>
            <w:tcW w:w="3151" w:type="dxa"/>
            <w:vAlign w:val="center"/>
          </w:tcPr>
          <w:p>
            <w:pPr>
              <w:pStyle w:val="TABLE-cell"/>
            </w:pPr>
          </w:p>
        </w:tc>
        <w:tc>
          <w:tcPr>
            <w:tcW w:w="1680" w:type="dxa"/>
            <w:vAlign w:val="center"/>
          </w:tcPr>
          <w:p>
            <w:pPr>
              <w:pStyle w:val="TABLE-cell"/>
            </w:pPr>
            <w:r>
              <w:rPr/>
              <w:t xml:space="preserve">Completing</w:t>
            </w:r>
          </w:p>
        </w:tc>
        <w:tc>
          <w:tcPr>
            <w:tcW w:w="2944" w:type="dxa"/>
            <w:vAlign w:val="center"/>
          </w:tcPr>
          <w:p>
            <w:pPr>
              <w:pStyle w:val="TABLE-cell"/>
            </w:pPr>
            <w:r>
              <w:rPr/>
              <w:t xml:space="preserve">Fertigstellen</w:t>
            </w:r>
          </w:p>
        </w:tc>
        <w:tc>
          <w:tcPr>
            <w:tcW w:w="1295" w:type="dxa"/>
            <w:vAlign w:val="center"/>
          </w:tcPr>
          <w:p>
            <w:pPr>
              <w:pStyle w:val="TABLE-cell"/>
            </w:pPr>
            <w:r>
              <w:rPr/>
              <w:t xml:space="preserve">16</w:t>
            </w:r>
          </w:p>
        </w:tc>
      </w:tr>
      <w:tr>
        <w:tc>
          <w:tcPr>
            <w:tcW w:w="3151" w:type="dxa"/>
            <w:vAlign w:val="center"/>
          </w:tcPr>
          <w:p>
            <w:pPr>
              <w:pStyle w:val="TABLE-cell"/>
            </w:pPr>
          </w:p>
        </w:tc>
        <w:tc>
          <w:tcPr>
            <w:tcW w:w="1680" w:type="dxa"/>
            <w:vAlign w:val="center"/>
          </w:tcPr>
          <w:p>
            <w:pPr>
              <w:pStyle w:val="TABLE-cell"/>
            </w:pPr>
            <w:r>
              <w:rPr/>
              <w:t xml:space="preserve">Complete</w:t>
            </w:r>
          </w:p>
        </w:tc>
        <w:tc>
          <w:tcPr>
            <w:tcW w:w="2944" w:type="dxa"/>
            <w:vAlign w:val="center"/>
          </w:tcPr>
          <w:p>
            <w:pPr>
              <w:pStyle w:val="TABLE-cell"/>
            </w:pPr>
            <w:r>
              <w:rPr/>
              <w:t xml:space="preserve">Vollständig</w:t>
            </w:r>
          </w:p>
        </w:tc>
        <w:tc>
          <w:tcPr>
            <w:tcW w:w="1295" w:type="dxa"/>
            <w:vAlign w:val="center"/>
          </w:tcPr>
          <w:p>
            <w:pPr>
              <w:pStyle w:val="TABLE-cell"/>
            </w:pPr>
            <w:r>
              <w:rPr/>
              <w:t xml:space="preserve">17</w:t>
            </w:r>
          </w:p>
        </w:tc>
      </w:tr>
    </w:tbl>
    <w:p>
      <w:pPr>
        <w:pStyle w:val="spacer"/>
      </w:pPr>
    </w:p>
    <w:p>
      <w:pPr>
        <w:pStyle w:val="ANNEX-heading2"/>
      </w:pPr>
      <w:bookmarkStart w:name="Sts_sec_A_1_3" w:id="216"/>
      <w:r>
        <w:rPr/>
        <w:t xml:space="preserve">LocaleID "fr"</w:t>
      </w:r>
      <w:bookmarkEnd w:id="216"/>
    </w:p>
    <w:p>
      <w:pPr>
        <w:pStyle w:val="PARAGRAPH"/>
      </w:pPr>
      <w:r>
        <w:rPr/>
        <w:t xml:space="preserve">The recommended state display names for the LocaleId "fr" are listed in Table B.3</w:t>
      </w:r>
    </w:p>
    <w:p>
      <w:pPr>
        <w:pStyle w:val="TABLE-title"/>
      </w:pPr>
      <w:bookmarkStart w:name="Sts_tbl_72" w:id="217"/>
      <w:r>
        <w:t xml:space="preserve">Table </w:t>
      </w:r>
      <w:r>
        <w:fldChar w:fldCharType="begin"/>
      </w:r>
      <w:r>
        <w:instrText xml:space="preserve"> SEQ Table \* ARABIC </w:instrText>
      </w:r>
      <w:r>
        <w:fldChar w:fldCharType="separate"/>
      </w:r>
      <w:r>
        <w:rPr/>
        <w:t xml:space="preserve">72</w:t>
      </w:r>
      <w:r>
        <w:fldChar w:fldCharType="end"/>
      </w:r>
      <w:bookmarkEnd w:id="217"/>
      <w:r>
        <w:t xml:space="preserve"> – </w:t>
      </w:r>
      <w:r>
        <w:rPr/>
        <w:t xml:space="preserve">Recommended display names for LocaleId "fr"</w:t>
      </w:r>
    </w:p>
    <w:tbl>
      <w:tblPr>
        <w:tblStyle w:val="TableGrid"/>
        <w:tblW w:w="9070" w:type="dxa"/>
        <w:tblLayout w:type="fixed"/>
      </w:tblPr>
      <w:tblGrid>
        <w:gridCol w:w="3763"/>
        <w:gridCol w:w="1680"/>
        <w:gridCol w:w="2160"/>
        <w:gridCol w:w="1467"/>
      </w:tblGrid>
      <w:tr>
        <w:trPr>
          <w:tblHeader/>
        </w:trPr>
        <w:tc>
          <w:tcPr>
            <w:tcW w:w="3763" w:type="dxa"/>
            <w:vAlign w:val="center"/>
          </w:tcPr>
          <w:p>
            <w:pPr>
              <w:pStyle w:val="TABLE-col-heading"/>
              <w:jc w:val="left"/>
            </w:pPr>
            <w:r>
              <w:rPr/>
              <w:t xml:space="preserve">StateMachine</w:t>
            </w:r>
          </w:p>
        </w:tc>
        <w:tc>
          <w:tcPr>
            <w:tcW w:w="1680" w:type="dxa"/>
            <w:vAlign w:val="center"/>
          </w:tcPr>
          <w:p>
            <w:pPr>
              <w:pStyle w:val="TABLE-col-heading"/>
              <w:jc w:val="left"/>
            </w:pPr>
            <w:r>
              <w:rPr/>
              <w:t xml:space="preserve">Browse Name</w:t>
            </w:r>
          </w:p>
        </w:tc>
        <w:tc>
          <w:tcPr>
            <w:tcW w:w="2160" w:type="dxa"/>
            <w:vAlign w:val="center"/>
          </w:tcPr>
          <w:p>
            <w:pPr>
              <w:pStyle w:val="TABLE-col-heading"/>
              <w:jc w:val="left"/>
            </w:pPr>
            <w:r>
              <w:rPr/>
              <w:t xml:space="preserve">display name</w:t>
            </w:r>
          </w:p>
        </w:tc>
        <w:tc>
          <w:tcPr>
            <w:tcW w:w="1467" w:type="dxa"/>
            <w:vAlign w:val="center"/>
          </w:tcPr>
          <w:p>
            <w:pPr>
              <w:pStyle w:val="TABLE-col-heading"/>
              <w:jc w:val="left"/>
            </w:pPr>
            <w:r>
              <w:rPr/>
              <w:t xml:space="preserve">State Value</w:t>
            </w:r>
          </w:p>
        </w:tc>
      </w:tr>
      <w:tr>
        <w:tc>
          <w:tcPr>
            <w:tcW w:w="3763" w:type="dxa"/>
            <w:vAlign w:val="center"/>
          </w:tcPr>
          <w:p>
            <w:pPr>
              <w:pStyle w:val="TABLE-cell"/>
            </w:pPr>
            <w:r>
              <w:rPr/>
              <w:t xml:space="preserve">PackMLBaseStateMachineType</w:t>
            </w:r>
          </w:p>
        </w:tc>
        <w:tc>
          <w:tcPr>
            <w:tcW w:w="1680" w:type="dxa"/>
            <w:vAlign w:val="center"/>
          </w:tcPr>
          <w:p>
            <w:pPr>
              <w:pStyle w:val="TABLE-cell"/>
            </w:pPr>
            <w:r>
              <w:rPr/>
              <w:t xml:space="preserve">Cleared</w:t>
            </w:r>
          </w:p>
        </w:tc>
        <w:tc>
          <w:tcPr>
            <w:tcW w:w="2160" w:type="dxa"/>
            <w:vAlign w:val="center"/>
          </w:tcPr>
          <w:p>
            <w:pPr>
              <w:pStyle w:val="TABLE-cell"/>
            </w:pPr>
            <w:r>
              <w:rPr/>
              <w:t xml:space="preserve">Nettoyé</w:t>
            </w:r>
          </w:p>
        </w:tc>
        <w:tc>
          <w:tcPr>
            <w:tcW w:w="1467" w:type="dxa"/>
            <w:vAlign w:val="center"/>
          </w:tcPr>
          <w:p>
            <w:pPr>
              <w:pStyle w:val="TABLE-cell"/>
            </w:pPr>
            <w:r>
              <w:rPr/>
              <w:t xml:space="preserve">18</w:t>
            </w:r>
          </w:p>
        </w:tc>
      </w:tr>
      <w:tr>
        <w:tc>
          <w:tcPr>
            <w:tcW w:w="3763" w:type="dxa"/>
            <w:vAlign w:val="center"/>
          </w:tcPr>
          <w:p>
            <w:pPr>
              <w:pStyle w:val="TABLE-cell"/>
            </w:pPr>
          </w:p>
        </w:tc>
        <w:tc>
          <w:tcPr>
            <w:tcW w:w="1680" w:type="dxa"/>
            <w:vAlign w:val="center"/>
          </w:tcPr>
          <w:p>
            <w:pPr>
              <w:pStyle w:val="TABLE-cell"/>
            </w:pPr>
            <w:r>
              <w:rPr/>
              <w:t xml:space="preserve">Aborting</w:t>
            </w:r>
          </w:p>
        </w:tc>
        <w:tc>
          <w:tcPr>
            <w:tcW w:w="2160" w:type="dxa"/>
            <w:vAlign w:val="center"/>
          </w:tcPr>
          <w:p>
            <w:pPr>
              <w:pStyle w:val="TABLE-cell"/>
            </w:pPr>
            <w:r>
              <w:rPr/>
              <w:t xml:space="preserve">Annulation</w:t>
            </w:r>
          </w:p>
        </w:tc>
        <w:tc>
          <w:tcPr>
            <w:tcW w:w="1467" w:type="dxa"/>
            <w:vAlign w:val="center"/>
          </w:tcPr>
          <w:p>
            <w:pPr>
              <w:pStyle w:val="TABLE-cell"/>
            </w:pPr>
            <w:r>
              <w:rPr/>
              <w:t xml:space="preserve">8</w:t>
            </w:r>
          </w:p>
        </w:tc>
      </w:tr>
      <w:tr>
        <w:tc>
          <w:tcPr>
            <w:tcW w:w="3763" w:type="dxa"/>
            <w:vAlign w:val="center"/>
          </w:tcPr>
          <w:p>
            <w:pPr>
              <w:pStyle w:val="TABLE-cell"/>
            </w:pPr>
          </w:p>
        </w:tc>
        <w:tc>
          <w:tcPr>
            <w:tcW w:w="1680" w:type="dxa"/>
            <w:vAlign w:val="center"/>
          </w:tcPr>
          <w:p>
            <w:pPr>
              <w:pStyle w:val="TABLE-cell"/>
            </w:pPr>
            <w:r>
              <w:rPr/>
              <w:t xml:space="preserve">Aborted</w:t>
            </w:r>
          </w:p>
        </w:tc>
        <w:tc>
          <w:tcPr>
            <w:tcW w:w="2160" w:type="dxa"/>
            <w:vAlign w:val="center"/>
          </w:tcPr>
          <w:p>
            <w:pPr>
              <w:pStyle w:val="TABLE-cell"/>
            </w:pPr>
            <w:r>
              <w:rPr/>
              <w:t xml:space="preserve">Annulé</w:t>
            </w:r>
          </w:p>
        </w:tc>
        <w:tc>
          <w:tcPr>
            <w:tcW w:w="1467" w:type="dxa"/>
            <w:vAlign w:val="center"/>
          </w:tcPr>
          <w:p>
            <w:pPr>
              <w:pStyle w:val="TABLE-cell"/>
            </w:pPr>
            <w:r>
              <w:rPr/>
              <w:t xml:space="preserve">9</w:t>
            </w:r>
          </w:p>
        </w:tc>
      </w:tr>
      <w:tr>
        <w:tc>
          <w:tcPr>
            <w:tcW w:w="3763" w:type="dxa"/>
            <w:vAlign w:val="center"/>
          </w:tcPr>
          <w:p>
            <w:pPr>
              <w:pStyle w:val="TABLE-cell"/>
            </w:pPr>
            <w:r>
              <w:rPr/>
              <w:t xml:space="preserve">PackMLMachineStateMachineType</w:t>
            </w:r>
          </w:p>
        </w:tc>
        <w:tc>
          <w:tcPr>
            <w:tcW w:w="1680" w:type="dxa"/>
            <w:vAlign w:val="center"/>
          </w:tcPr>
          <w:p>
            <w:pPr>
              <w:pStyle w:val="TABLE-cell"/>
            </w:pPr>
            <w:r>
              <w:rPr/>
              <w:t xml:space="preserve">Running</w:t>
            </w:r>
          </w:p>
        </w:tc>
        <w:tc>
          <w:tcPr>
            <w:tcW w:w="2160" w:type="dxa"/>
            <w:vAlign w:val="center"/>
          </w:tcPr>
          <w:p>
            <w:pPr>
              <w:pStyle w:val="TABLE-cell"/>
            </w:pPr>
            <w:r>
              <w:rPr/>
              <w:t xml:space="preserve">En fonction</w:t>
            </w:r>
          </w:p>
        </w:tc>
        <w:tc>
          <w:tcPr>
            <w:tcW w:w="1467" w:type="dxa"/>
            <w:vAlign w:val="center"/>
          </w:tcPr>
          <w:p>
            <w:pPr>
              <w:pStyle w:val="TABLE-cell"/>
            </w:pPr>
            <w:r>
              <w:rPr/>
              <w:t xml:space="preserve">19</w:t>
            </w:r>
          </w:p>
        </w:tc>
      </w:tr>
      <w:tr>
        <w:tc>
          <w:tcPr>
            <w:tcW w:w="3763" w:type="dxa"/>
            <w:vAlign w:val="center"/>
          </w:tcPr>
          <w:p>
            <w:pPr>
              <w:pStyle w:val="TABLE-cell"/>
            </w:pPr>
          </w:p>
        </w:tc>
        <w:tc>
          <w:tcPr>
            <w:tcW w:w="1680" w:type="dxa"/>
            <w:vAlign w:val="center"/>
          </w:tcPr>
          <w:p>
            <w:pPr>
              <w:pStyle w:val="TABLE-cell"/>
            </w:pPr>
            <w:r>
              <w:rPr/>
              <w:t xml:space="preserve">Clearing</w:t>
            </w:r>
          </w:p>
        </w:tc>
        <w:tc>
          <w:tcPr>
            <w:tcW w:w="2160" w:type="dxa"/>
            <w:vAlign w:val="center"/>
          </w:tcPr>
          <w:p>
            <w:pPr>
              <w:pStyle w:val="TABLE-cell"/>
            </w:pPr>
            <w:r>
              <w:rPr/>
              <w:t xml:space="preserve">Nettoyage</w:t>
            </w:r>
          </w:p>
        </w:tc>
        <w:tc>
          <w:tcPr>
            <w:tcW w:w="1467" w:type="dxa"/>
            <w:vAlign w:val="center"/>
          </w:tcPr>
          <w:p>
            <w:pPr>
              <w:pStyle w:val="TABLE-cell"/>
            </w:pPr>
            <w:r>
              <w:rPr/>
              <w:t xml:space="preserve">1</w:t>
            </w:r>
          </w:p>
        </w:tc>
      </w:tr>
      <w:tr>
        <w:tc>
          <w:tcPr>
            <w:tcW w:w="3763" w:type="dxa"/>
            <w:vAlign w:val="center"/>
          </w:tcPr>
          <w:p>
            <w:pPr>
              <w:pStyle w:val="TABLE-cell"/>
            </w:pPr>
          </w:p>
        </w:tc>
        <w:tc>
          <w:tcPr>
            <w:tcW w:w="1680" w:type="dxa"/>
            <w:vAlign w:val="center"/>
          </w:tcPr>
          <w:p>
            <w:pPr>
              <w:pStyle w:val="TABLE-cell"/>
            </w:pPr>
            <w:r>
              <w:rPr/>
              <w:t xml:space="preserve">Stopping</w:t>
            </w:r>
          </w:p>
        </w:tc>
        <w:tc>
          <w:tcPr>
            <w:tcW w:w="2160" w:type="dxa"/>
            <w:vAlign w:val="center"/>
          </w:tcPr>
          <w:p>
            <w:pPr>
              <w:pStyle w:val="TABLE-cell"/>
            </w:pPr>
            <w:r>
              <w:rPr/>
              <w:t xml:space="preserve">En cours d'arrêt</w:t>
            </w:r>
          </w:p>
        </w:tc>
        <w:tc>
          <w:tcPr>
            <w:tcW w:w="1467" w:type="dxa"/>
            <w:vAlign w:val="center"/>
          </w:tcPr>
          <w:p>
            <w:pPr>
              <w:pStyle w:val="TABLE-cell"/>
            </w:pPr>
            <w:r>
              <w:rPr/>
              <w:t xml:space="preserve">7</w:t>
            </w:r>
          </w:p>
        </w:tc>
      </w:tr>
      <w:tr>
        <w:tc>
          <w:tcPr>
            <w:tcW w:w="3763" w:type="dxa"/>
            <w:vAlign w:val="center"/>
          </w:tcPr>
          <w:p>
            <w:pPr>
              <w:pStyle w:val="TABLE-cell"/>
            </w:pPr>
          </w:p>
        </w:tc>
        <w:tc>
          <w:tcPr>
            <w:tcW w:w="1680" w:type="dxa"/>
            <w:vAlign w:val="center"/>
          </w:tcPr>
          <w:p>
            <w:pPr>
              <w:pStyle w:val="TABLE-cell"/>
            </w:pPr>
            <w:r>
              <w:rPr/>
              <w:t xml:space="preserve">Stopped</w:t>
            </w:r>
          </w:p>
        </w:tc>
        <w:tc>
          <w:tcPr>
            <w:tcW w:w="2160" w:type="dxa"/>
            <w:vAlign w:val="center"/>
          </w:tcPr>
          <w:p>
            <w:pPr>
              <w:pStyle w:val="TABLE-cell"/>
            </w:pPr>
            <w:r>
              <w:rPr/>
              <w:t xml:space="preserve">Arrêté</w:t>
            </w:r>
          </w:p>
        </w:tc>
        <w:tc>
          <w:tcPr>
            <w:tcW w:w="1467" w:type="dxa"/>
            <w:vAlign w:val="center"/>
          </w:tcPr>
          <w:p>
            <w:pPr>
              <w:pStyle w:val="TABLE-cell"/>
            </w:pPr>
            <w:r>
              <w:rPr/>
              <w:t xml:space="preserve">2</w:t>
            </w:r>
          </w:p>
        </w:tc>
      </w:tr>
      <w:tr>
        <w:tc>
          <w:tcPr>
            <w:tcW w:w="3763" w:type="dxa"/>
            <w:vAlign w:val="center"/>
          </w:tcPr>
          <w:p>
            <w:pPr>
              <w:pStyle w:val="TABLE-cell"/>
            </w:pPr>
            <w:r>
              <w:rPr/>
              <w:t xml:space="preserve">PackMLExecuteStateMachineType</w:t>
            </w:r>
          </w:p>
        </w:tc>
        <w:tc>
          <w:tcPr>
            <w:tcW w:w="1680" w:type="dxa"/>
            <w:vAlign w:val="center"/>
          </w:tcPr>
          <w:p>
            <w:pPr>
              <w:pStyle w:val="TABLE-cell"/>
            </w:pPr>
            <w:r>
              <w:rPr/>
              <w:t xml:space="preserve">Resetting</w:t>
            </w:r>
          </w:p>
        </w:tc>
        <w:tc>
          <w:tcPr>
            <w:tcW w:w="2160" w:type="dxa"/>
            <w:vAlign w:val="center"/>
          </w:tcPr>
          <w:p>
            <w:pPr>
              <w:pStyle w:val="TABLE-cell"/>
            </w:pPr>
            <w:r>
              <w:rPr/>
              <w:t xml:space="preserve">Réinitialisation</w:t>
            </w:r>
          </w:p>
        </w:tc>
        <w:tc>
          <w:tcPr>
            <w:tcW w:w="1467" w:type="dxa"/>
            <w:vAlign w:val="center"/>
          </w:tcPr>
          <w:p>
            <w:pPr>
              <w:pStyle w:val="TABLE-cell"/>
            </w:pPr>
            <w:r>
              <w:rPr/>
              <w:t xml:space="preserve">15</w:t>
            </w:r>
          </w:p>
        </w:tc>
      </w:tr>
      <w:tr>
        <w:tc>
          <w:tcPr>
            <w:tcW w:w="3763" w:type="dxa"/>
            <w:vAlign w:val="center"/>
          </w:tcPr>
          <w:p>
            <w:pPr>
              <w:pStyle w:val="TABLE-cell"/>
            </w:pPr>
          </w:p>
        </w:tc>
        <w:tc>
          <w:tcPr>
            <w:tcW w:w="1680" w:type="dxa"/>
            <w:vAlign w:val="center"/>
          </w:tcPr>
          <w:p>
            <w:pPr>
              <w:pStyle w:val="TABLE-cell"/>
            </w:pPr>
            <w:r>
              <w:rPr/>
              <w:t xml:space="preserve">Idle</w:t>
            </w:r>
          </w:p>
        </w:tc>
        <w:tc>
          <w:tcPr>
            <w:tcW w:w="2160" w:type="dxa"/>
            <w:vAlign w:val="center"/>
          </w:tcPr>
          <w:p>
            <w:pPr>
              <w:pStyle w:val="TABLE-cell"/>
            </w:pPr>
            <w:r>
              <w:rPr/>
              <w:t xml:space="preserve">Suspendu</w:t>
            </w:r>
          </w:p>
        </w:tc>
        <w:tc>
          <w:tcPr>
            <w:tcW w:w="1467" w:type="dxa"/>
            <w:vAlign w:val="center"/>
          </w:tcPr>
          <w:p>
            <w:pPr>
              <w:pStyle w:val="TABLE-cell"/>
            </w:pPr>
            <w:r>
              <w:rPr/>
              <w:t xml:space="preserve">4</w:t>
            </w:r>
          </w:p>
        </w:tc>
      </w:tr>
      <w:tr>
        <w:tc>
          <w:tcPr>
            <w:tcW w:w="3763" w:type="dxa"/>
            <w:vAlign w:val="center"/>
          </w:tcPr>
          <w:p>
            <w:pPr>
              <w:pStyle w:val="TABLE-cell"/>
            </w:pPr>
          </w:p>
        </w:tc>
        <w:tc>
          <w:tcPr>
            <w:tcW w:w="1680" w:type="dxa"/>
            <w:vAlign w:val="center"/>
          </w:tcPr>
          <w:p>
            <w:pPr>
              <w:pStyle w:val="TABLE-cell"/>
            </w:pPr>
            <w:r>
              <w:rPr/>
              <w:t xml:space="preserve">Starting</w:t>
            </w:r>
          </w:p>
        </w:tc>
        <w:tc>
          <w:tcPr>
            <w:tcW w:w="2160" w:type="dxa"/>
            <w:vAlign w:val="center"/>
          </w:tcPr>
          <w:p>
            <w:pPr>
              <w:pStyle w:val="TABLE-cell"/>
            </w:pPr>
            <w:r>
              <w:rPr/>
              <w:t xml:space="preserve">Démarrage</w:t>
            </w:r>
          </w:p>
        </w:tc>
        <w:tc>
          <w:tcPr>
            <w:tcW w:w="1467" w:type="dxa"/>
            <w:vAlign w:val="center"/>
          </w:tcPr>
          <w:p>
            <w:pPr>
              <w:pStyle w:val="TABLE-cell"/>
            </w:pPr>
            <w:r>
              <w:rPr/>
              <w:t xml:space="preserve">3</w:t>
            </w:r>
          </w:p>
        </w:tc>
      </w:tr>
      <w:tr>
        <w:tc>
          <w:tcPr>
            <w:tcW w:w="3763" w:type="dxa"/>
            <w:vAlign w:val="center"/>
          </w:tcPr>
          <w:p>
            <w:pPr>
              <w:pStyle w:val="TABLE-cell"/>
            </w:pPr>
          </w:p>
        </w:tc>
        <w:tc>
          <w:tcPr>
            <w:tcW w:w="1680" w:type="dxa"/>
            <w:vAlign w:val="center"/>
          </w:tcPr>
          <w:p>
            <w:pPr>
              <w:pStyle w:val="TABLE-cell"/>
            </w:pPr>
            <w:r>
              <w:rPr/>
              <w:t xml:space="preserve">Unsuspending</w:t>
            </w:r>
          </w:p>
        </w:tc>
        <w:tc>
          <w:tcPr>
            <w:tcW w:w="2160" w:type="dxa"/>
            <w:vAlign w:val="center"/>
          </w:tcPr>
          <w:p>
            <w:pPr>
              <w:pStyle w:val="TABLE-cell"/>
            </w:pPr>
            <w:r>
              <w:rPr/>
              <w:t xml:space="preserve">Repris</w:t>
            </w:r>
          </w:p>
        </w:tc>
        <w:tc>
          <w:tcPr>
            <w:tcW w:w="1467" w:type="dxa"/>
            <w:vAlign w:val="center"/>
          </w:tcPr>
          <w:p>
            <w:pPr>
              <w:pStyle w:val="TABLE-cell"/>
            </w:pPr>
            <w:r>
              <w:rPr/>
              <w:t xml:space="preserve">14</w:t>
            </w:r>
          </w:p>
        </w:tc>
      </w:tr>
      <w:tr>
        <w:tc>
          <w:tcPr>
            <w:tcW w:w="3763" w:type="dxa"/>
            <w:vAlign w:val="center"/>
          </w:tcPr>
          <w:p>
            <w:pPr>
              <w:pStyle w:val="TABLE-cell"/>
            </w:pPr>
          </w:p>
        </w:tc>
        <w:tc>
          <w:tcPr>
            <w:tcW w:w="1680" w:type="dxa"/>
            <w:vAlign w:val="center"/>
          </w:tcPr>
          <w:p>
            <w:pPr>
              <w:pStyle w:val="TABLE-cell"/>
            </w:pPr>
            <w:r>
              <w:rPr/>
              <w:t xml:space="preserve">Suspended</w:t>
            </w:r>
          </w:p>
        </w:tc>
        <w:tc>
          <w:tcPr>
            <w:tcW w:w="2160" w:type="dxa"/>
            <w:vAlign w:val="center"/>
          </w:tcPr>
          <w:p>
            <w:pPr>
              <w:pStyle w:val="TABLE-cell"/>
            </w:pPr>
            <w:r>
              <w:rPr/>
              <w:t xml:space="preserve">Suspendu</w:t>
            </w:r>
          </w:p>
        </w:tc>
        <w:tc>
          <w:tcPr>
            <w:tcW w:w="1467" w:type="dxa"/>
            <w:vAlign w:val="center"/>
          </w:tcPr>
          <w:p>
            <w:pPr>
              <w:pStyle w:val="TABLE-cell"/>
            </w:pPr>
            <w:r>
              <w:rPr/>
              <w:t xml:space="preserve">5</w:t>
            </w:r>
          </w:p>
        </w:tc>
      </w:tr>
      <w:tr>
        <w:tc>
          <w:tcPr>
            <w:tcW w:w="3763" w:type="dxa"/>
            <w:vAlign w:val="center"/>
          </w:tcPr>
          <w:p>
            <w:pPr>
              <w:pStyle w:val="TABLE-cell"/>
            </w:pPr>
          </w:p>
        </w:tc>
        <w:tc>
          <w:tcPr>
            <w:tcW w:w="1680" w:type="dxa"/>
            <w:vAlign w:val="center"/>
          </w:tcPr>
          <w:p>
            <w:pPr>
              <w:pStyle w:val="TABLE-cell"/>
            </w:pPr>
            <w:r>
              <w:rPr/>
              <w:t xml:space="preserve">Suspending</w:t>
            </w:r>
          </w:p>
        </w:tc>
        <w:tc>
          <w:tcPr>
            <w:tcW w:w="2160" w:type="dxa"/>
            <w:vAlign w:val="center"/>
          </w:tcPr>
          <w:p>
            <w:pPr>
              <w:pStyle w:val="TABLE-cell"/>
            </w:pPr>
            <w:r>
              <w:rPr/>
              <w:t xml:space="preserve">Suspendu (ing)</w:t>
            </w:r>
          </w:p>
        </w:tc>
        <w:tc>
          <w:tcPr>
            <w:tcW w:w="1467" w:type="dxa"/>
            <w:vAlign w:val="center"/>
          </w:tcPr>
          <w:p>
            <w:pPr>
              <w:pStyle w:val="TABLE-cell"/>
            </w:pPr>
            <w:r>
              <w:rPr/>
              <w:t xml:space="preserve">13</w:t>
            </w:r>
          </w:p>
        </w:tc>
      </w:tr>
      <w:tr>
        <w:tc>
          <w:tcPr>
            <w:tcW w:w="3763" w:type="dxa"/>
            <w:vAlign w:val="center"/>
          </w:tcPr>
          <w:p>
            <w:pPr>
              <w:pStyle w:val="TABLE-cell"/>
            </w:pPr>
          </w:p>
        </w:tc>
        <w:tc>
          <w:tcPr>
            <w:tcW w:w="1680" w:type="dxa"/>
            <w:vAlign w:val="center"/>
          </w:tcPr>
          <w:p>
            <w:pPr>
              <w:pStyle w:val="TABLE-cell"/>
            </w:pPr>
            <w:r>
              <w:rPr/>
              <w:t xml:space="preserve">Execute</w:t>
            </w:r>
          </w:p>
        </w:tc>
        <w:tc>
          <w:tcPr>
            <w:tcW w:w="2160" w:type="dxa"/>
            <w:vAlign w:val="center"/>
          </w:tcPr>
          <w:p>
            <w:pPr>
              <w:pStyle w:val="TABLE-cell"/>
            </w:pPr>
            <w:r>
              <w:rPr/>
              <w:t xml:space="preserve">Execute</w:t>
            </w:r>
          </w:p>
        </w:tc>
        <w:tc>
          <w:tcPr>
            <w:tcW w:w="1467" w:type="dxa"/>
            <w:vAlign w:val="center"/>
          </w:tcPr>
          <w:p>
            <w:pPr>
              <w:pStyle w:val="TABLE-cell"/>
            </w:pPr>
            <w:r>
              <w:rPr/>
              <w:t xml:space="preserve">6</w:t>
            </w:r>
          </w:p>
        </w:tc>
      </w:tr>
      <w:tr>
        <w:tc>
          <w:tcPr>
            <w:tcW w:w="3763" w:type="dxa"/>
            <w:vAlign w:val="center"/>
          </w:tcPr>
          <w:p>
            <w:pPr>
              <w:pStyle w:val="TABLE-cell"/>
            </w:pPr>
          </w:p>
        </w:tc>
        <w:tc>
          <w:tcPr>
            <w:tcW w:w="1680" w:type="dxa"/>
            <w:vAlign w:val="center"/>
          </w:tcPr>
          <w:p>
            <w:pPr>
              <w:pStyle w:val="TABLE-cell"/>
            </w:pPr>
            <w:r>
              <w:rPr/>
              <w:t xml:space="preserve">Holding</w:t>
            </w:r>
          </w:p>
        </w:tc>
        <w:tc>
          <w:tcPr>
            <w:tcW w:w="2160" w:type="dxa"/>
            <w:vAlign w:val="center"/>
          </w:tcPr>
          <w:p>
            <w:pPr>
              <w:pStyle w:val="TABLE-cell"/>
            </w:pPr>
            <w:r>
              <w:rPr/>
              <w:t xml:space="preserve">Tenu (ing)</w:t>
            </w:r>
          </w:p>
        </w:tc>
        <w:tc>
          <w:tcPr>
            <w:tcW w:w="1467" w:type="dxa"/>
            <w:vAlign w:val="center"/>
          </w:tcPr>
          <w:p>
            <w:pPr>
              <w:pStyle w:val="TABLE-cell"/>
            </w:pPr>
            <w:r>
              <w:rPr/>
              <w:t xml:space="preserve">10</w:t>
            </w:r>
          </w:p>
        </w:tc>
      </w:tr>
      <w:tr>
        <w:tc>
          <w:tcPr>
            <w:tcW w:w="3763" w:type="dxa"/>
            <w:vAlign w:val="center"/>
          </w:tcPr>
          <w:p>
            <w:pPr>
              <w:pStyle w:val="TABLE-cell"/>
            </w:pPr>
          </w:p>
        </w:tc>
        <w:tc>
          <w:tcPr>
            <w:tcW w:w="1680" w:type="dxa"/>
            <w:vAlign w:val="center"/>
          </w:tcPr>
          <w:p>
            <w:pPr>
              <w:pStyle w:val="TABLE-cell"/>
            </w:pPr>
            <w:r>
              <w:rPr/>
              <w:t xml:space="preserve">Held</w:t>
            </w:r>
          </w:p>
        </w:tc>
        <w:tc>
          <w:tcPr>
            <w:tcW w:w="2160" w:type="dxa"/>
            <w:vAlign w:val="center"/>
          </w:tcPr>
          <w:p>
            <w:pPr>
              <w:pStyle w:val="TABLE-cell"/>
            </w:pPr>
            <w:r>
              <w:rPr/>
              <w:t xml:space="preserve">Tenu</w:t>
            </w:r>
          </w:p>
        </w:tc>
        <w:tc>
          <w:tcPr>
            <w:tcW w:w="1467" w:type="dxa"/>
            <w:vAlign w:val="center"/>
          </w:tcPr>
          <w:p>
            <w:pPr>
              <w:pStyle w:val="TABLE-cell"/>
            </w:pPr>
            <w:r>
              <w:rPr/>
              <w:t xml:space="preserve">11</w:t>
            </w:r>
          </w:p>
        </w:tc>
      </w:tr>
      <w:tr>
        <w:tc>
          <w:tcPr>
            <w:tcW w:w="3763" w:type="dxa"/>
            <w:vAlign w:val="center"/>
          </w:tcPr>
          <w:p>
            <w:pPr>
              <w:pStyle w:val="TABLE-cell"/>
            </w:pPr>
          </w:p>
        </w:tc>
        <w:tc>
          <w:tcPr>
            <w:tcW w:w="1680" w:type="dxa"/>
            <w:vAlign w:val="center"/>
          </w:tcPr>
          <w:p>
            <w:pPr>
              <w:pStyle w:val="TABLE-cell"/>
            </w:pPr>
            <w:r>
              <w:rPr/>
              <w:t xml:space="preserve">Unholding</w:t>
            </w:r>
          </w:p>
        </w:tc>
        <w:tc>
          <w:tcPr>
            <w:tcW w:w="2160" w:type="dxa"/>
            <w:vAlign w:val="center"/>
          </w:tcPr>
          <w:p>
            <w:pPr>
              <w:pStyle w:val="TABLE-cell"/>
            </w:pPr>
            <w:r>
              <w:rPr/>
              <w:t xml:space="preserve">Libéré</w:t>
            </w:r>
          </w:p>
        </w:tc>
        <w:tc>
          <w:tcPr>
            <w:tcW w:w="1467" w:type="dxa"/>
            <w:vAlign w:val="center"/>
          </w:tcPr>
          <w:p>
            <w:pPr>
              <w:pStyle w:val="TABLE-cell"/>
            </w:pPr>
            <w:r>
              <w:rPr/>
              <w:t xml:space="preserve">12</w:t>
            </w:r>
          </w:p>
        </w:tc>
      </w:tr>
      <w:tr>
        <w:tc>
          <w:tcPr>
            <w:tcW w:w="3763" w:type="dxa"/>
            <w:vAlign w:val="center"/>
          </w:tcPr>
          <w:p>
            <w:pPr>
              <w:pStyle w:val="TABLE-cell"/>
            </w:pPr>
          </w:p>
        </w:tc>
        <w:tc>
          <w:tcPr>
            <w:tcW w:w="1680" w:type="dxa"/>
            <w:vAlign w:val="center"/>
          </w:tcPr>
          <w:p>
            <w:pPr>
              <w:pStyle w:val="TABLE-cell"/>
            </w:pPr>
            <w:r>
              <w:rPr/>
              <w:t xml:space="preserve">Completing</w:t>
            </w:r>
          </w:p>
        </w:tc>
        <w:tc>
          <w:tcPr>
            <w:tcW w:w="2160" w:type="dxa"/>
            <w:vAlign w:val="center"/>
          </w:tcPr>
          <w:p>
            <w:pPr>
              <w:pStyle w:val="TABLE-cell"/>
            </w:pPr>
            <w:r>
              <w:rPr/>
              <w:t xml:space="preserve">Achevé (ing)</w:t>
            </w:r>
          </w:p>
        </w:tc>
        <w:tc>
          <w:tcPr>
            <w:tcW w:w="1467" w:type="dxa"/>
            <w:vAlign w:val="center"/>
          </w:tcPr>
          <w:p>
            <w:pPr>
              <w:pStyle w:val="TABLE-cell"/>
            </w:pPr>
            <w:r>
              <w:rPr/>
              <w:t xml:space="preserve">16</w:t>
            </w:r>
          </w:p>
        </w:tc>
      </w:tr>
      <w:tr>
        <w:tc>
          <w:tcPr>
            <w:tcW w:w="3763" w:type="dxa"/>
            <w:vAlign w:val="center"/>
          </w:tcPr>
          <w:p>
            <w:pPr>
              <w:pStyle w:val="TABLE-cell"/>
            </w:pPr>
          </w:p>
        </w:tc>
        <w:tc>
          <w:tcPr>
            <w:tcW w:w="1680" w:type="dxa"/>
            <w:vAlign w:val="center"/>
          </w:tcPr>
          <w:p>
            <w:pPr>
              <w:pStyle w:val="TABLE-cell"/>
            </w:pPr>
            <w:r>
              <w:rPr/>
              <w:t xml:space="preserve">Complete</w:t>
            </w:r>
          </w:p>
        </w:tc>
        <w:tc>
          <w:tcPr>
            <w:tcW w:w="2160" w:type="dxa"/>
            <w:vAlign w:val="center"/>
          </w:tcPr>
          <w:p>
            <w:pPr>
              <w:pStyle w:val="TABLE-cell"/>
            </w:pPr>
            <w:r>
              <w:rPr/>
              <w:t xml:space="preserve">Achevé</w:t>
            </w:r>
          </w:p>
        </w:tc>
        <w:tc>
          <w:tcPr>
            <w:tcW w:w="1467" w:type="dxa"/>
            <w:vAlign w:val="center"/>
          </w:tcPr>
          <w:p>
            <w:pPr>
              <w:pStyle w:val="TABLE-cell"/>
            </w:pPr>
            <w:r>
              <w:rPr/>
              <w:t xml:space="preserve">17</w:t>
            </w:r>
          </w:p>
        </w:tc>
      </w:tr>
    </w:tbl>
    <w:p>
      <w:pPr>
        <w:pStyle w:val="spacer"/>
      </w:pPr>
    </w:p>
    <w:p>
      <w:pPr>
        <w:pStyle w:val="ANNEXtitle"/>
      </w:pPr>
      <w:r>
        <w:br/>
      </w:r>
      <w:r>
        <w:t xml:space="preserve">(informative)</w:t>
      </w:r>
      <w:r>
        <w:br/>
      </w:r>
      <w:bookmarkStart w:name="Sts_sec_B" w:id="218"/>
      <w:r>
        <w:rPr/>
        <w:t xml:space="preserve">DataType</w:t>
      </w:r>
      <w:bookmarkEnd w:id="218"/>
    </w:p>
    <w:p>
      <w:pPr>
        <w:pStyle w:val="ANNEX-heading1"/>
      </w:pPr>
      <w:bookmarkStart w:name="Sts_sec_B_1" w:id="219"/>
      <w:r>
        <w:rPr/>
        <w:t xml:space="preserve">Mapping of elementary data types</w:t>
      </w:r>
      <w:bookmarkEnd w:id="219"/>
    </w:p>
    <w:p>
      <w:pPr>
        <w:pStyle w:val="PARAGRAPH"/>
      </w:pPr>
      <w:r>
        <w:rPr/>
        <w:t xml:space="preserve">The mapping of IEC 61131-3 elementary data types to OPC UA data types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rid="tbl_71_mapping-iec-61131-3-elementary-data-types-to-opc-ua-built-in"&gt;Table 71&lt;/xref&gt;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w:t>
      </w:r>
    </w:p>
    <w:p>
      <w:pPr>
        <w:pStyle w:val="TABLE-title"/>
      </w:pPr>
      <w:bookmarkStart w:name="Sts_tbl_73" w:id="220"/>
      <w:r>
        <w:t xml:space="preserve">Table </w:t>
      </w:r>
      <w:r>
        <w:fldChar w:fldCharType="begin"/>
      </w:r>
      <w:r>
        <w:instrText xml:space="preserve"> SEQ Table \* ARABIC </w:instrText>
      </w:r>
      <w:r>
        <w:fldChar w:fldCharType="separate"/>
      </w:r>
      <w:r>
        <w:rPr/>
        <w:t xml:space="preserve">73</w:t>
      </w:r>
      <w:r>
        <w:fldChar w:fldCharType="end"/>
      </w:r>
      <w:bookmarkEnd w:id="220"/>
      <w:r>
        <w:t xml:space="preserve"> – </w:t>
      </w:r>
      <w:r>
        <w:rPr/>
        <w:t xml:space="preserve">Mapping IEC 61131-3 elementary data types to OPC UA built in data types</w:t>
      </w:r>
    </w:p>
    <w:tbl>
      <w:tblPr>
        <w:tblStyle w:val="TableGrid"/>
        <w:tblW w:w="9070" w:type="dxa"/>
        <w:tblLayout w:type="fixed"/>
      </w:tblPr>
      <w:tblGrid>
        <w:gridCol w:w="2515"/>
        <w:gridCol w:w="1981"/>
        <w:gridCol w:w="4574"/>
      </w:tblGrid>
      <w:tr>
        <w:trPr>
          <w:tblHeader/>
        </w:trPr>
        <w:tc>
          <w:tcPr>
            <w:tcW w:w="2515" w:type="dxa"/>
            <w:vAlign w:val="center"/>
          </w:tcPr>
          <w:p>
            <w:pPr>
              <w:pStyle w:val="TABLE-col-heading"/>
              <w:jc w:val="left"/>
            </w:pPr>
            <w:r>
              <w:rPr/>
              <w:t xml:space="preserve">IEC 61131-3 elementary data types</w:t>
            </w:r>
          </w:p>
        </w:tc>
        <w:tc>
          <w:tcPr>
            <w:tcW w:w="1981" w:type="dxa"/>
            <w:vAlign w:val="center"/>
          </w:tcPr>
          <w:p>
            <w:pPr>
              <w:pStyle w:val="TABLE-col-heading"/>
              <w:jc w:val="left"/>
            </w:pPr>
            <w:r>
              <w:rPr/>
              <w:t xml:space="preserve">OPC UA built in data types</w:t>
            </w:r>
          </w:p>
        </w:tc>
        <w:tc>
          <w:tcPr>
            <w:tcW w:w="4574" w:type="dxa"/>
            <w:vAlign w:val="center"/>
          </w:tcPr>
          <w:p>
            <w:pPr>
              <w:pStyle w:val="TABLE-col-heading"/>
              <w:jc w:val="left"/>
            </w:pPr>
            <w:r>
              <w:rPr/>
              <w:t xml:space="preserve">Comment</w:t>
            </w:r>
          </w:p>
        </w:tc>
      </w:tr>
      <w:tr>
        <w:tc>
          <w:tcPr>
            <w:tcW w:w="2515" w:type="dxa"/>
            <w:vAlign w:val="center"/>
          </w:tcPr>
          <w:p>
            <w:pPr>
              <w:pStyle w:val="TABLE-cell"/>
            </w:pPr>
            <w:r>
              <w:rPr/>
              <w:t xml:space="preserve">BOOL</w:t>
            </w:r>
          </w:p>
        </w:tc>
        <w:tc>
          <w:tcPr>
            <w:tcW w:w="1981" w:type="dxa"/>
            <w:vAlign w:val="center"/>
          </w:tcPr>
          <w:p>
            <w:pPr>
              <w:pStyle w:val="TABLE-cell"/>
            </w:pPr>
            <w:r>
              <w:rPr/>
              <w:t xml:space="preserve">Boolean</w:t>
            </w:r>
          </w:p>
        </w:tc>
        <w:tc>
          <w:tcPr>
            <w:tcW w:w="4574" w:type="dxa"/>
            <w:vAlign w:val="center"/>
          </w:tcPr>
          <w:p>
            <w:pPr>
              <w:pStyle w:val="TABLE-cell"/>
            </w:pPr>
            <w:r>
              <w:rPr/>
              <w:t xml:space="preserve">A one bit value (true or false).</w:t>
            </w:r>
          </w:p>
        </w:tc>
      </w:tr>
      <w:tr>
        <w:tc>
          <w:tcPr>
            <w:tcW w:w="2515" w:type="dxa"/>
            <w:vAlign w:val="center"/>
          </w:tcPr>
          <w:p>
            <w:pPr>
              <w:pStyle w:val="TABLE-cell"/>
            </w:pPr>
            <w:r>
              <w:rPr/>
              <w:t xml:space="preserve">SINT</w:t>
            </w:r>
          </w:p>
        </w:tc>
        <w:tc>
          <w:tcPr>
            <w:tcW w:w="1981" w:type="dxa"/>
            <w:vAlign w:val="center"/>
          </w:tcPr>
          <w:p>
            <w:pPr>
              <w:pStyle w:val="TABLE-cell"/>
            </w:pPr>
            <w:r>
              <w:rPr/>
              <w:t xml:space="preserve">SByte</w:t>
            </w:r>
          </w:p>
        </w:tc>
        <w:tc>
          <w:tcPr>
            <w:tcW w:w="4574" w:type="dxa"/>
            <w:vAlign w:val="center"/>
          </w:tcPr>
          <w:p>
            <w:pPr>
              <w:pStyle w:val="TABLE-cell"/>
            </w:pPr>
            <w:r>
              <w:rPr/>
              <w:t xml:space="preserve">An 8 bit signed integer value.</w:t>
            </w:r>
          </w:p>
        </w:tc>
      </w:tr>
      <w:tr>
        <w:tc>
          <w:tcPr>
            <w:tcW w:w="2515" w:type="dxa"/>
            <w:vAlign w:val="center"/>
          </w:tcPr>
          <w:p>
            <w:pPr>
              <w:pStyle w:val="TABLE-cell"/>
            </w:pPr>
            <w:r>
              <w:rPr/>
              <w:t xml:space="preserve">USINT</w:t>
            </w:r>
          </w:p>
        </w:tc>
        <w:tc>
          <w:tcPr>
            <w:tcW w:w="1981" w:type="dxa"/>
            <w:vAlign w:val="center"/>
          </w:tcPr>
          <w:p>
            <w:pPr>
              <w:pStyle w:val="TABLE-cell"/>
            </w:pPr>
            <w:r>
              <w:rPr/>
              <w:t xml:space="preserve">Byte</w:t>
            </w:r>
          </w:p>
        </w:tc>
        <w:tc>
          <w:tcPr>
            <w:tcW w:w="4574" w:type="dxa"/>
            <w:vAlign w:val="center"/>
          </w:tcPr>
          <w:p>
            <w:pPr>
              <w:pStyle w:val="TABLE-cell"/>
            </w:pPr>
            <w:r>
              <w:rPr/>
              <w:t xml:space="preserve">An 8 bit unsigned integer value.</w:t>
            </w:r>
          </w:p>
        </w:tc>
      </w:tr>
      <w:tr>
        <w:tc>
          <w:tcPr>
            <w:tcW w:w="2515" w:type="dxa"/>
            <w:vAlign w:val="center"/>
          </w:tcPr>
          <w:p>
            <w:pPr>
              <w:pStyle w:val="TABLE-cell"/>
            </w:pPr>
            <w:r>
              <w:rPr/>
              <w:t xml:space="preserve">INT</w:t>
            </w:r>
          </w:p>
        </w:tc>
        <w:tc>
          <w:tcPr>
            <w:tcW w:w="1981" w:type="dxa"/>
            <w:vAlign w:val="center"/>
          </w:tcPr>
          <w:p>
            <w:pPr>
              <w:pStyle w:val="TABLE-cell"/>
            </w:pPr>
            <w:r>
              <w:rPr/>
              <w:t xml:space="preserve">Int16</w:t>
            </w:r>
          </w:p>
        </w:tc>
        <w:tc>
          <w:tcPr>
            <w:tcW w:w="4574" w:type="dxa"/>
            <w:vAlign w:val="center"/>
          </w:tcPr>
          <w:p>
            <w:pPr>
              <w:pStyle w:val="TABLE-cell"/>
            </w:pPr>
            <w:r>
              <w:rPr/>
              <w:t xml:space="preserve">A 16 bit signed integer value.</w:t>
            </w:r>
          </w:p>
        </w:tc>
      </w:tr>
      <w:tr>
        <w:tc>
          <w:tcPr>
            <w:tcW w:w="2515" w:type="dxa"/>
            <w:vAlign w:val="center"/>
          </w:tcPr>
          <w:p>
            <w:pPr>
              <w:pStyle w:val="TABLE-cell"/>
            </w:pPr>
            <w:r>
              <w:rPr/>
              <w:t xml:space="preserve">UINT</w:t>
            </w:r>
          </w:p>
        </w:tc>
        <w:tc>
          <w:tcPr>
            <w:tcW w:w="1981" w:type="dxa"/>
            <w:vAlign w:val="center"/>
          </w:tcPr>
          <w:p>
            <w:pPr>
              <w:pStyle w:val="TABLE-cell"/>
            </w:pPr>
            <w:r>
              <w:rPr/>
              <w:t xml:space="preserve">UInt16</w:t>
            </w:r>
          </w:p>
        </w:tc>
        <w:tc>
          <w:tcPr>
            <w:tcW w:w="4574" w:type="dxa"/>
            <w:vAlign w:val="center"/>
          </w:tcPr>
          <w:p>
            <w:pPr>
              <w:pStyle w:val="TABLE-cell"/>
            </w:pPr>
            <w:r>
              <w:rPr/>
              <w:t xml:space="preserve">A 16 bit unsigned integer value.</w:t>
            </w:r>
          </w:p>
        </w:tc>
      </w:tr>
      <w:tr>
        <w:tc>
          <w:tcPr>
            <w:tcW w:w="2515" w:type="dxa"/>
            <w:vAlign w:val="center"/>
          </w:tcPr>
          <w:p>
            <w:pPr>
              <w:pStyle w:val="TABLE-cell"/>
            </w:pPr>
            <w:r>
              <w:rPr/>
              <w:t xml:space="preserve">DINT</w:t>
            </w:r>
          </w:p>
        </w:tc>
        <w:tc>
          <w:tcPr>
            <w:tcW w:w="1981" w:type="dxa"/>
            <w:vAlign w:val="center"/>
          </w:tcPr>
          <w:p>
            <w:pPr>
              <w:pStyle w:val="TABLE-cell"/>
            </w:pPr>
            <w:r>
              <w:rPr/>
              <w:t xml:space="preserve">Int32</w:t>
            </w:r>
          </w:p>
        </w:tc>
        <w:tc>
          <w:tcPr>
            <w:tcW w:w="4574" w:type="dxa"/>
            <w:vAlign w:val="center"/>
          </w:tcPr>
          <w:p>
            <w:pPr>
              <w:pStyle w:val="TABLE-cell"/>
            </w:pPr>
            <w:r>
              <w:rPr/>
              <w:t xml:space="preserve">A 32 bit signed integer value.</w:t>
            </w:r>
          </w:p>
        </w:tc>
      </w:tr>
      <w:tr>
        <w:tc>
          <w:tcPr>
            <w:tcW w:w="2515" w:type="dxa"/>
            <w:vAlign w:val="center"/>
          </w:tcPr>
          <w:p>
            <w:pPr>
              <w:pStyle w:val="TABLE-cell"/>
            </w:pPr>
            <w:r>
              <w:rPr/>
              <w:t xml:space="preserve">UDINT</w:t>
            </w:r>
          </w:p>
        </w:tc>
        <w:tc>
          <w:tcPr>
            <w:tcW w:w="1981" w:type="dxa"/>
            <w:vAlign w:val="center"/>
          </w:tcPr>
          <w:p>
            <w:pPr>
              <w:pStyle w:val="TABLE-cell"/>
            </w:pPr>
            <w:r>
              <w:rPr/>
              <w:t xml:space="preserve">UInt32</w:t>
            </w:r>
          </w:p>
        </w:tc>
        <w:tc>
          <w:tcPr>
            <w:tcW w:w="4574" w:type="dxa"/>
            <w:vAlign w:val="center"/>
          </w:tcPr>
          <w:p>
            <w:pPr>
              <w:pStyle w:val="TABLE-cell"/>
            </w:pPr>
            <w:r>
              <w:rPr/>
              <w:t xml:space="preserve">A 32 bit unsigned integer value.</w:t>
            </w:r>
          </w:p>
        </w:tc>
      </w:tr>
      <w:tr>
        <w:tc>
          <w:tcPr>
            <w:tcW w:w="2515" w:type="dxa"/>
            <w:vAlign w:val="center"/>
          </w:tcPr>
          <w:p>
            <w:pPr>
              <w:pStyle w:val="TABLE-cell"/>
            </w:pPr>
            <w:r>
              <w:rPr/>
              <w:t xml:space="preserve">LINT</w:t>
            </w:r>
          </w:p>
        </w:tc>
        <w:tc>
          <w:tcPr>
            <w:tcW w:w="1981" w:type="dxa"/>
            <w:vAlign w:val="center"/>
          </w:tcPr>
          <w:p>
            <w:pPr>
              <w:pStyle w:val="TABLE-cell"/>
            </w:pPr>
            <w:r>
              <w:rPr/>
              <w:t xml:space="preserve">Int64</w:t>
            </w:r>
          </w:p>
        </w:tc>
        <w:tc>
          <w:tcPr>
            <w:tcW w:w="4574" w:type="dxa"/>
            <w:vAlign w:val="center"/>
          </w:tcPr>
          <w:p>
            <w:pPr>
              <w:pStyle w:val="TABLE-cell"/>
            </w:pPr>
            <w:r>
              <w:rPr/>
              <w:t xml:space="preserve">A 64 bit signed integer value.</w:t>
            </w:r>
          </w:p>
        </w:tc>
      </w:tr>
      <w:tr>
        <w:tc>
          <w:tcPr>
            <w:tcW w:w="2515" w:type="dxa"/>
            <w:vAlign w:val="center"/>
          </w:tcPr>
          <w:p>
            <w:pPr>
              <w:pStyle w:val="TABLE-cell"/>
            </w:pPr>
            <w:r>
              <w:rPr/>
              <w:t xml:space="preserve">ULINT</w:t>
            </w:r>
          </w:p>
        </w:tc>
        <w:tc>
          <w:tcPr>
            <w:tcW w:w="1981" w:type="dxa"/>
            <w:vAlign w:val="center"/>
          </w:tcPr>
          <w:p>
            <w:pPr>
              <w:pStyle w:val="TABLE-cell"/>
            </w:pPr>
            <w:r>
              <w:rPr/>
              <w:t xml:space="preserve">UInt64</w:t>
            </w:r>
          </w:p>
        </w:tc>
        <w:tc>
          <w:tcPr>
            <w:tcW w:w="4574" w:type="dxa"/>
            <w:vAlign w:val="center"/>
          </w:tcPr>
          <w:p>
            <w:pPr>
              <w:pStyle w:val="TABLE-cell"/>
            </w:pPr>
            <w:r>
              <w:rPr/>
              <w:t xml:space="preserve">A 64 bit unsigned integer value.</w:t>
            </w:r>
          </w:p>
        </w:tc>
      </w:tr>
      <w:tr>
        <w:tc>
          <w:tcPr>
            <w:tcW w:w="2515" w:type="dxa"/>
            <w:vAlign w:val="center"/>
          </w:tcPr>
          <w:p>
            <w:pPr>
              <w:pStyle w:val="TABLE-cell"/>
            </w:pPr>
            <w:r>
              <w:rPr/>
              <w:t xml:space="preserve">BYTE</w:t>
            </w:r>
          </w:p>
        </w:tc>
        <w:tc>
          <w:tcPr>
            <w:tcW w:w="1981" w:type="dxa"/>
            <w:vAlign w:val="center"/>
          </w:tcPr>
          <w:p>
            <w:pPr>
              <w:pStyle w:val="TABLE-cell"/>
            </w:pPr>
            <w:r>
              <w:rPr/>
              <w:t xml:space="preserve">Byte</w:t>
            </w:r>
          </w:p>
        </w:tc>
        <w:tc>
          <w:tcPr>
            <w:tcW w:w="4574" w:type="dxa"/>
            <w:vAlign w:val="center"/>
          </w:tcPr>
          <w:p>
            <w:pPr>
              <w:pStyle w:val="TABLE-cell"/>
            </w:pPr>
            <w:r>
              <w:rPr/>
              <w:t xml:space="preserve">The PLC open specific OPC UA simple data type BYTE is derived from the built in data type Byte. It describes that the type is used as bit string of length 8.</w:t>
            </w:r>
          </w:p>
        </w:tc>
      </w:tr>
      <w:tr>
        <w:tc>
          <w:tcPr>
            <w:tcW w:w="2515" w:type="dxa"/>
            <w:vAlign w:val="center"/>
          </w:tcPr>
          <w:p>
            <w:pPr>
              <w:pStyle w:val="TABLE-cell"/>
            </w:pPr>
            <w:r>
              <w:rPr/>
              <w:t xml:space="preserve">WORD</w:t>
            </w:r>
          </w:p>
        </w:tc>
        <w:tc>
          <w:tcPr>
            <w:tcW w:w="1981" w:type="dxa"/>
            <w:vAlign w:val="center"/>
          </w:tcPr>
          <w:p>
            <w:pPr>
              <w:pStyle w:val="TABLE-cell"/>
            </w:pPr>
            <w:r>
              <w:rPr/>
              <w:t xml:space="preserve">UInt16</w:t>
            </w:r>
          </w:p>
        </w:tc>
        <w:tc>
          <w:tcPr>
            <w:tcW w:w="4574" w:type="dxa"/>
            <w:vAlign w:val="center"/>
          </w:tcPr>
          <w:p>
            <w:pPr>
              <w:pStyle w:val="TABLE-cell"/>
            </w:pPr>
            <w:r>
              <w:rPr/>
              <w:t xml:space="preserve">The PLC open specific OPC UA simple data type WORD is derived from the built in data type UInt16. It describes that the type is used as bit string of length 16</w:t>
            </w:r>
          </w:p>
        </w:tc>
      </w:tr>
      <w:tr>
        <w:tc>
          <w:tcPr>
            <w:tcW w:w="2515" w:type="dxa"/>
            <w:vAlign w:val="center"/>
          </w:tcPr>
          <w:p>
            <w:pPr>
              <w:pStyle w:val="TABLE-cell"/>
            </w:pPr>
            <w:r>
              <w:rPr/>
              <w:t xml:space="preserve">DWORD</w:t>
            </w:r>
          </w:p>
        </w:tc>
        <w:tc>
          <w:tcPr>
            <w:tcW w:w="1981" w:type="dxa"/>
            <w:vAlign w:val="center"/>
          </w:tcPr>
          <w:p>
            <w:pPr>
              <w:pStyle w:val="TABLE-cell"/>
            </w:pPr>
            <w:r>
              <w:rPr/>
              <w:t xml:space="preserve">UInt32</w:t>
            </w:r>
          </w:p>
        </w:tc>
        <w:tc>
          <w:tcPr>
            <w:tcW w:w="4574" w:type="dxa"/>
            <w:vAlign w:val="center"/>
          </w:tcPr>
          <w:p>
            <w:pPr>
              <w:pStyle w:val="TABLE-cell"/>
            </w:pPr>
            <w:r>
              <w:rPr/>
              <w:t xml:space="preserve">The PLC open specific OPC UA simple data type DWORD is derived from the built in data type UInt32. It describes that the type is used as bit string of length 32</w:t>
            </w:r>
          </w:p>
        </w:tc>
      </w:tr>
      <w:tr>
        <w:tc>
          <w:tcPr>
            <w:tcW w:w="2515" w:type="dxa"/>
            <w:vAlign w:val="center"/>
          </w:tcPr>
          <w:p>
            <w:pPr>
              <w:pStyle w:val="TABLE-cell"/>
            </w:pPr>
            <w:r>
              <w:rPr/>
              <w:t xml:space="preserve">LWORD</w:t>
            </w:r>
          </w:p>
        </w:tc>
        <w:tc>
          <w:tcPr>
            <w:tcW w:w="1981" w:type="dxa"/>
            <w:vAlign w:val="center"/>
          </w:tcPr>
          <w:p>
            <w:pPr>
              <w:pStyle w:val="TABLE-cell"/>
            </w:pPr>
            <w:r>
              <w:rPr/>
              <w:t xml:space="preserve">UInt64</w:t>
            </w:r>
          </w:p>
        </w:tc>
        <w:tc>
          <w:tcPr>
            <w:tcW w:w="4574" w:type="dxa"/>
            <w:vAlign w:val="center"/>
          </w:tcPr>
          <w:p>
            <w:pPr>
              <w:pStyle w:val="TABLE-cell"/>
            </w:pPr>
            <w:r>
              <w:rPr/>
              <w:t xml:space="preserve">The PLC open specific OPC UA simple data type LWORD is derived from the built in data type UInt64. It describes that the type is used as bit string of length 64</w:t>
            </w:r>
          </w:p>
        </w:tc>
      </w:tr>
      <w:tr>
        <w:tc>
          <w:tcPr>
            <w:tcW w:w="2515" w:type="dxa"/>
            <w:vAlign w:val="center"/>
          </w:tcPr>
          <w:p>
            <w:pPr>
              <w:pStyle w:val="TABLE-cell"/>
            </w:pPr>
            <w:r>
              <w:rPr/>
              <w:t xml:space="preserve">REAL</w:t>
            </w:r>
          </w:p>
        </w:tc>
        <w:tc>
          <w:tcPr>
            <w:tcW w:w="1981" w:type="dxa"/>
            <w:vAlign w:val="center"/>
          </w:tcPr>
          <w:p>
            <w:pPr>
              <w:pStyle w:val="TABLE-cell"/>
            </w:pPr>
            <w:r>
              <w:rPr/>
              <w:t xml:space="preserve">Float</w:t>
            </w:r>
          </w:p>
        </w:tc>
        <w:tc>
          <w:tcPr>
            <w:tcW w:w="4574" w:type="dxa"/>
            <w:vAlign w:val="center"/>
          </w:tcPr>
          <w:p>
            <w:pPr>
              <w:pStyle w:val="TABLE-cell"/>
            </w:pPr>
            <w:r>
              <w:rPr/>
              <w:t xml:space="preserve">OPC UA definition: An IEEE-754 single precision (32 bit) floating point value. IEC 61131-3 definition: Real (32 bit) with a range of values as defined in IEC 60559 for the basic single width floating-point format. Both standards are identical.</w:t>
            </w:r>
          </w:p>
        </w:tc>
      </w:tr>
      <w:tr>
        <w:tc>
          <w:tcPr>
            <w:tcW w:w="2515" w:type="dxa"/>
            <w:vAlign w:val="center"/>
          </w:tcPr>
          <w:p>
            <w:pPr>
              <w:pStyle w:val="TABLE-cell"/>
            </w:pPr>
            <w:r>
              <w:rPr/>
              <w:t xml:space="preserve">LREAL</w:t>
            </w:r>
          </w:p>
        </w:tc>
        <w:tc>
          <w:tcPr>
            <w:tcW w:w="1981" w:type="dxa"/>
            <w:vAlign w:val="center"/>
          </w:tcPr>
          <w:p>
            <w:pPr>
              <w:pStyle w:val="TABLE-cell"/>
            </w:pPr>
            <w:r>
              <w:rPr/>
              <w:t xml:space="preserve">Double</w:t>
            </w:r>
          </w:p>
        </w:tc>
        <w:tc>
          <w:tcPr>
            <w:tcW w:w="4574" w:type="dxa"/>
            <w:vAlign w:val="center"/>
          </w:tcPr>
          <w:p>
            <w:pPr>
              <w:pStyle w:val="TABLE-cell"/>
            </w:pPr>
            <w:r>
              <w:rPr/>
              <w:t xml:space="preserve">OPC UA definition: An IEEE-754 double precision (64 bit) floating point value. IEC 61131-3 definition: Long real (64 bit) with a range of values as defined in IEC 60559 for the basic double width floating-point format. Both standards are identical.</w:t>
            </w:r>
          </w:p>
        </w:tc>
      </w:tr>
      <w:tr>
        <w:tc>
          <w:tcPr>
            <w:tcW w:w="2515" w:type="dxa"/>
            <w:vAlign w:val="center"/>
          </w:tcPr>
          <w:p>
            <w:pPr>
              <w:pStyle w:val="TABLE-cell"/>
            </w:pPr>
            <w:r>
              <w:rPr/>
              <w:t xml:space="preserve">STRING</w:t>
            </w:r>
          </w:p>
        </w:tc>
        <w:tc>
          <w:tcPr>
            <w:tcW w:w="1981" w:type="dxa"/>
            <w:vAlign w:val="center"/>
          </w:tcPr>
          <w:p>
            <w:pPr>
              <w:pStyle w:val="TABLE-cell"/>
            </w:pPr>
            <w:r>
              <w:rPr/>
              <w:t xml:space="preserve">String</w:t>
            </w:r>
          </w:p>
        </w:tc>
        <w:tc>
          <w:tcPr>
            <w:tcW w:w="4574" w:type="dxa"/>
            <w:vAlign w:val="center"/>
          </w:tcPr>
          <w:p>
            <w:pPr>
              <w:pStyle w:val="TABLE-cell"/>
            </w:pPr>
            <w:r>
              <w:rPr/>
              <w:t xml:space="preserve">The PLC open specific OPC UA simple data type STRING is derived from the built in data type String. It describes that the type is used as a variable-length single-byte character string.</w:t>
            </w:r>
          </w:p>
        </w:tc>
      </w:tr>
      <w:tr>
        <w:tc>
          <w:tcPr>
            <w:tcW w:w="2515" w:type="dxa"/>
            <w:vAlign w:val="center"/>
          </w:tcPr>
          <w:p>
            <w:pPr>
              <w:pStyle w:val="TABLE-cell"/>
            </w:pPr>
            <w:r>
              <w:rPr/>
              <w:t xml:space="preserve">CHAR</w:t>
            </w:r>
          </w:p>
        </w:tc>
        <w:tc>
          <w:tcPr>
            <w:tcW w:w="1981" w:type="dxa"/>
            <w:vAlign w:val="center"/>
          </w:tcPr>
          <w:p>
            <w:pPr>
              <w:pStyle w:val="TABLE-cell"/>
            </w:pPr>
            <w:r>
              <w:rPr/>
              <w:t xml:space="preserve">Byte</w:t>
            </w:r>
          </w:p>
        </w:tc>
        <w:tc>
          <w:tcPr>
            <w:tcW w:w="4574" w:type="dxa"/>
            <w:vAlign w:val="center"/>
          </w:tcPr>
          <w:p>
            <w:pPr>
              <w:pStyle w:val="TABLE-cell"/>
            </w:pPr>
            <w:r>
              <w:rPr/>
              <w:t xml:space="preserve">The PLC open specific OPC UA simple data type CHAR is derived from the built in data type Byte. It describes that the type is used as single-byte character</w:t>
            </w:r>
          </w:p>
        </w:tc>
      </w:tr>
      <w:tr>
        <w:tc>
          <w:tcPr>
            <w:tcW w:w="2515" w:type="dxa"/>
            <w:vAlign w:val="center"/>
          </w:tcPr>
          <w:p>
            <w:pPr>
              <w:pStyle w:val="TABLE-cell"/>
            </w:pPr>
            <w:r>
              <w:rPr/>
              <w:t xml:space="preserve">WSTRING</w:t>
            </w:r>
          </w:p>
        </w:tc>
        <w:tc>
          <w:tcPr>
            <w:tcW w:w="1981" w:type="dxa"/>
            <w:vAlign w:val="center"/>
          </w:tcPr>
          <w:p>
            <w:pPr>
              <w:pStyle w:val="TABLE-cell"/>
            </w:pPr>
            <w:r>
              <w:rPr/>
              <w:t xml:space="preserve">String</w:t>
            </w:r>
          </w:p>
        </w:tc>
        <w:tc>
          <w:tcPr>
            <w:tcW w:w="4574" w:type="dxa"/>
            <w:vAlign w:val="center"/>
          </w:tcPr>
          <w:p>
            <w:pPr>
              <w:pStyle w:val="TABLE-cell"/>
            </w:pPr>
            <w:r>
              <w:rPr/>
              <w:t xml:space="preserve">OPC UA definition: A sequence of UTF8 characters. IEC 61131-3 definition: Variable-length double-byte character string</w:t>
            </w:r>
          </w:p>
        </w:tc>
      </w:tr>
      <w:tr>
        <w:tc>
          <w:tcPr>
            <w:tcW w:w="2515" w:type="dxa"/>
            <w:vAlign w:val="center"/>
          </w:tcPr>
          <w:p>
            <w:pPr>
              <w:pStyle w:val="TABLE-cell"/>
            </w:pPr>
            <w:r>
              <w:rPr/>
              <w:t xml:space="preserve">WCHAR</w:t>
            </w:r>
          </w:p>
        </w:tc>
        <w:tc>
          <w:tcPr>
            <w:tcW w:w="1981" w:type="dxa"/>
            <w:vAlign w:val="center"/>
          </w:tcPr>
          <w:p>
            <w:pPr>
              <w:pStyle w:val="TABLE-cell"/>
            </w:pPr>
            <w:r>
              <w:rPr/>
              <w:t xml:space="preserve">UInt16</w:t>
            </w:r>
          </w:p>
        </w:tc>
        <w:tc>
          <w:tcPr>
            <w:tcW w:w="4574" w:type="dxa"/>
            <w:vAlign w:val="center"/>
          </w:tcPr>
          <w:p>
            <w:pPr>
              <w:pStyle w:val="TABLE-cell"/>
            </w:pPr>
            <w:r>
              <w:rPr/>
              <w:t xml:space="preserve">The PLC open specific OPC UA simple data type WCHAR is derived from the built in data type UInt16. It describes that the type is used as double-byte character.</w:t>
            </w:r>
          </w:p>
        </w:tc>
      </w:tr>
      <w:tr>
        <w:tc>
          <w:tcPr>
            <w:tcW w:w="2515" w:type="dxa"/>
            <w:vAlign w:val="center"/>
          </w:tcPr>
          <w:p>
            <w:pPr>
              <w:pStyle w:val="TABLE-cell"/>
            </w:pPr>
            <w:r>
              <w:rPr/>
              <w:t xml:space="preserve">DT</w:t>
            </w:r>
          </w:p>
        </w:tc>
        <w:tc>
          <w:tcPr>
            <w:tcW w:w="1981" w:type="dxa"/>
            <w:vAlign w:val="center"/>
          </w:tcPr>
          <w:p>
            <w:pPr>
              <w:pStyle w:val="TABLE-cell"/>
            </w:pPr>
            <w:r>
              <w:rPr/>
              <w:t xml:space="preserve">DATE_AND_TIME</w:t>
            </w:r>
          </w:p>
        </w:tc>
        <w:tc>
          <w:tcPr>
            <w:tcW w:w="4574" w:type="dxa"/>
            <w:vAlign w:val="center"/>
          </w:tcPr>
          <w:p>
            <w:pPr>
              <w:pStyle w:val="TABLE-cell"/>
            </w:pPr>
            <w:r>
              <w:rPr/>
              <w:t xml:space="preserve">DateTime	OPC UA definition: A 64-bit signed integer which represents the number of 100 nanosecond intervals since January 1, 1601.  IEC 61131-3 definition: Date and time of day.</w:t>
            </w:r>
          </w:p>
        </w:tc>
      </w:tr>
      <w:tr>
        <w:tc>
          <w:tcPr>
            <w:tcW w:w="2515" w:type="dxa"/>
            <w:vAlign w:val="center"/>
          </w:tcPr>
          <w:p>
            <w:pPr>
              <w:pStyle w:val="TABLE-cell"/>
            </w:pPr>
            <w:r>
              <w:rPr/>
              <w:t xml:space="preserve">DATE</w:t>
            </w:r>
          </w:p>
        </w:tc>
        <w:tc>
          <w:tcPr>
            <w:tcW w:w="1981" w:type="dxa"/>
            <w:vAlign w:val="center"/>
          </w:tcPr>
          <w:p>
            <w:pPr>
              <w:pStyle w:val="TABLE-cell"/>
            </w:pPr>
            <w:r>
              <w:rPr/>
              <w:t xml:space="preserve">DateTime</w:t>
            </w:r>
          </w:p>
        </w:tc>
        <w:tc>
          <w:tcPr>
            <w:tcW w:w="4574" w:type="dxa"/>
            <w:vAlign w:val="center"/>
          </w:tcPr>
          <w:p>
            <w:pPr>
              <w:pStyle w:val="TABLE-cell"/>
            </w:pPr>
            <w:r>
              <w:rPr/>
              <w:t xml:space="preserve">The PLC open specific OPC UA simple data type DATE is derived from the built in data type DateTime. It describes that the type is used as a date only.</w:t>
            </w:r>
          </w:p>
        </w:tc>
      </w:tr>
      <w:tr>
        <w:tc>
          <w:tcPr>
            <w:tcW w:w="2515" w:type="dxa"/>
            <w:vAlign w:val="center"/>
          </w:tcPr>
          <w:p>
            <w:pPr>
              <w:pStyle w:val="TABLE-cell"/>
            </w:pPr>
            <w:r>
              <w:rPr/>
              <w:t xml:space="preserve">TOD TIME_OF_DAY</w:t>
            </w:r>
          </w:p>
        </w:tc>
        <w:tc>
          <w:tcPr>
            <w:tcW w:w="1981" w:type="dxa"/>
            <w:vAlign w:val="center"/>
          </w:tcPr>
          <w:p>
            <w:pPr>
              <w:pStyle w:val="TABLE-cell"/>
            </w:pPr>
            <w:r>
              <w:rPr/>
              <w:t xml:space="preserve">DateTime</w:t>
            </w:r>
          </w:p>
        </w:tc>
        <w:tc>
          <w:tcPr>
            <w:tcW w:w="4574" w:type="dxa"/>
            <w:vAlign w:val="center"/>
          </w:tcPr>
          <w:p>
            <w:pPr>
              <w:pStyle w:val="TABLE-cell"/>
            </w:pPr>
            <w:r>
              <w:rPr/>
              <w:t xml:space="preserve">The PLC open specific OPC UA simple data type TOD is derived from the built in data type DateTime. It describes that the type is used as time of day only.</w:t>
            </w:r>
          </w:p>
        </w:tc>
      </w:tr>
      <w:tr>
        <w:tc>
          <w:tcPr>
            <w:tcW w:w="2515" w:type="dxa"/>
            <w:vAlign w:val="center"/>
          </w:tcPr>
          <w:p>
            <w:pPr>
              <w:pStyle w:val="TABLE-cell"/>
            </w:pPr>
            <w:r>
              <w:rPr/>
              <w:t xml:space="preserve">TIME</w:t>
            </w:r>
          </w:p>
        </w:tc>
        <w:tc>
          <w:tcPr>
            <w:tcW w:w="1981" w:type="dxa"/>
            <w:vAlign w:val="center"/>
          </w:tcPr>
          <w:p>
            <w:pPr>
              <w:pStyle w:val="TABLE-cell"/>
            </w:pPr>
            <w:r>
              <w:rPr/>
              <w:t xml:space="preserve">Double</w:t>
            </w:r>
          </w:p>
        </w:tc>
        <w:tc>
          <w:tcPr>
            <w:tcW w:w="4574" w:type="dxa"/>
            <w:vAlign w:val="center"/>
          </w:tcPr>
          <w:p>
            <w:pPr>
              <w:pStyle w:val="TABLE-cell"/>
            </w:pPr>
            <w:r>
              <w:rPr/>
              <w:t xml:space="preserve">The OPC UA simple data type Duration is derived from the built in data type Double. It describes that the type is used as interval of time in milliseconds.</w:t>
            </w:r>
          </w:p>
        </w:tc>
      </w:tr>
    </w:tbl>
    <w:p>
      <w:pPr>
        <w:pStyle w:val="spacer"/>
      </w:pPr>
    </w:p>
    <w:p>
      <w:pPr>
        <w:pStyle w:val="ANNEX-heading1"/>
      </w:pPr>
      <w:bookmarkStart w:name="Sts_sec_B_2" w:id="221"/>
      <w:r>
        <w:rPr/>
        <w:t xml:space="preserve">Mapping of generic data types</w:t>
      </w:r>
      <w:bookmarkEnd w:id="221"/>
    </w:p>
    <w:p>
      <w:pPr>
        <w:pStyle w:val="PARAGRAPH"/>
      </w:pPr>
      <w:r>
        <w:rPr/>
        <w:t xml:space="preserve">The mapping of IEC 61131-3 generic data types to OPC UA </w:t>
      </w:r>
      <w:r>
        <w:rPr>
          <w:i/>
        </w:rPr>
        <w:t xml:space="preserve">DataTypes</w:t>
      </w:r>
      <w:r>
        <w:rPr/>
        <w:t xml:space="preserve">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rid="tbl_72_mapping-iec-61131-3-generic-data-types-to-opc-ua-data-types"&gt;Table 72&lt;/xref&gt;.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 This mapping definition is defined for completeness but is normally not used in an OPC UA </w:t>
      </w:r>
      <w:r>
        <w:rPr>
          <w:i/>
        </w:rPr>
        <w:t xml:space="preserve">AddressSpace</w:t>
      </w:r>
      <w:r>
        <w:rPr/>
        <w:t xml:space="preserve">.</w:t>
      </w:r>
    </w:p>
    <w:p>
      <w:pPr>
        <w:pStyle w:val="TABLE-title"/>
      </w:pPr>
      <w:bookmarkStart w:name="Sts_tbl_74" w:id="222"/>
      <w:r>
        <w:t xml:space="preserve">Table </w:t>
      </w:r>
      <w:r>
        <w:fldChar w:fldCharType="begin"/>
      </w:r>
      <w:r>
        <w:instrText xml:space="preserve"> SEQ Table \* ARABIC </w:instrText>
      </w:r>
      <w:r>
        <w:fldChar w:fldCharType="separate"/>
      </w:r>
      <w:r>
        <w:rPr/>
        <w:t xml:space="preserve">74</w:t>
      </w:r>
      <w:r>
        <w:fldChar w:fldCharType="end"/>
      </w:r>
      <w:bookmarkEnd w:id="222"/>
      <w:r>
        <w:t xml:space="preserve"> – </w:t>
      </w:r>
      <w:r>
        <w:rPr/>
        <w:t xml:space="preserve">Mapping IEC 61131-3 generic data types to OPC UA data types</w:t>
      </w:r>
    </w:p>
    <w:tbl>
      <w:tblPr>
        <w:tblStyle w:val="TableGrid"/>
        <w:tblW w:w="9070" w:type="dxa"/>
        <w:tblLayout w:type="fixed"/>
      </w:tblPr>
      <w:tblGrid>
        <w:gridCol w:w="2542"/>
        <w:gridCol w:w="1680"/>
        <w:gridCol w:w="4848"/>
      </w:tblGrid>
      <w:tr>
        <w:trPr>
          <w:tblHeader/>
        </w:trPr>
        <w:tc>
          <w:tcPr>
            <w:tcW w:w="2542" w:type="dxa"/>
            <w:vAlign w:val="center"/>
          </w:tcPr>
          <w:p>
            <w:pPr>
              <w:pStyle w:val="TABLE-col-heading"/>
              <w:jc w:val="left"/>
            </w:pPr>
            <w:r>
              <w:rPr/>
              <w:t xml:space="preserve">IEC 61131-3 generic data types</w:t>
            </w:r>
          </w:p>
        </w:tc>
        <w:tc>
          <w:tcPr>
            <w:tcW w:w="1680" w:type="dxa"/>
            <w:vAlign w:val="center"/>
          </w:tcPr>
          <w:p>
            <w:pPr>
              <w:pStyle w:val="TABLE-col-heading"/>
              <w:jc w:val="left"/>
            </w:pPr>
            <w:r>
              <w:rPr/>
              <w:t xml:space="preserve">OPC UA data types</w:t>
            </w:r>
          </w:p>
        </w:tc>
        <w:tc>
          <w:tcPr>
            <w:tcW w:w="4848" w:type="dxa"/>
            <w:vAlign w:val="center"/>
          </w:tcPr>
          <w:p>
            <w:pPr>
              <w:pStyle w:val="TABLE-col-heading"/>
              <w:jc w:val="left"/>
            </w:pPr>
            <w:r>
              <w:rPr/>
              <w:t xml:space="preserve">Description</w:t>
            </w:r>
          </w:p>
        </w:tc>
      </w:tr>
      <w:tr>
        <w:tc>
          <w:tcPr>
            <w:tcW w:w="2542" w:type="dxa"/>
            <w:vAlign w:val="center"/>
          </w:tcPr>
          <w:p>
            <w:pPr>
              <w:pStyle w:val="TABLE-cell"/>
            </w:pPr>
            <w:r>
              <w:rPr/>
              <w:t xml:space="preserve">ANY</w:t>
            </w:r>
          </w:p>
        </w:tc>
        <w:tc>
          <w:tcPr>
            <w:tcW w:w="1680" w:type="dxa"/>
            <w:vAlign w:val="center"/>
          </w:tcPr>
          <w:p>
            <w:pPr>
              <w:pStyle w:val="TABLE-cell"/>
            </w:pPr>
            <w:r>
              <w:rPr/>
              <w:t xml:space="preserve">BaseDataType</w:t>
            </w:r>
          </w:p>
        </w:tc>
        <w:tc>
          <w:tcPr>
            <w:tcW w:w="4848" w:type="dxa"/>
            <w:vAlign w:val="center"/>
          </w:tcPr>
          <w:p>
            <w:pPr>
              <w:pStyle w:val="TABLE-cell"/>
            </w:pPr>
            <w:r>
              <w:rPr/>
              <w:t xml:space="preserve">This abstract OPC UA DataType defines a value that can have any valid OPC UA DataType.</w:t>
            </w:r>
          </w:p>
        </w:tc>
      </w:tr>
      <w:tr>
        <w:tc>
          <w:tcPr>
            <w:tcW w:w="2542" w:type="dxa"/>
            <w:vAlign w:val="center"/>
          </w:tcPr>
          <w:p>
            <w:pPr>
              <w:pStyle w:val="TABLE-cell"/>
            </w:pPr>
            <w:r>
              <w:rPr/>
              <w:t xml:space="preserve">ANY_DERIVED</w:t>
            </w:r>
          </w:p>
        </w:tc>
        <w:tc>
          <w:tcPr>
            <w:tcW w:w="1680" w:type="dxa"/>
            <w:vAlign w:val="center"/>
          </w:tcPr>
          <w:p>
            <w:pPr>
              <w:pStyle w:val="TABLE-cell"/>
            </w:pPr>
            <w:r>
              <w:rPr/>
              <w:t xml:space="preserve">BaseDataType</w:t>
            </w:r>
          </w:p>
        </w:tc>
        <w:tc>
          <w:tcPr>
            <w:tcW w:w="4848" w:type="dxa"/>
            <w:vAlign w:val="center"/>
          </w:tcPr>
          <w:p>
            <w:pPr>
              <w:pStyle w:val="TABLE-cell"/>
            </w:pPr>
            <w:r>
              <w:rPr/>
              <w:t xml:space="preserve">""</w:t>
            </w:r>
          </w:p>
        </w:tc>
      </w:tr>
      <w:tr>
        <w:tc>
          <w:tcPr>
            <w:tcW w:w="2542" w:type="dxa"/>
            <w:vAlign w:val="center"/>
          </w:tcPr>
          <w:p>
            <w:pPr>
              <w:pStyle w:val="TABLE-cell"/>
            </w:pPr>
            <w:r>
              <w:rPr/>
              <w:t xml:space="preserve">ANY_ELEMENTARY</w:t>
            </w:r>
          </w:p>
        </w:tc>
        <w:tc>
          <w:tcPr>
            <w:tcW w:w="1680" w:type="dxa"/>
            <w:vAlign w:val="center"/>
          </w:tcPr>
          <w:p>
            <w:pPr>
              <w:pStyle w:val="TABLE-cell"/>
            </w:pPr>
            <w:r>
              <w:rPr/>
              <w:t xml:space="preserve">BaseDataType</w:t>
            </w:r>
          </w:p>
        </w:tc>
        <w:tc>
          <w:tcPr>
            <w:tcW w:w="4848" w:type="dxa"/>
            <w:vAlign w:val="center"/>
          </w:tcPr>
          <w:p>
            <w:pPr>
              <w:pStyle w:val="TABLE-cell"/>
            </w:pPr>
            <w:r>
              <w:rPr/>
              <w:t xml:space="preserve">""</w:t>
            </w:r>
          </w:p>
        </w:tc>
      </w:tr>
      <w:tr>
        <w:tc>
          <w:tcPr>
            <w:tcW w:w="2542" w:type="dxa"/>
            <w:vAlign w:val="center"/>
          </w:tcPr>
          <w:p>
            <w:pPr>
              <w:pStyle w:val="TABLE-cell"/>
            </w:pPr>
            <w:r>
              <w:rPr/>
              <w:t xml:space="preserve">ANY_MAGNITUDE</w:t>
            </w:r>
          </w:p>
        </w:tc>
        <w:tc>
          <w:tcPr>
            <w:tcW w:w="1680" w:type="dxa"/>
            <w:vAlign w:val="center"/>
          </w:tcPr>
          <w:p>
            <w:pPr>
              <w:pStyle w:val="TABLE-cell"/>
            </w:pPr>
            <w:r>
              <w:rPr/>
              <w:t xml:space="preserve">BaseDataType</w:t>
            </w:r>
          </w:p>
        </w:tc>
        <w:tc>
          <w:tcPr>
            <w:tcW w:w="4848" w:type="dxa"/>
            <w:vAlign w:val="center"/>
          </w:tcPr>
          <w:p>
            <w:pPr>
              <w:pStyle w:val="TABLE-cell"/>
            </w:pPr>
            <w:r>
              <w:rPr/>
              <w:t xml:space="preserve">""</w:t>
            </w:r>
          </w:p>
        </w:tc>
      </w:tr>
      <w:tr>
        <w:tc>
          <w:tcPr>
            <w:tcW w:w="2542" w:type="dxa"/>
            <w:vAlign w:val="center"/>
          </w:tcPr>
          <w:p>
            <w:pPr>
              <w:pStyle w:val="TABLE-cell"/>
            </w:pPr>
            <w:r>
              <w:rPr/>
              <w:t xml:space="preserve">ANY_NUM</w:t>
            </w:r>
          </w:p>
        </w:tc>
        <w:tc>
          <w:tcPr>
            <w:tcW w:w="1680" w:type="dxa"/>
            <w:vAlign w:val="center"/>
          </w:tcPr>
          <w:p>
            <w:pPr>
              <w:pStyle w:val="TABLE-cell"/>
            </w:pPr>
            <w:r>
              <w:rPr/>
              <w:t xml:space="preserve">Number</w:t>
            </w:r>
          </w:p>
        </w:tc>
        <w:tc>
          <w:tcPr>
            <w:tcW w:w="4848" w:type="dxa"/>
            <w:vAlign w:val="center"/>
          </w:tcPr>
          <w:p>
            <w:pPr>
              <w:pStyle w:val="TABLE-cell"/>
            </w:pPr>
            <w:r>
              <w:rPr/>
              <w:t xml:space="preserve">This abstract OPC UA DataType defines a number value that can have any of the OPC UA Number subtypes.</w:t>
            </w:r>
          </w:p>
        </w:tc>
      </w:tr>
      <w:tr>
        <w:tc>
          <w:tcPr>
            <w:tcW w:w="2542" w:type="dxa"/>
            <w:vAlign w:val="center"/>
          </w:tcPr>
          <w:p>
            <w:pPr>
              <w:pStyle w:val="TABLE-cell"/>
            </w:pPr>
            <w:r>
              <w:rPr/>
              <w:t xml:space="preserve">ANY_REAL</w:t>
            </w:r>
          </w:p>
        </w:tc>
        <w:tc>
          <w:tcPr>
            <w:tcW w:w="1680" w:type="dxa"/>
            <w:vAlign w:val="center"/>
          </w:tcPr>
          <w:p>
            <w:pPr>
              <w:pStyle w:val="TABLE-cell"/>
            </w:pPr>
            <w:r>
              <w:rPr/>
              <w:t xml:space="preserve">Number</w:t>
            </w:r>
          </w:p>
        </w:tc>
        <w:tc>
          <w:tcPr>
            <w:tcW w:w="4848" w:type="dxa"/>
            <w:vAlign w:val="center"/>
          </w:tcPr>
          <w:p>
            <w:pPr>
              <w:pStyle w:val="TABLE-cell"/>
            </w:pPr>
            <w:r>
              <w:rPr/>
              <w:t xml:space="preserve">""</w:t>
            </w:r>
          </w:p>
        </w:tc>
      </w:tr>
      <w:tr>
        <w:tc>
          <w:tcPr>
            <w:tcW w:w="2542" w:type="dxa"/>
            <w:vAlign w:val="center"/>
          </w:tcPr>
          <w:p>
            <w:pPr>
              <w:pStyle w:val="TABLE-cell"/>
            </w:pPr>
            <w:r>
              <w:rPr/>
              <w:t xml:space="preserve">ANY_INT</w:t>
            </w:r>
          </w:p>
        </w:tc>
        <w:tc>
          <w:tcPr>
            <w:tcW w:w="1680" w:type="dxa"/>
            <w:vAlign w:val="center"/>
          </w:tcPr>
          <w:p>
            <w:pPr>
              <w:pStyle w:val="TABLE-cell"/>
            </w:pPr>
            <w:r>
              <w:rPr/>
              <w:t xml:space="preserve">Number</w:t>
            </w:r>
          </w:p>
        </w:tc>
        <w:tc>
          <w:tcPr>
            <w:tcW w:w="4848" w:type="dxa"/>
            <w:vAlign w:val="center"/>
          </w:tcPr>
          <w:p>
            <w:pPr>
              <w:pStyle w:val="TABLE-cell"/>
            </w:pPr>
            <w:r>
              <w:rPr/>
              <w:t xml:space="preserve">""</w:t>
            </w:r>
          </w:p>
        </w:tc>
      </w:tr>
      <w:tr>
        <w:tc>
          <w:tcPr>
            <w:tcW w:w="2542" w:type="dxa"/>
            <w:vAlign w:val="center"/>
          </w:tcPr>
          <w:p>
            <w:pPr>
              <w:pStyle w:val="TABLE-cell"/>
            </w:pPr>
            <w:r>
              <w:rPr/>
              <w:t xml:space="preserve">ANY_BIT</w:t>
            </w:r>
          </w:p>
        </w:tc>
        <w:tc>
          <w:tcPr>
            <w:tcW w:w="1680" w:type="dxa"/>
            <w:vAlign w:val="center"/>
          </w:tcPr>
          <w:p>
            <w:pPr>
              <w:pStyle w:val="TABLE-cell"/>
            </w:pPr>
            <w:r>
              <w:rPr/>
              <w:t xml:space="preserve">Number</w:t>
            </w:r>
          </w:p>
        </w:tc>
        <w:tc>
          <w:tcPr>
            <w:tcW w:w="4848" w:type="dxa"/>
            <w:vAlign w:val="center"/>
          </w:tcPr>
          <w:p>
            <w:pPr>
              <w:pStyle w:val="TABLE-cell"/>
            </w:pPr>
            <w:r>
              <w:rPr/>
              <w:t xml:space="preserve">""</w:t>
            </w:r>
          </w:p>
        </w:tc>
      </w:tr>
      <w:tr>
        <w:tc>
          <w:tcPr>
            <w:tcW w:w="2542" w:type="dxa"/>
            <w:vAlign w:val="center"/>
          </w:tcPr>
          <w:p>
            <w:pPr>
              <w:pStyle w:val="TABLE-cell"/>
            </w:pPr>
            <w:r>
              <w:rPr/>
              <w:t xml:space="preserve">ANY_STRING</w:t>
            </w:r>
          </w:p>
        </w:tc>
        <w:tc>
          <w:tcPr>
            <w:tcW w:w="1680" w:type="dxa"/>
            <w:vAlign w:val="center"/>
          </w:tcPr>
          <w:p>
            <w:pPr>
              <w:pStyle w:val="TABLE-cell"/>
            </w:pPr>
            <w:r>
              <w:rPr/>
              <w:t xml:space="preserve">String</w:t>
            </w:r>
          </w:p>
        </w:tc>
        <w:tc>
          <w:tcPr>
            <w:tcW w:w="4848" w:type="dxa"/>
            <w:vAlign w:val="center"/>
          </w:tcPr>
          <w:p>
            <w:pPr>
              <w:pStyle w:val="TABLE-cell"/>
            </w:pPr>
            <w:r>
              <w:rPr/>
              <w:t xml:space="preserve">This OPC UA Built-in DataType defines a Unicode character string that should exclude control characters that are not whitespaces (0x00 - 0x08, 0x0E-0x1F or 0x7F).</w:t>
            </w:r>
          </w:p>
        </w:tc>
      </w:tr>
      <w:tr>
        <w:tc>
          <w:tcPr>
            <w:tcW w:w="2542" w:type="dxa"/>
            <w:vAlign w:val="center"/>
          </w:tcPr>
          <w:p>
            <w:pPr>
              <w:pStyle w:val="TABLE-cell"/>
            </w:pPr>
            <w:r>
              <w:rPr/>
              <w:t xml:space="preserve">ANY_DATE</w:t>
            </w:r>
          </w:p>
        </w:tc>
        <w:tc>
          <w:tcPr>
            <w:tcW w:w="1680" w:type="dxa"/>
            <w:vAlign w:val="center"/>
          </w:tcPr>
          <w:p>
            <w:pPr>
              <w:pStyle w:val="TABLE-cell"/>
            </w:pPr>
            <w:r>
              <w:rPr/>
              <w:t xml:space="preserve">DateTime</w:t>
            </w:r>
          </w:p>
        </w:tc>
        <w:tc>
          <w:tcPr>
            <w:tcW w:w="4848" w:type="dxa"/>
            <w:vAlign w:val="center"/>
          </w:tcPr>
          <w:p>
            <w:pPr>
              <w:pStyle w:val="TABLE-cell"/>
            </w:pPr>
            <w:r>
              <w:rPr/>
              <w:t xml:space="preserve">This OPC UA Built-in DataType defines a Gregorian calendar date. It is a 64-bit signed integer which represents the number of 100 nanosecond intervals since January 1, 1601.</w:t>
            </w:r>
          </w:p>
        </w:tc>
      </w:tr>
    </w:tbl>
    <w:p>
      <w:pPr>
        <w:pStyle w:val="spacer"/>
      </w:pPr>
    </w:p>
    <w:p>
      <w:pPr>
        <w:pStyle w:val="ANNEX-heading1"/>
      </w:pPr>
      <w:bookmarkStart w:name="Sts_sec_B_3" w:id="223"/>
      <w:r>
        <w:rPr/>
        <w:t xml:space="preserve">Mapping of derived data types</w:t>
      </w:r>
      <w:bookmarkEnd w:id="223"/>
    </w:p>
    <w:p>
      <w:pPr>
        <w:pStyle w:val="ANNEX-heading2"/>
      </w:pPr>
      <w:bookmarkStart w:name="Sts_sec_B_3_1" w:id="224"/>
      <w:r>
        <w:rPr/>
        <w:t xml:space="preserve">Mapping of enumerated data types</w:t>
      </w:r>
      <w:bookmarkEnd w:id="224"/>
    </w:p>
    <w:p>
      <w:pPr>
        <w:pStyle w:val="PARAGRAPH"/>
      </w:pPr>
      <w:r>
        <w:rPr/>
        <w:t xml:space="preserve">Both OPC UA and IEC 61131-3 allow the definition of enumerations on a data type or on a variable instance.</w:t>
      </w:r>
    </w:p>
    <w:p>
      <w:pPr>
        <w:pStyle w:val="PARAGRAPH"/>
      </w:pPr>
      <w:r>
        <w:rPr/>
        <w:t xml:space="preserve">In OPC UA the enumerated </w:t>
      </w:r>
      <w:r>
        <w:rPr>
          <w:i/>
        </w:rPr>
        <w:t xml:space="preserve">DataTypes</w:t>
      </w:r>
      <w:r>
        <w:rPr/>
        <w:t xml:space="preserve"> are defined as subtypes of </w:t>
      </w:r>
      <w:r>
        <w:rPr>
          <w:i/>
        </w:rPr>
        <w:t xml:space="preserve">Enumeration</w:t>
      </w:r>
      <w:r>
        <w:rPr/>
        <w:t xml:space="preserve">. The data has an </w:t>
      </w:r>
      <w:r>
        <w:rPr>
          <w:i/>
        </w:rPr>
        <w:t xml:space="preserve">EnumStrings Property</w:t>
      </w:r>
      <w:r>
        <w:rPr/>
        <w:t xml:space="preserve"> that contains the possible string values. The value is transferred as integer on the wire where the integer defines the index into the </w:t>
      </w:r>
      <w:r>
        <w:rPr>
          <w:i/>
        </w:rPr>
        <w:t xml:space="preserve">EnumStrings</w:t>
      </w:r>
      <w:r>
        <w:rPr/>
        <w:t xml:space="preserve"> array. The index is zero based and has no gaps. Another option is to provide the possible string values in the </w:t>
      </w:r>
      <w:r>
        <w:rPr>
          <w:i/>
        </w:rPr>
        <w:t xml:space="preserve">Property EnumValues</w:t>
      </w:r>
      <w:r>
        <w:rPr/>
        <w:t xml:space="preserve">. This option is used if individual integer values are assigned to the string. The used option depends on the way the string enumeration is defined in the </w:t>
      </w:r>
      <w:r>
        <w:rPr>
          <w:i/>
        </w:rPr>
        <w:t xml:space="preserve">Controller</w:t>
      </w:r>
      <w:r>
        <w:rPr/>
        <w:t xml:space="preserve"> program. If integer values are assigned to the string values the </w:t>
      </w:r>
      <w:r>
        <w:rPr>
          <w:i/>
        </w:rPr>
        <w:t xml:space="preserve">Property EnumValues</w:t>
      </w:r>
      <w:r>
        <w:rPr/>
        <w:t xml:space="preserve"> is used to represent the enumeration values. If the integer value is zero based and has no gaps the </w:t>
      </w:r>
      <w:r>
        <w:rPr>
          <w:i/>
        </w:rPr>
        <w:t xml:space="preserve">EnumStrings Property</w:t>
      </w:r>
      <w:r>
        <w:rPr/>
        <w:t xml:space="preserve"> should be used since the processing on the client side is more efficient.</w:t>
      </w:r>
    </w:p>
    <w:p>
      <w:pPr>
        <w:pStyle w:val="PARAGRAPH"/>
      </w:pPr>
      <w:r>
        <w:rPr/>
        <w:t xml:space="preserve">The definition on a variable instance is using the MultiStateDiscreteType Variable Type which defines also the </w:t>
      </w:r>
      <w:r>
        <w:rPr>
          <w:i/>
        </w:rPr>
        <w:t xml:space="preserve">EnumStrings</w:t>
      </w:r>
      <w:r>
        <w:rPr/>
        <w:t xml:space="preserve"> or the </w:t>
      </w:r>
      <w:r>
        <w:rPr>
          <w:i/>
        </w:rPr>
        <w:t xml:space="preserve">EnumValues Property</w:t>
      </w:r>
      <w:r>
        <w:rPr/>
        <w:t xml:space="preserve"> containing the enumeration values as string array.</w:t>
      </w:r>
    </w:p>
    <w:p>
      <w:pPr>
        <w:pStyle w:val="PARAGRAPH"/>
      </w:pPr>
      <w:r>
        <w:rPr/>
        <w:t xml:space="preserve">Example for an enumerated data type declaration in IEC 61131-3:</w:t>
      </w:r>
    </w:p>
    <w:p>
      <w:pPr>
        <w:pStyle w:val="CODE"/>
      </w:pPr>
      <w:r>
        <w:t xml:space="preserve">TYPE </w:t>
      </w:r>
      <w:r>
        <w:br/>
        <w:t xml:space="preserve">  ANALOG_SIGNAL_TYPE : (SINGLE_ENDED, DIFFERENTIAL); </w:t>
      </w:r>
      <w:r>
        <w:br/>
        <w:t xml:space="preserve">END_TYPE</w:t>
      </w:r>
    </w:p>
    <w:p>
      <w:pPr>
        <w:pStyle w:val="PARAGRAPH"/>
      </w:pPr>
      <w:r>
        <w:rPr/>
        <w:t xml:space="preserve">Example for use of an enumeration in a </w:t>
      </w:r>
      <w:r>
        <w:rPr>
          <w:i/>
        </w:rPr>
        <w:t xml:space="preserve">Ctrl Variable</w:t>
      </w:r>
      <w:r>
        <w:rPr/>
        <w:t xml:space="preserve"> instantiation in IEC 61131-3:</w:t>
      </w:r>
    </w:p>
    <w:p>
      <w:pPr>
        <w:pStyle w:val="CODE"/>
      </w:pPr>
      <w:r>
        <w:t xml:space="preserve">VAR </w:t>
      </w:r>
      <w:r>
        <w:br/>
        <w:t xml:space="preserve">  Y : (Red, Yellow, Green); </w:t>
      </w:r>
      <w:r>
        <w:br/>
        <w:t xml:space="preserve">END_VAR</w:t>
      </w:r>
    </w:p>
    <w:p>
      <w:pPr>
        <w:pStyle w:val="ANNEX-heading2"/>
      </w:pPr>
      <w:bookmarkStart w:name="Sts_sec_B_3_2" w:id="225"/>
      <w:r>
        <w:rPr/>
        <w:t xml:space="preserve">Mapping of array data types</w:t>
      </w:r>
      <w:bookmarkEnd w:id="225"/>
    </w:p>
    <w:p>
      <w:pPr>
        <w:pStyle w:val="PARAGRAPH"/>
      </w:pPr>
      <w:r>
        <w:rPr/>
        <w:t xml:space="preserve">OPC UA provides the information if a value is an array in the </w:t>
      </w:r>
      <w:r>
        <w:rPr>
          <w:i/>
        </w:rPr>
        <w:t xml:space="preserve">Variable</w:t>
      </w:r>
      <w:r>
        <w:rPr/>
        <w:t xml:space="preserve"> </w:t>
      </w:r>
      <w:r>
        <w:rPr>
          <w:i/>
        </w:rPr>
        <w:t xml:space="preserve">Attributes</w:t>
      </w:r>
      <w:r>
        <w:rPr/>
        <w:t xml:space="preserve"> </w:t>
      </w:r>
      <w:r>
        <w:rPr>
          <w:i/>
        </w:rPr>
        <w:t xml:space="preserve">ValueRank</w:t>
      </w:r>
      <w:r>
        <w:rPr/>
        <w:t xml:space="preserve"> and </w:t>
      </w:r>
      <w:r>
        <w:rPr>
          <w:i/>
        </w:rPr>
        <w:t xml:space="preserve">ArrayDimensions</w:t>
      </w:r>
      <w:r>
        <w:rPr/>
        <w:t xml:space="preserve">. Every data type can be exposed as array. Arrays can have multiple dimensions. The dimension is defined through the </w:t>
      </w:r>
      <w:r>
        <w:rPr>
          <w:i/>
        </w:rPr>
        <w:t xml:space="preserve">Attribute</w:t>
      </w:r>
      <w:r>
        <w:rPr/>
        <w:t xml:space="preserve"> </w:t>
      </w:r>
      <w:r>
        <w:rPr>
          <w:i/>
        </w:rPr>
        <w:t xml:space="preserve">ValueRank</w:t>
      </w:r>
      <w:r>
        <w:rPr/>
        <w:t xml:space="preserve">. Arrays can have variable or fixed lengths. The length of each dimension is defined by the </w:t>
      </w:r>
      <w:r>
        <w:rPr>
          <w:i/>
        </w:rPr>
        <w:t xml:space="preserve">Attribute</w:t>
      </w:r>
      <w:r>
        <w:rPr/>
        <w:t xml:space="preserve"> </w:t>
      </w:r>
      <w:r>
        <w:rPr>
          <w:i/>
        </w:rPr>
        <w:t xml:space="preserve">ArrayDimensions</w:t>
      </w:r>
      <w:r>
        <w:rPr/>
        <w:t xml:space="preserve">. The array index starts with zero.</w:t>
      </w:r>
    </w:p>
    <w:p>
      <w:pPr>
        <w:pStyle w:val="PARAGRAPH"/>
      </w:pPr>
      <w:r>
        <w:rPr/>
        <w:t xml:space="preserve">IEC 61131-3 allows the declaration of array data types with one or multiple dimensions and an index range instead of a length.</w:t>
      </w:r>
    </w:p>
    <w:p>
      <w:pPr>
        <w:pStyle w:val="PARAGRAPH"/>
      </w:pPr>
      <w:r>
        <w:rPr/>
        <w:t xml:space="preserve">OPC UA has no standard concept for defining special array data types or exposing index ranges.</w:t>
      </w:r>
    </w:p>
    <w:p>
      <w:pPr>
        <w:pStyle w:val="PARAGRAPH"/>
      </w:pPr>
      <w:r>
        <w:rPr/>
        <w:t xml:space="preserve">Example for an array data type declaration in IEC 61131-3:</w:t>
      </w:r>
    </w:p>
    <w:p>
      <w:pPr>
        <w:pStyle w:val="CODE"/>
      </w:pPr>
      <w:r>
        <w:t xml:space="preserve">TYPE </w:t>
      </w:r>
      <w:r>
        <w:br/>
        <w:t xml:space="preserve">  ANALOG_16_INPUT_DATA : ARRAY [1..16] OF INT ; </w:t>
      </w:r>
      <w:r>
        <w:br/>
        <w:t xml:space="preserve">END_TYPE</w:t>
      </w:r>
    </w:p>
    <w:p>
      <w:pPr>
        <w:pStyle w:val="PARAGRAPH"/>
      </w:pPr>
      <w:r>
        <w:rPr/>
        <w:t xml:space="preserve">Example for use of an array in a </w:t>
      </w:r>
      <w:r>
        <w:rPr>
          <w:i/>
        </w:rPr>
        <w:t xml:space="preserve">Ctrl Variable</w:t>
      </w:r>
      <w:r>
        <w:rPr/>
        <w:t xml:space="preserve"> instantiation in IEC 61131-3:</w:t>
      </w:r>
    </w:p>
    <w:p>
      <w:pPr>
        <w:pStyle w:val="CODE"/>
      </w:pPr>
      <w:r>
        <w:t xml:space="preserve"> VAR </w:t>
      </w:r>
      <w:r>
        <w:br/>
        <w:t xml:space="preserve">  MyArray : ARRAY [1..16] OF INT; </w:t>
      </w:r>
      <w:r>
        <w:br/>
        <w:t xml:space="preserve">END_VAR</w:t>
      </w:r>
    </w:p>
    <w:p>
      <w:pPr>
        <w:pStyle w:val="ANNEXtitle"/>
      </w:pPr>
      <w:r>
        <w:br/>
      </w:r>
      <w:r>
        <w:t xml:space="preserve">(normative)</w:t>
      </w:r>
      <w:r>
        <w:br/>
      </w:r>
      <w:bookmarkStart w:name="Sts_sec_C" w:id="226"/>
      <w:r>
        <w:rPr/>
        <w:t xml:space="preserve">Namespaces and Mappings</w:t>
      </w:r>
      <w:bookmarkEnd w:id="226"/>
    </w:p>
    <w:p>
      <w:pPr>
        <w:pStyle w:val="ANNEX-heading1"/>
      </w:pPr>
      <w:bookmarkStart w:name="Sts_sec_C_1" w:id="227"/>
      <w:r>
        <w:rPr/>
        <w:t xml:space="preserve">NodeSets and Supplementary Files</w:t>
      </w:r>
      <w:bookmarkEnd w:id="227"/>
    </w:p>
    <w:p>
      <w:pPr>
        <w:pStyle w:val="PARAGRAPH"/>
      </w:pPr>
      <w:r>
        <w:rPr/>
        <w:t xml:space="preserve">The OPC UA for PackML </w:t>
      </w:r>
      <w:r>
        <w:rPr>
          <w:i/>
        </w:rPr>
        <w:t xml:space="preserve">Information Model</w:t>
      </w:r>
      <w:r>
        <w:rPr/>
        <w:t xml:space="preserve"> is identified by the following URI:</w:t>
      </w:r>
    </w:p>
    <w:p>
      <w:pPr>
        <w:pStyle w:val="PARAGRAPH"/>
      </w:pPr>
      <w:hyperlink r:id="R64b0724c5296468c">
        <w:r>
          <w:rPr>
            <w:rStyle w:val="Hyperlink"/>
          </w:rPr>
          <w:t xml:space="preserve">http://opcfoundation.org/UA/PackML/</w:t>
        </w:r>
      </w:hyperlink>
    </w:p>
    <w:p>
      <w:pPr>
        <w:pStyle w:val="PARAGRAPH"/>
      </w:pPr>
      <w:r>
        <w:rPr/>
        <w:t xml:space="preserve">Documentation for the </w:t>
      </w:r>
      <w:r>
        <w:rPr>
          <w:i/>
        </w:rPr>
        <w:t xml:space="preserve">NamespaceUri</w:t>
      </w:r>
      <w:r>
        <w:rPr/>
        <w:t xml:space="preserve"> can be found </w:t>
      </w:r>
      <w:hyperlink r:id="R240a06e547784780">
        <w:r>
          <w:rPr>
            <w:rStyle w:val="Hyperlink"/>
          </w:rPr>
          <w:t xml:space="preserve">here</w:t>
        </w:r>
      </w:hyperlink>
      <w:r>
        <w:rPr/>
        <w:t xml:space="preserve">.</w:t>
      </w:r>
    </w:p>
    <w:p>
      <w:pPr>
        <w:pStyle w:val="PARAGRAPH"/>
      </w:pPr>
      <w:r>
        <w:rPr/>
        <w:t xml:space="preserve">The NodeSet associated with this version of specification can be found here:</w:t>
      </w:r>
    </w:p>
    <w:p>
      <w:pPr>
        <w:pStyle w:val="PARAGRAPH"/>
      </w:pPr>
      <w:hyperlink r:id="Rab8ab35a8b8c4057">
        <w:r>
          <w:rPr>
            <w:rStyle w:val="Hyperlink"/>
          </w:rPr>
          <w:t xml:space="preserve">https://reference.opcfoundation.org/nodesets/?u=http://opcfoundation.org/UA/PackML/&amp;v=2.0.0&amp;i=1</w:t>
        </w:r>
      </w:hyperlink>
    </w:p>
    <w:p>
      <w:pPr>
        <w:pStyle w:val="PARAGRAPH"/>
      </w:pPr>
      <w:r>
        <w:rPr/>
        <w:t xml:space="preserve">The NodeSet associated with the latest version of the specification can be found here:</w:t>
      </w:r>
    </w:p>
    <w:p>
      <w:pPr>
        <w:pStyle w:val="PARAGRAPH"/>
      </w:pPr>
      <w:hyperlink r:id="R06fe3d25bb2c468d">
        <w:r>
          <w:rPr>
            <w:rStyle w:val="Hyperlink"/>
          </w:rPr>
          <w:t xml:space="preserve">https://reference.opcfoundation.org/nodesets/?u=http://opcfoundation.org/UA/PackML/&amp;i=1</w:t>
        </w:r>
      </w:hyperlink>
    </w:p>
    <w:p>
      <w:pPr>
        <w:pStyle w:val="PARAGRAPH"/>
      </w:pPr>
      <w:r>
        <w:rPr/>
        <w:t xml:space="preserve">Supplementary files for the OPC UA for PackML Information Model can be found here:</w:t>
      </w:r>
    </w:p>
    <w:p>
      <w:pPr>
        <w:pStyle w:val="PARAGRAPH"/>
      </w:pPr>
      <w:hyperlink r:id="R84f354ae9bf4473a">
        <w:r>
          <w:rPr>
            <w:rStyle w:val="Hyperlink"/>
          </w:rPr>
          <w:t xml:space="preserve">https://reference.opcfoundation.org/nodesets/?u=http://opcfoundation.org/UA/PackML/&amp;v=2.0.0&amp;i=2</w:t>
        </w:r>
      </w:hyperlink>
    </w:p>
    <w:p>
      <w:pPr>
        <w:pStyle w:val="PARAGRAPH"/>
      </w:pPr>
      <w:r>
        <w:rPr/>
        <w:t xml:space="preserve">The files associated with the latest version of the specification can be found here:</w:t>
      </w:r>
    </w:p>
    <w:p>
      <w:pPr>
        <w:pStyle w:val="PARAGRAPH"/>
      </w:pPr>
      <w:hyperlink r:id="R6ff4157149d649ed">
        <w:r>
          <w:rPr>
            <w:rStyle w:val="Hyperlink"/>
          </w:rPr>
          <w:t xml:space="preserve">https://reference.opcfoundation.org/nodesets/?u=http://opcfoundation.org/UA/PackML/&amp;i=2</w:t>
        </w:r>
      </w:hyperlink>
    </w:p>
    <w:sectPr>
      <w:headerReference w:type="even" r:id="rIdHdrEven"/>
      <w:headerReference w:type="default" r:id="rIdHdrOdd"/>
      <w:pgSz w:w="11906" w:h="16838" w:code="9"/>
      <w:pgMar w:top="1418" w:right="1418" w:bottom="1134" w:left="1418" w:header="851" w:footer="850" w:gutter="0"/>
      <w:pgNumType w:start="1"/>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header1.xml><?xml version="1.0" encoding="utf-8"?>
<w:hdr xmlns:w="http://schemas.openxmlformats.org/wordprocessingml/2006/main">
  <w:p>
    <w:pPr>
      <w:pStyle w:val="Header"/>
    </w:pPr>
  </w:p>
</w:hdr>
</file>

<file path=word/header2.xml><?xml version="1.0" encoding="utf-8"?>
<w:hdr xmlns:w="http://schemas.openxmlformats.org/wordprocessingml/2006/main">
  <w:p>
    <w:pPr>
      <w:pStyle w:val="Header"/>
      <w:tabs>
        <w:tab w:val="center" w:pos="4535"/>
        <w:tab w:val="right" w:pos="9070"/>
      </w:tabs>
    </w:pPr>
    <w:fldSimple w:instr=" DOCPROPERTY &quot;HeaderRight&quot; \* MERGEFORMAT ">
      <w:r>
        <w:t xml:space="preserve">OPC UA for PackML</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Left&quot; \* MERGEFORMAT ">
      <w:r>
        <w:t xml:space="preserve">OPC 30050</w:t>
      </w:r>
    </w:fldSimple>
  </w:p>
</w:hdr>
</file>

<file path=word/header3.xml><?xml version="1.0" encoding="utf-8"?>
<w:hdr xmlns:w="http://schemas.openxmlformats.org/wordprocessingml/2006/main">
  <w:p>
    <w:pPr>
      <w:pStyle w:val="Header"/>
      <w:tabs>
        <w:tab w:val="center" w:pos="4535"/>
        <w:tab w:val="right" w:pos="9070"/>
      </w:tabs>
    </w:pPr>
    <w:fldSimple w:instr=" DOCPROPERTY &quot;HeaderLeft&quot; \* MERGEFORMAT ">
      <w:r>
        <w:t xml:space="preserve">OPC 30050</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Right&quot; \* MERGEFORMAT ">
      <w:r>
        <w:t xml:space="preserve">OPC UA for PackML</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FC884FE"/>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DAFEEC08"/>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0A0F21B5"/>
    <w:multiLevelType w:val="multilevel"/>
    <w:tmpl w:val="EBFE033E"/>
    <w:lvl w:ilvl="0">
      <w:start w:val="1"/>
      <w:numFmt w:val="upperLetter"/>
      <w:lvlText w:val="%1"/>
      <w:lvlJc w:val="right"/>
      <w:pPr>
        <w:ind w:left="870" w:hanging="360"/>
      </w:pPr>
      <w:rPr>
        <w:rFonts w:hint="default"/>
        <w:b w:val="0"/>
        <w:bCs w:val="0"/>
        <w:i w:val="0"/>
        <w:iCs w:val="0"/>
        <w:caps w:val="0"/>
        <w:smallCaps w:val="0"/>
        <w:strike w:val="0"/>
        <w:dstrike w:val="0"/>
        <w:outline w:val="0"/>
        <w:shadow w:val="0"/>
        <w:emboss w:val="0"/>
        <w:imprint w:val="0"/>
        <w:noProof w:val="0"/>
        <w:snapToGrid w:val="0"/>
        <w:vanish w:val="0"/>
        <w:color w:val="000000"/>
        <w:spacing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3"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4"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B97671"/>
    <w:multiLevelType w:val="multilevel"/>
    <w:tmpl w:val="1568A340"/>
    <w:lvl w:ilvl="0">
      <w:start w:val="1"/>
      <w:numFmt w:val="decimal"/>
      <w:lvlRestart w:val="0"/>
      <w:lvlText w:val="%1"/>
      <w:lvlJc w:val="left"/>
      <w:pPr>
        <w:tabs>
          <w:tab w:val="num" w:pos="397"/>
        </w:tabs>
        <w:ind w:left="397" w:hanging="397"/>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3542543"/>
    <w:multiLevelType w:val="multilevel"/>
    <w:tmpl w:val="7506C146"/>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ind w:left="680" w:hanging="680"/>
      </w:pPr>
      <w:rPr>
        <w:rFonts w:hint="default"/>
      </w:rPr>
    </w:lvl>
    <w:lvl w:ilvl="2">
      <w:start w:val="1"/>
      <w:numFmt w:val="decimal"/>
      <w:pStyle w:val="ANNEX-heading2"/>
      <w:lvlText w:val="%1.%2.%3"/>
      <w:lvlJc w:val="left"/>
      <w:pPr>
        <w:ind w:left="907" w:hanging="907"/>
      </w:pPr>
      <w:rPr>
        <w:rFonts w:hint="default"/>
      </w:rPr>
    </w:lvl>
    <w:lvl w:ilvl="3">
      <w:start w:val="1"/>
      <w:numFmt w:val="decimal"/>
      <w:pStyle w:val="ANNEX-heading3"/>
      <w:lvlText w:val="%1.%2.%3.%4"/>
      <w:lvlJc w:val="left"/>
      <w:pPr>
        <w:ind w:left="1134" w:hanging="1134"/>
      </w:pPr>
      <w:rPr>
        <w:rFonts w:hint="default"/>
      </w:rPr>
    </w:lvl>
    <w:lvl w:ilvl="4">
      <w:start w:val="1"/>
      <w:numFmt w:val="decimal"/>
      <w:pStyle w:val="ANNEX-heading4"/>
      <w:lvlText w:val="%1.%2.%3.%4.%5"/>
      <w:lvlJc w:val="left"/>
      <w:pPr>
        <w:ind w:left="1361" w:hanging="1361"/>
      </w:pPr>
      <w:rPr>
        <w:rFonts w:hint="default"/>
      </w:rPr>
    </w:lvl>
    <w:lvl w:ilvl="5">
      <w:start w:val="1"/>
      <w:numFmt w:val="decimal"/>
      <w:pStyle w:val="ANNEX-heading5"/>
      <w:lvlText w:val="%1.%2.%3.%4.%5.%6"/>
      <w:lvlJc w:val="left"/>
      <w:pPr>
        <w:ind w:left="1588" w:hanging="1588"/>
      </w:pPr>
      <w:rPr>
        <w:rFonts w:hint="default"/>
      </w:rPr>
    </w:lvl>
    <w:lvl w:ilvl="6">
      <w:start w:val="1"/>
      <w:numFmt w:val="decimal"/>
      <w:lvlRestart w:val="1"/>
      <w:lvlText w:val="%7"/>
      <w:lvlJc w:val="left"/>
      <w:pPr>
        <w:ind w:left="0" w:firstLine="0"/>
      </w:pPr>
      <w:rPr>
        <w:rFonts w:hint="default"/>
      </w:rPr>
    </w:lvl>
    <w:lvl w:ilvl="7">
      <w:start w:val="1"/>
      <w:numFmt w:val="decimal"/>
      <w:lvlRestart w:val="1"/>
      <w:lvlText w:val="%8"/>
      <w:lvlJc w:val="left"/>
      <w:pPr>
        <w:ind w:left="0" w:firstLine="0"/>
      </w:pPr>
      <w:rPr>
        <w:rFonts w:hint="default"/>
      </w:rPr>
    </w:lvl>
    <w:lvl w:ilvl="8">
      <w:start w:val="1"/>
      <w:numFmt w:val="decimal"/>
      <w:lvlRestart w:val="1"/>
      <w:lvlText w:val="%9"/>
      <w:lvlJc w:val="left"/>
      <w:pPr>
        <w:ind w:left="0" w:firstLine="0"/>
      </w:pPr>
      <w:rPr>
        <w:rFonts w:hint="default"/>
      </w:rPr>
    </w:lvl>
  </w:abstractNum>
  <w:abstractNum w:abstractNumId="7"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9F33432"/>
    <w:multiLevelType w:val="multilevel"/>
    <w:tmpl w:val="CCFED808"/>
    <w:styleLink w:val="AnnexesF"/>
    <w:lvl w:ilvl="0">
      <w:start w:val="1"/>
      <w:numFmt w:val="upperLetter"/>
      <w:pStyle w:val="ANNEXEtitre"/>
      <w:suff w:val="nothing"/>
      <w:lvlText w:val="Annexe %1"/>
      <w:lvlJc w:val="center"/>
      <w:pPr>
        <w:ind w:left="0" w:firstLine="624"/>
      </w:pPr>
      <w:rPr>
        <w:rFonts w:hint="default"/>
        <w:b w:val="0"/>
        <w:spacing w:val="8"/>
      </w:rPr>
    </w:lvl>
    <w:lvl w:ilvl="1">
      <w:start w:val="1"/>
      <w:numFmt w:val="decimal"/>
      <w:pStyle w:val="ANNEXE-heading1"/>
      <w:lvlText w:val="%1.%2"/>
      <w:lvlJc w:val="left"/>
      <w:pPr>
        <w:ind w:left="680" w:hanging="680"/>
      </w:pPr>
      <w:rPr>
        <w:rFonts w:hint="default"/>
        <w:b w:val="0"/>
      </w:rPr>
    </w:lvl>
    <w:lvl w:ilvl="2">
      <w:start w:val="1"/>
      <w:numFmt w:val="decimal"/>
      <w:pStyle w:val="ANNEXE-heading2"/>
      <w:lvlText w:val="%1.%2.%3"/>
      <w:lvlJc w:val="left"/>
      <w:pPr>
        <w:ind w:left="907" w:hanging="907"/>
      </w:pPr>
      <w:rPr>
        <w:rFonts w:hint="default"/>
        <w:b w:val="0"/>
      </w:rPr>
    </w:lvl>
    <w:lvl w:ilvl="3">
      <w:start w:val="1"/>
      <w:numFmt w:val="decimal"/>
      <w:pStyle w:val="ANNEXE-heading3"/>
      <w:lvlText w:val="%1.%2.%3.%4"/>
      <w:lvlJc w:val="left"/>
      <w:pPr>
        <w:ind w:left="1134" w:hanging="1134"/>
      </w:pPr>
      <w:rPr>
        <w:rFonts w:hint="default"/>
        <w:b w:val="0"/>
      </w:rPr>
    </w:lvl>
    <w:lvl w:ilvl="4">
      <w:start w:val="1"/>
      <w:numFmt w:val="decimal"/>
      <w:pStyle w:val="ANNEXE-heading4"/>
      <w:lvlText w:val="%1.%2.%3.%4.%5"/>
      <w:lvlJc w:val="left"/>
      <w:pPr>
        <w:ind w:left="1361" w:hanging="1361"/>
      </w:pPr>
      <w:rPr>
        <w:rFonts w:hint="default"/>
        <w:b w:val="0"/>
      </w:rPr>
    </w:lvl>
    <w:lvl w:ilvl="5">
      <w:start w:val="1"/>
      <w:numFmt w:val="decimal"/>
      <w:pStyle w:val="ANNEXE-heading5"/>
      <w:lvlText w:val="%1.%2.%3.%4.%5.%6"/>
      <w:lvlJc w:val="left"/>
      <w:pPr>
        <w:ind w:left="1588" w:hanging="1588"/>
      </w:pPr>
      <w:rPr>
        <w:rFonts w:hint="default"/>
        <w:b w:val="0"/>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1C731F35"/>
    <w:multiLevelType w:val="hybridMultilevel"/>
    <w:tmpl w:val="DE62D45E"/>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11" w15:restartNumberingAfterBreak="0">
    <w:nsid w:val="335B6B42"/>
    <w:multiLevelType w:val="multilevel"/>
    <w:tmpl w:val="A7D2C91A"/>
    <w:numStyleLink w:val="Annexes"/>
  </w:abstractNum>
  <w:abstractNum w:abstractNumId="12" w15:restartNumberingAfterBreak="0">
    <w:nsid w:val="35B80B12"/>
    <w:multiLevelType w:val="multilevel"/>
    <w:tmpl w:val="1C1A6F52"/>
    <w:styleLink w:val="Headings"/>
    <w:lvl w:ilvl="0">
      <w:start w:val="1"/>
      <w:numFmt w:val="decimal"/>
      <w:lvlText w:val="%1"/>
      <w:lvlJc w:val="left"/>
      <w:pPr>
        <w:ind w:left="397" w:hanging="397"/>
      </w:pPr>
      <w:rPr>
        <w:rFonts w:hint="default"/>
        <w:b/>
        <w:i w:val="0"/>
      </w:rPr>
    </w:lvl>
    <w:lvl w:ilvl="1">
      <w:start w:val="1"/>
      <w:numFmt w:val="decimal"/>
      <w:lvlText w:val="%1.%2"/>
      <w:lvlJc w:val="left"/>
      <w:pPr>
        <w:ind w:left="624" w:hanging="624"/>
      </w:pPr>
      <w:rPr>
        <w:rFonts w:hint="default"/>
        <w:b/>
        <w:i w:val="0"/>
      </w:rPr>
    </w:lvl>
    <w:lvl w:ilvl="2">
      <w:start w:val="1"/>
      <w:numFmt w:val="decimal"/>
      <w:lvlText w:val="%1.%2.%3"/>
      <w:lvlJc w:val="left"/>
      <w:pPr>
        <w:ind w:left="851" w:hanging="851"/>
      </w:pPr>
      <w:rPr>
        <w:rFonts w:hint="default"/>
        <w:b/>
        <w:i w:val="0"/>
      </w:rPr>
    </w:lvl>
    <w:lvl w:ilvl="3">
      <w:start w:val="1"/>
      <w:numFmt w:val="decimal"/>
      <w:lvlText w:val="%1.%2.%3.%4"/>
      <w:lvlJc w:val="left"/>
      <w:pPr>
        <w:ind w:left="1077" w:hanging="1077"/>
      </w:pPr>
      <w:rPr>
        <w:rFonts w:hint="default"/>
        <w:b/>
        <w:i w:val="0"/>
      </w:rPr>
    </w:lvl>
    <w:lvl w:ilvl="4">
      <w:start w:val="1"/>
      <w:numFmt w:val="decimal"/>
      <w:lvlText w:val="%1.%2.%3.%4.%5"/>
      <w:lvlJc w:val="left"/>
      <w:pPr>
        <w:ind w:left="1304" w:hanging="1304"/>
      </w:pPr>
      <w:rPr>
        <w:rFonts w:hint="default"/>
        <w:b/>
        <w:i w:val="0"/>
      </w:rPr>
    </w:lvl>
    <w:lvl w:ilvl="5">
      <w:start w:val="1"/>
      <w:numFmt w:val="decimal"/>
      <w:lvlText w:val="%1.%2.%3.%4.%5.%6"/>
      <w:lvlJc w:val="left"/>
      <w:pPr>
        <w:ind w:left="1531" w:hanging="1531"/>
      </w:pPr>
      <w:rPr>
        <w:rFonts w:hint="default"/>
        <w:b/>
        <w:i w:val="0"/>
      </w:rPr>
    </w:lvl>
    <w:lvl w:ilvl="6">
      <w:start w:val="1"/>
      <w:numFmt w:val="decimal"/>
      <w:lvlText w:val="%1.%2.%3.%4.%5.%6.%7"/>
      <w:lvlJc w:val="left"/>
      <w:pPr>
        <w:tabs>
          <w:tab w:val="num" w:pos="1758"/>
        </w:tabs>
        <w:ind w:left="1758" w:hanging="1758"/>
      </w:pPr>
      <w:rPr>
        <w:rFonts w:hint="default"/>
      </w:rPr>
    </w:lvl>
    <w:lvl w:ilvl="7">
      <w:start w:val="1"/>
      <w:numFmt w:val="decimal"/>
      <w:lvlText w:val="%1.%2.%3.%4.%5.%6.%7.%8"/>
      <w:lvlJc w:val="left"/>
      <w:pPr>
        <w:tabs>
          <w:tab w:val="num" w:pos="1985"/>
        </w:tabs>
        <w:ind w:left="1985" w:hanging="1985"/>
      </w:pPr>
      <w:rPr>
        <w:rFonts w:hint="default"/>
      </w:rPr>
    </w:lvl>
    <w:lvl w:ilvl="8">
      <w:start w:val="1"/>
      <w:numFmt w:val="decimal"/>
      <w:lvlText w:val="%1.%2.%3.%4.%5.%6.%7.%8.%9"/>
      <w:lvlJc w:val="left"/>
      <w:pPr>
        <w:tabs>
          <w:tab w:val="num" w:pos="2211"/>
        </w:tabs>
        <w:ind w:left="2211" w:hanging="2211"/>
      </w:pPr>
      <w:rPr>
        <w:rFonts w:hint="default"/>
      </w:rPr>
    </w:lvl>
  </w:abstractNum>
  <w:abstractNum w:abstractNumId="13" w15:restartNumberingAfterBreak="0">
    <w:nsid w:val="36FF1519"/>
    <w:multiLevelType w:val="singleLevel"/>
    <w:tmpl w:val="AC769848"/>
    <w:lvl w:ilvl="0">
      <w:start w:val="1"/>
      <w:numFmt w:val="lowerLetter"/>
      <w:lvlText w:val="%1)"/>
      <w:lvlJc w:val="left"/>
      <w:pPr>
        <w:tabs>
          <w:tab w:val="num" w:pos="360"/>
        </w:tabs>
        <w:ind w:left="360" w:hanging="360"/>
      </w:pPr>
    </w:lvl>
  </w:abstractNum>
  <w:abstractNum w:abstractNumId="14" w15:restartNumberingAfterBreak="0">
    <w:nsid w:val="38486A10"/>
    <w:multiLevelType w:val="multilevel"/>
    <w:tmpl w:val="668EB37E"/>
    <w:lvl w:ilvl="0">
      <w:start w:val="1"/>
      <w:numFmt w:val="upperLetter"/>
      <w:suff w:val="nothing"/>
      <w:lvlText w:val="Annexe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5" w15:restartNumberingAfterBreak="0">
    <w:nsid w:val="3B683819"/>
    <w:multiLevelType w:val="multilevel"/>
    <w:tmpl w:val="A7D2C91A"/>
    <w:styleLink w:val="Annexes"/>
    <w:lvl w:ilvl="0">
      <w:start w:val="1"/>
      <w:numFmt w:val="upperLetter"/>
      <w:suff w:val="nothing"/>
      <w:lvlText w:val="Annex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pStyle w:val="ANNEX-heading6"/>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6" w15:restartNumberingAfterBreak="0">
    <w:nsid w:val="43FF3E55"/>
    <w:multiLevelType w:val="hybridMultilevel"/>
    <w:tmpl w:val="02EA1628"/>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17" w15:restartNumberingAfterBreak="0">
    <w:nsid w:val="45EF1B76"/>
    <w:multiLevelType w:val="hybridMultilevel"/>
    <w:tmpl w:val="4A9E2650"/>
    <w:lvl w:ilvl="0" w:tplc="7A661074">
      <w:start w:val="1"/>
      <w:numFmt w:val="bullet"/>
      <w:pStyle w:val="ListDash5"/>
      <w:lvlText w:val=""/>
      <w:lvlJc w:val="left"/>
      <w:pPr>
        <w:ind w:left="2081" w:hanging="360"/>
      </w:pPr>
      <w:rPr>
        <w:rFonts w:ascii="Symbol" w:hAnsi="Symbol" w:hint="default"/>
      </w:rPr>
    </w:lvl>
    <w:lvl w:ilvl="1" w:tplc="08090003" w:tentative="1">
      <w:start w:val="1"/>
      <w:numFmt w:val="bullet"/>
      <w:lvlText w:val="o"/>
      <w:lvlJc w:val="left"/>
      <w:pPr>
        <w:ind w:left="2801" w:hanging="360"/>
      </w:pPr>
      <w:rPr>
        <w:rFonts w:ascii="Courier New" w:hAnsi="Courier New" w:cs="Courier New" w:hint="default"/>
      </w:rPr>
    </w:lvl>
    <w:lvl w:ilvl="2" w:tplc="08090005" w:tentative="1">
      <w:start w:val="1"/>
      <w:numFmt w:val="bullet"/>
      <w:lvlText w:val=""/>
      <w:lvlJc w:val="left"/>
      <w:pPr>
        <w:ind w:left="3521" w:hanging="360"/>
      </w:pPr>
      <w:rPr>
        <w:rFonts w:ascii="Wingdings" w:hAnsi="Wingdings" w:hint="default"/>
      </w:rPr>
    </w:lvl>
    <w:lvl w:ilvl="3" w:tplc="08090001" w:tentative="1">
      <w:start w:val="1"/>
      <w:numFmt w:val="bullet"/>
      <w:lvlText w:val=""/>
      <w:lvlJc w:val="left"/>
      <w:pPr>
        <w:ind w:left="4241" w:hanging="360"/>
      </w:pPr>
      <w:rPr>
        <w:rFonts w:ascii="Symbol" w:hAnsi="Symbol" w:hint="default"/>
      </w:rPr>
    </w:lvl>
    <w:lvl w:ilvl="4" w:tplc="08090003" w:tentative="1">
      <w:start w:val="1"/>
      <w:numFmt w:val="bullet"/>
      <w:lvlText w:val="o"/>
      <w:lvlJc w:val="left"/>
      <w:pPr>
        <w:ind w:left="4961" w:hanging="360"/>
      </w:pPr>
      <w:rPr>
        <w:rFonts w:ascii="Courier New" w:hAnsi="Courier New" w:cs="Courier New" w:hint="default"/>
      </w:rPr>
    </w:lvl>
    <w:lvl w:ilvl="5" w:tplc="08090005" w:tentative="1">
      <w:start w:val="1"/>
      <w:numFmt w:val="bullet"/>
      <w:lvlText w:val=""/>
      <w:lvlJc w:val="left"/>
      <w:pPr>
        <w:ind w:left="5681" w:hanging="360"/>
      </w:pPr>
      <w:rPr>
        <w:rFonts w:ascii="Wingdings" w:hAnsi="Wingdings" w:hint="default"/>
      </w:rPr>
    </w:lvl>
    <w:lvl w:ilvl="6" w:tplc="08090001" w:tentative="1">
      <w:start w:val="1"/>
      <w:numFmt w:val="bullet"/>
      <w:lvlText w:val=""/>
      <w:lvlJc w:val="left"/>
      <w:pPr>
        <w:ind w:left="6401" w:hanging="360"/>
      </w:pPr>
      <w:rPr>
        <w:rFonts w:ascii="Symbol" w:hAnsi="Symbol" w:hint="default"/>
      </w:rPr>
    </w:lvl>
    <w:lvl w:ilvl="7" w:tplc="08090003" w:tentative="1">
      <w:start w:val="1"/>
      <w:numFmt w:val="bullet"/>
      <w:lvlText w:val="o"/>
      <w:lvlJc w:val="left"/>
      <w:pPr>
        <w:ind w:left="7121" w:hanging="360"/>
      </w:pPr>
      <w:rPr>
        <w:rFonts w:ascii="Courier New" w:hAnsi="Courier New" w:cs="Courier New" w:hint="default"/>
      </w:rPr>
    </w:lvl>
    <w:lvl w:ilvl="8" w:tplc="08090005" w:tentative="1">
      <w:start w:val="1"/>
      <w:numFmt w:val="bullet"/>
      <w:lvlText w:val=""/>
      <w:lvlJc w:val="left"/>
      <w:pPr>
        <w:ind w:left="7841" w:hanging="360"/>
      </w:pPr>
      <w:rPr>
        <w:rFonts w:ascii="Wingdings" w:hAnsi="Wingdings" w:hint="default"/>
      </w:rPr>
    </w:lvl>
  </w:abstractNum>
  <w:abstractNum w:abstractNumId="18" w15:restartNumberingAfterBreak="0">
    <w:nsid w:val="489244EF"/>
    <w:multiLevelType w:val="multilevel"/>
    <w:tmpl w:val="5D1EB868"/>
    <w:lvl w:ilvl="0">
      <w:start w:val="1"/>
      <w:numFmt w:val="upperLetter"/>
      <w:suff w:val="nothing"/>
      <w:lvlText w:val="Annex %1"/>
      <w:lvlJc w:val="center"/>
      <w:pPr>
        <w:ind w:left="0" w:firstLine="510"/>
      </w:pPr>
      <w:rPr>
        <w:rFonts w:hint="default"/>
      </w:rPr>
    </w:lvl>
    <w:lvl w:ilvl="1">
      <w:start w:val="1"/>
      <w:numFmt w:val="decimal"/>
      <w:lvlText w:val="%1.%2"/>
      <w:lvlJc w:val="left"/>
      <w:pPr>
        <w:ind w:left="680" w:hanging="680"/>
      </w:pPr>
      <w:rPr>
        <w:rFonts w:hint="default"/>
      </w:rPr>
    </w:lvl>
    <w:lvl w:ilvl="2">
      <w:start w:val="1"/>
      <w:numFmt w:val="decimal"/>
      <w:lvlText w:val="%1.%2.%3"/>
      <w:lvlJc w:val="left"/>
      <w:pPr>
        <w:ind w:left="907" w:hanging="907"/>
      </w:pPr>
      <w:rPr>
        <w:rFonts w:hint="default"/>
      </w:rPr>
    </w:lvl>
    <w:lvl w:ilvl="3">
      <w:start w:val="1"/>
      <w:numFmt w:val="decimal"/>
      <w:lvlText w:val="%1.%2.%3.%4"/>
      <w:lvlJc w:val="left"/>
      <w:pPr>
        <w:ind w:left="1134" w:hanging="1134"/>
      </w:pPr>
      <w:rPr>
        <w:rFonts w:hint="default"/>
      </w:rPr>
    </w:lvl>
    <w:lvl w:ilvl="4">
      <w:start w:val="1"/>
      <w:numFmt w:val="decimal"/>
      <w:lvlText w:val="%1.%2.%3.%4.%5"/>
      <w:lvlJc w:val="left"/>
      <w:pPr>
        <w:ind w:left="1361" w:hanging="1361"/>
      </w:pPr>
      <w:rPr>
        <w:rFonts w:hint="default"/>
      </w:rPr>
    </w:lvl>
    <w:lvl w:ilvl="5">
      <w:start w:val="1"/>
      <w:numFmt w:val="decimal"/>
      <w:lvlText w:val="%1.%2.%3.%4.%5.%6"/>
      <w:lvlJc w:val="left"/>
      <w:pPr>
        <w:ind w:left="1588" w:hanging="1588"/>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4DC42EF7"/>
    <w:multiLevelType w:val="multilevel"/>
    <w:tmpl w:val="87C65032"/>
    <w:lvl w:ilvl="0">
      <w:start w:val="1"/>
      <w:numFmt w:val="decimal"/>
      <w:lvlText w:val="%1)"/>
      <w:lvlJc w:val="left"/>
      <w:pPr>
        <w:ind w:left="360" w:hanging="360"/>
      </w:pPr>
      <w:rPr>
        <w:rFonts w:hint="default"/>
      </w:rPr>
    </w:lvl>
    <w:lvl w:ilvl="1">
      <w:start w:val="1"/>
      <w:numFmt w:val="lowerLetter"/>
      <w:lvlText w:val="%2)"/>
      <w:lvlJc w:val="left"/>
      <w:pPr>
        <w:ind w:left="680" w:hanging="3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F8D07C1"/>
    <w:multiLevelType w:val="hybridMultilevel"/>
    <w:tmpl w:val="B282ABFC"/>
    <w:lvl w:ilvl="0" w:tplc="08090001">
      <w:start w:val="1"/>
      <w:numFmt w:val="bullet"/>
      <w:lvlText w:val=""/>
      <w:lvlJc w:val="left"/>
      <w:pPr>
        <w:ind w:left="927" w:hanging="360"/>
      </w:pPr>
      <w:rPr>
        <w:rFonts w:ascii="Symbol" w:hAnsi="Symbol" w:hint="default"/>
      </w:rPr>
    </w:lvl>
    <w:lvl w:ilvl="1" w:tplc="08090003">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21" w15:restartNumberingAfterBreak="0">
    <w:nsid w:val="51045073"/>
    <w:multiLevelType w:val="hybridMultilevel"/>
    <w:tmpl w:val="31945F26"/>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22" w15:restartNumberingAfterBreak="0">
    <w:nsid w:val="54435571"/>
    <w:multiLevelType w:val="hybridMultilevel"/>
    <w:tmpl w:val="DB9EE50E"/>
    <w:lvl w:ilvl="0" w:tplc="C50C0066">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B191FCF"/>
    <w:multiLevelType w:val="hybridMultilevel"/>
    <w:tmpl w:val="DE6680BC"/>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5F963E1B"/>
    <w:multiLevelType w:val="multilevel"/>
    <w:tmpl w:val="CCFED808"/>
    <w:numStyleLink w:val="AnnexesF"/>
  </w:abstractNum>
  <w:abstractNum w:abstractNumId="26" w15:restartNumberingAfterBreak="0">
    <w:nsid w:val="6106621E"/>
    <w:multiLevelType w:val="multilevel"/>
    <w:tmpl w:val="C094680E"/>
    <w:lvl w:ilvl="0">
      <w:start w:val="1"/>
      <w:numFmt w:val="lowerLetter"/>
      <w:pStyle w:val="ListNumber"/>
      <w:lvlText w:val="%1)"/>
      <w:lvlJc w:val="left"/>
      <w:pPr>
        <w:ind w:left="340" w:hanging="340"/>
      </w:pPr>
      <w:rPr>
        <w:rFonts w:hint="default"/>
        <w:color w:val="auto"/>
      </w:rPr>
    </w:lvl>
    <w:lvl w:ilvl="1">
      <w:start w:val="1"/>
      <w:numFmt w:val="decimal"/>
      <w:pStyle w:val="ListNumber2"/>
      <w:lvlText w:val="%2)"/>
      <w:lvlJc w:val="left"/>
      <w:pPr>
        <w:ind w:left="680" w:hanging="340"/>
      </w:pPr>
      <w:rPr>
        <w:rFonts w:hint="default"/>
      </w:rPr>
    </w:lvl>
    <w:lvl w:ilvl="2">
      <w:start w:val="1"/>
      <w:numFmt w:val="lowerRoman"/>
      <w:pStyle w:val="ListNumber3"/>
      <w:lvlText w:val="%3)"/>
      <w:lvlJc w:val="left"/>
      <w:pPr>
        <w:ind w:left="1021" w:hanging="341"/>
      </w:pPr>
      <w:rPr>
        <w:rFonts w:hint="default"/>
      </w:rPr>
    </w:lvl>
    <w:lvl w:ilvl="3">
      <w:start w:val="1"/>
      <w:numFmt w:val="lowerLetter"/>
      <w:pStyle w:val="ListNumber4"/>
      <w:lvlText w:val="%4)"/>
      <w:lvlJc w:val="left"/>
      <w:pPr>
        <w:ind w:left="1361" w:hanging="340"/>
      </w:pPr>
      <w:rPr>
        <w:rFonts w:hint="default"/>
      </w:rPr>
    </w:lvl>
    <w:lvl w:ilvl="4">
      <w:start w:val="1"/>
      <w:numFmt w:val="decimal"/>
      <w:pStyle w:val="ListNumber5"/>
      <w:lvlText w:val="%5)"/>
      <w:lvlJc w:val="left"/>
      <w:pPr>
        <w:ind w:left="1701" w:hanging="34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76B00A8C"/>
    <w:multiLevelType w:val="hybridMultilevel"/>
    <w:tmpl w:val="6AA0DDAC"/>
    <w:lvl w:ilvl="0" w:tplc="949C907C">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abstractNum w:abstractNumId="28" w15:restartNumberingAfterBreak="0">
    <w:nsid w:val="7FBC24A8"/>
    <w:multiLevelType w:val="multilevel"/>
    <w:tmpl w:val="BF860546"/>
    <w:lvl w:ilvl="0">
      <w:start w:val="1"/>
      <w:numFmt w:val="decimal"/>
      <w:lvlRestart w:val="0"/>
      <w:pStyle w:val="Heading1"/>
      <w:lvlText w:val="%1"/>
      <w:lvlJc w:val="left"/>
      <w:pPr>
        <w:tabs>
          <w:tab w:val="num" w:pos="397"/>
        </w:tabs>
        <w:ind w:left="397" w:hanging="397"/>
      </w:pPr>
      <w:rPr>
        <w:rFonts w:hint="default"/>
        <w:b/>
        <w:i w:val="0"/>
      </w:rPr>
    </w:lvl>
    <w:lvl w:ilvl="1">
      <w:start w:val="1"/>
      <w:numFmt w:val="decimal"/>
      <w:pStyle w:val="Heading2"/>
      <w:lvlText w:val="%1.%2"/>
      <w:lvlJc w:val="left"/>
      <w:pPr>
        <w:tabs>
          <w:tab w:val="num" w:pos="624"/>
        </w:tabs>
        <w:ind w:left="624" w:hanging="624"/>
      </w:pPr>
      <w:rPr>
        <w:rFonts w:hint="default"/>
        <w:b/>
        <w:i w:val="0"/>
      </w:rPr>
    </w:lvl>
    <w:lvl w:ilvl="2">
      <w:start w:val="1"/>
      <w:numFmt w:val="decimal"/>
      <w:pStyle w:val="Heading3"/>
      <w:lvlText w:val="%1.%2.%3"/>
      <w:lvlJc w:val="left"/>
      <w:pPr>
        <w:tabs>
          <w:tab w:val="num" w:pos="850"/>
        </w:tabs>
        <w:ind w:left="850" w:hanging="850"/>
      </w:pPr>
      <w:rPr>
        <w:rFonts w:hint="default"/>
        <w:b/>
        <w:i w:val="0"/>
      </w:rPr>
    </w:lvl>
    <w:lvl w:ilvl="3">
      <w:start w:val="1"/>
      <w:numFmt w:val="decimal"/>
      <w:pStyle w:val="Heading4"/>
      <w:lvlText w:val="%1.%2.%3.%4"/>
      <w:lvlJc w:val="left"/>
      <w:pPr>
        <w:tabs>
          <w:tab w:val="num" w:pos="1077"/>
        </w:tabs>
        <w:ind w:left="1077" w:hanging="1077"/>
      </w:pPr>
      <w:rPr>
        <w:rFonts w:hint="default"/>
        <w:b/>
        <w:i w:val="0"/>
      </w:rPr>
    </w:lvl>
    <w:lvl w:ilvl="4">
      <w:start w:val="1"/>
      <w:numFmt w:val="decimal"/>
      <w:pStyle w:val="Heading5"/>
      <w:lvlText w:val="%1.%2.%3.%4.%5"/>
      <w:lvlJc w:val="left"/>
      <w:pPr>
        <w:tabs>
          <w:tab w:val="num" w:pos="1304"/>
        </w:tabs>
        <w:ind w:left="1304" w:hanging="1304"/>
      </w:pPr>
      <w:rPr>
        <w:rFonts w:hint="default"/>
        <w:b/>
        <w:i w:val="0"/>
      </w:rPr>
    </w:lvl>
    <w:lvl w:ilvl="5">
      <w:start w:val="1"/>
      <w:numFmt w:val="decimal"/>
      <w:pStyle w:val="Heading6"/>
      <w:lvlText w:val="%1.%2.%3.%4.%5.%6"/>
      <w:lvlJc w:val="left"/>
      <w:pPr>
        <w:tabs>
          <w:tab w:val="num" w:pos="1531"/>
        </w:tabs>
        <w:ind w:left="1531" w:hanging="1531"/>
      </w:pPr>
      <w:rPr>
        <w:rFonts w:hint="default"/>
        <w:b/>
        <w:i w:val="0"/>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235899811">
    <w:abstractNumId w:val="4"/>
  </w:num>
  <w:num w:numId="2" w16cid:durableId="1534346828">
    <w:abstractNumId w:val="12"/>
  </w:num>
  <w:num w:numId="3" w16cid:durableId="978992604">
    <w:abstractNumId w:val="22"/>
  </w:num>
  <w:num w:numId="4" w16cid:durableId="569997062">
    <w:abstractNumId w:val="3"/>
  </w:num>
  <w:num w:numId="5" w16cid:durableId="831798481">
    <w:abstractNumId w:val="24"/>
  </w:num>
  <w:num w:numId="6" w16cid:durableId="1287736315">
    <w:abstractNumId w:val="9"/>
  </w:num>
  <w:num w:numId="7" w16cid:durableId="915551355">
    <w:abstractNumId w:val="7"/>
  </w:num>
  <w:num w:numId="8" w16cid:durableId="787624725">
    <w:abstractNumId w:val="27"/>
  </w:num>
  <w:num w:numId="9" w16cid:durableId="2046558483">
    <w:abstractNumId w:val="19"/>
  </w:num>
  <w:num w:numId="10" w16cid:durableId="282077491">
    <w:abstractNumId w:val="21"/>
  </w:num>
  <w:num w:numId="11" w16cid:durableId="8335471">
    <w:abstractNumId w:val="23"/>
  </w:num>
  <w:num w:numId="12" w16cid:durableId="1501847195">
    <w:abstractNumId w:val="20"/>
  </w:num>
  <w:num w:numId="13" w16cid:durableId="1642732689">
    <w:abstractNumId w:val="2"/>
    <w:lvlOverride w:ilvl="0">
      <w:lvl w:ilvl="0">
        <w:start w:val="1"/>
        <w:numFmt w:val="upperLetter"/>
        <w:suff w:val="nothing"/>
        <w:lvlText w:val="Annex %1"/>
        <w:lvlJc w:val="center"/>
        <w:pPr>
          <w:ind w:left="0" w:firstLine="510"/>
        </w:pPr>
        <w:rPr>
          <w:rFonts w:hint="default"/>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14" w16cid:durableId="709458941">
    <w:abstractNumId w:val="16"/>
  </w:num>
  <w:num w:numId="15" w16cid:durableId="1416052889">
    <w:abstractNumId w:val="10"/>
  </w:num>
  <w:num w:numId="16" w16cid:durableId="1430350269">
    <w:abstractNumId w:val="17"/>
  </w:num>
  <w:num w:numId="17" w16cid:durableId="684598643">
    <w:abstractNumId w:val="6"/>
  </w:num>
  <w:num w:numId="18" w16cid:durableId="520972542">
    <w:abstractNumId w:val="15"/>
  </w:num>
  <w:num w:numId="19" w16cid:durableId="821778980">
    <w:abstractNumId w:val="8"/>
  </w:num>
  <w:num w:numId="20" w16cid:durableId="1786122527">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rPr>
      </w:lvl>
    </w:lvlOverride>
    <w:lvlOverride w:ilvl="2">
      <w:lvl w:ilvl="2">
        <w:start w:val="1"/>
        <w:numFmt w:val="decimal"/>
        <w:pStyle w:val="ANNEXE-heading2"/>
        <w:lvlText w:val="%1.%2.%3"/>
        <w:lvlJc w:val="left"/>
        <w:pPr>
          <w:ind w:left="907" w:hanging="907"/>
        </w:pPr>
        <w:rPr>
          <w:rFonts w:hint="default"/>
          <w:b/>
        </w:rPr>
      </w:lvl>
    </w:lvlOverride>
    <w:lvlOverride w:ilvl="3">
      <w:lvl w:ilvl="3">
        <w:start w:val="1"/>
        <w:numFmt w:val="decimal"/>
        <w:pStyle w:val="ANNEXE-heading3"/>
        <w:lvlText w:val="%1.%2.%3.%4"/>
        <w:lvlJc w:val="left"/>
        <w:pPr>
          <w:ind w:left="1134" w:hanging="1134"/>
        </w:pPr>
        <w:rPr>
          <w:rFonts w:hint="default"/>
          <w:b/>
        </w:rPr>
      </w:lvl>
    </w:lvlOverride>
    <w:lvlOverride w:ilvl="4">
      <w:lvl w:ilvl="4">
        <w:start w:val="1"/>
        <w:numFmt w:val="decimal"/>
        <w:pStyle w:val="ANNEXE-heading4"/>
        <w:lvlText w:val="%1.%2.%3.%4.%5"/>
        <w:lvlJc w:val="left"/>
        <w:pPr>
          <w:ind w:left="1361" w:hanging="1361"/>
        </w:pPr>
        <w:rPr>
          <w:rFonts w:hint="default"/>
          <w:b/>
        </w:rPr>
      </w:lvl>
    </w:lvlOverride>
    <w:lvlOverride w:ilvl="5">
      <w:lvl w:ilvl="5">
        <w:start w:val="1"/>
        <w:numFmt w:val="decimal"/>
        <w:pStyle w:val="ANNEXE-heading5"/>
        <w:lvlText w:val="%1.%2.%3.%4.%5.%6"/>
        <w:lvlJc w:val="left"/>
        <w:pPr>
          <w:ind w:left="1588" w:hanging="1588"/>
        </w:pPr>
        <w:rPr>
          <w:rFonts w:hint="default"/>
          <w:b/>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1" w16cid:durableId="1078479028">
    <w:abstractNumId w:val="26"/>
  </w:num>
  <w:num w:numId="22" w16cid:durableId="80883168">
    <w:abstractNumId w:val="11"/>
    <w:lvlOverride w:ilvl="0">
      <w:lvl w:ilvl="0">
        <w:start w:val="1"/>
        <w:numFmt w:val="upperLetter"/>
        <w:suff w:val="nothing"/>
        <w:lvlText w:val="Annexe %1"/>
        <w:lvlJc w:val="center"/>
        <w:pPr>
          <w:ind w:left="0" w:firstLine="510"/>
        </w:pPr>
        <w:rPr>
          <w:rFonts w:ascii="Arial" w:hAnsi="Arial" w:hint="default"/>
          <w:bCs w:val="0"/>
          <w:iCs w:val="0"/>
          <w:caps w:val="0"/>
          <w:strike w:val="0"/>
          <w:dstrike w:val="0"/>
          <w:outline w:val="0"/>
          <w:shadow w:val="0"/>
          <w:emboss w:val="0"/>
          <w:imprint w:val="0"/>
          <w:vanish w:val="0"/>
          <w:spacing w:val="8"/>
          <w:kern w:val="0"/>
          <w:position w:val="0"/>
          <w:sz w:val="24"/>
          <w:u w:val="none"/>
          <w:effect w:val="none"/>
          <w:vertAlign w:val="baseline"/>
          <w:em w:val="none"/>
          <w14:ligatures w14:val="none"/>
          <w14:numForm w14:val="default"/>
          <w14:numSpacing w14:val="default"/>
          <w14:stylisticSets/>
          <w14:cntxtAlts w14:val="0"/>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23" w16cid:durableId="125771474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9129872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33683693">
    <w:abstractNumId w:val="0"/>
  </w:num>
  <w:num w:numId="26" w16cid:durableId="565797404">
    <w:abstractNumId w:val="13"/>
  </w:num>
  <w:num w:numId="27" w16cid:durableId="50790627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2853874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98949009">
    <w:abstractNumId w:val="13"/>
    <w:lvlOverride w:ilvl="0">
      <w:startOverride w:val="1"/>
    </w:lvlOverride>
  </w:num>
  <w:num w:numId="30" w16cid:durableId="117919783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727360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76180417">
    <w:abstractNumId w:val="1"/>
  </w:num>
  <w:num w:numId="33" w16cid:durableId="1012688666">
    <w:abstractNumId w:val="14"/>
  </w:num>
  <w:num w:numId="34" w16cid:durableId="1370493898">
    <w:abstractNumId w:val="5"/>
  </w:num>
  <w:num w:numId="35" w16cid:durableId="510727397">
    <w:abstractNumId w:val="28"/>
  </w:num>
  <w:num w:numId="36" w16cid:durableId="453864241">
    <w:abstractNumId w:val="18"/>
  </w:num>
  <w:num w:numId="37" w16cid:durableId="1319650064">
    <w:abstractNumId w:val="25"/>
    <w:lvlOverride w:ilvl="0">
      <w:lvl w:ilvl="0">
        <w:start w:val="1"/>
        <w:numFmt w:val="upperLetter"/>
        <w:pStyle w:val="ANNEXEtitre"/>
        <w:suff w:val="nothing"/>
        <w:lvlText w:val="Annexe %1"/>
        <w:lvlJc w:val="center"/>
        <w:pPr>
          <w:ind w:left="0" w:firstLine="624"/>
        </w:pPr>
      </w:lvl>
    </w:lvlOverride>
  </w:num>
  <w:num w:numId="38" w16cid:durableId="982805943">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val="0"/>
        </w:rPr>
      </w:lvl>
    </w:lvlOverride>
    <w:lvlOverride w:ilvl="2">
      <w:lvl w:ilvl="2">
        <w:start w:val="1"/>
        <w:numFmt w:val="decimal"/>
        <w:pStyle w:val="ANNEXE-heading2"/>
        <w:lvlText w:val="%1.%2.%3"/>
        <w:lvlJc w:val="left"/>
        <w:pPr>
          <w:ind w:left="907" w:hanging="907"/>
        </w:pPr>
        <w:rPr>
          <w:rFonts w:hint="default"/>
          <w:b w:val="0"/>
        </w:rPr>
      </w:lvl>
    </w:lvlOverride>
    <w:lvlOverride w:ilvl="3">
      <w:lvl w:ilvl="3">
        <w:start w:val="1"/>
        <w:numFmt w:val="decimal"/>
        <w:pStyle w:val="ANNEXE-heading3"/>
        <w:lvlText w:val="%1.%2.%3.%4"/>
        <w:lvlJc w:val="left"/>
        <w:pPr>
          <w:ind w:left="1134" w:hanging="1134"/>
        </w:pPr>
        <w:rPr>
          <w:rFonts w:hint="default"/>
          <w:b w:val="0"/>
        </w:rPr>
      </w:lvl>
    </w:lvlOverride>
    <w:lvlOverride w:ilvl="4">
      <w:lvl w:ilvl="4">
        <w:start w:val="1"/>
        <w:numFmt w:val="decimal"/>
        <w:pStyle w:val="ANNEXE-heading4"/>
        <w:lvlText w:val="%1.%2.%3.%4.%5"/>
        <w:lvlJc w:val="left"/>
        <w:pPr>
          <w:ind w:left="1361" w:hanging="1361"/>
        </w:pPr>
        <w:rPr>
          <w:rFonts w:hint="default"/>
          <w:b w:val="0"/>
        </w:rPr>
      </w:lvl>
    </w:lvlOverride>
    <w:lvlOverride w:ilvl="5">
      <w:lvl w:ilvl="5">
        <w:start w:val="1"/>
        <w:numFmt w:val="decimal"/>
        <w:pStyle w:val="ANNEXE-heading5"/>
        <w:lvlText w:val="%1.%2.%3.%4.%5.%6"/>
        <w:lvlJc w:val="left"/>
        <w:pPr>
          <w:ind w:left="1588" w:hanging="1588"/>
        </w:pPr>
        <w:rPr>
          <w:rFonts w:hint="default"/>
          <w:b w:val="0"/>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9" w16cid:durableId="862942700">
    <w:abstractNumId w:val="25"/>
    <w:lvlOverride w:ilvl="0">
      <w:lvl w:ilvl="0">
        <w:start w:val="1"/>
        <w:numFmt w:val="upperLetter"/>
        <w:pStyle w:val="ANNEXEtitre"/>
        <w:suff w:val="nothing"/>
        <w:lvlText w:val="Annexe %1"/>
        <w:lvlJc w:val="center"/>
        <w:pPr>
          <w:ind w:left="0" w:firstLine="624"/>
        </w:pPr>
      </w:lvl>
    </w:lvlOverride>
  </w:num>
  <w:numIdMacAtCleanup w:val="21"/>
</w:numbering>
</file>

<file path=word/settings.xml><?xml version="1.0" encoding="utf-8"?>
<w:settings xmlns:w="http://schemas.openxmlformats.org/wordprocessingml/2006/main">
  <w:defaultTabStop w:val="720"/>
  <w:hyphenationZone w:val="425"/>
  <w:evenAndOddHeaders/>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heme="minorBidi"/>
        <w:lang w:val="en-GB" w:eastAsia="en-GB" w:bidi="ar-SA"/>
      </w:rPr>
    </w:rPrDefault>
    <w:pPrDefault>
      <w:pPr>
        <w:spacing w:after="200" w:line="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29"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iPriority="0" w:unhideWhenUsed="1" w:qFormat="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59"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style>
  <w:style w:type="paragraph" w:styleId="Heading1">
    <w:name w:val="heading 1"/>
    <w:next w:val="PARAGRAPH"/>
    <w:link w:val="Heading1Char"/>
    <w:qFormat/>
    <w:pPr>
      <w:keepNext/>
      <w:numPr>
        <w:numId w:val="35"/>
      </w:numPr>
      <w:suppressAutoHyphens/>
      <w:spacing w:before="200" w:line="240" w:lineRule="auto"/>
      <w:outlineLvl w:val="0"/>
    </w:pPr>
    <w:rPr>
      <w:rFonts w:cs="Arial"/>
      <w:b/>
      <w:bCs/>
      <w:spacing w:val="8"/>
      <w:sz w:val="22"/>
      <w:szCs w:val="22"/>
    </w:rPr>
  </w:style>
  <w:style w:type="paragraph" w:styleId="Heading2">
    <w:name w:val="heading 2"/>
    <w:basedOn w:val="Heading1"/>
    <w:next w:val="PARAGRAPH"/>
    <w:link w:val="Heading2Char"/>
    <w:qFormat/>
    <w:pPr>
      <w:numPr>
        <w:ilvl w:val="1"/>
      </w:numPr>
      <w:spacing w:before="100" w:after="100"/>
      <w:outlineLvl w:val="1"/>
    </w:pPr>
    <w:rPr>
      <w:sz w:val="20"/>
      <w:szCs w:val="20"/>
    </w:rPr>
  </w:style>
  <w:style w:type="paragraph" w:styleId="Heading3">
    <w:name w:val="heading 3"/>
    <w:basedOn w:val="Heading2"/>
    <w:next w:val="PARAGRAPH"/>
    <w:link w:val="Heading3Char"/>
    <w:qFormat/>
    <w:pPr>
      <w:numPr>
        <w:ilvl w:val="2"/>
      </w:numPr>
      <w:outlineLvl w:val="2"/>
    </w:pPr>
  </w:style>
  <w:style w:type="paragraph" w:styleId="Heading4">
    <w:name w:val="heading 4"/>
    <w:basedOn w:val="Heading3"/>
    <w:next w:val="PARAGRAPH"/>
    <w:link w:val="Heading4Char"/>
    <w:qFormat/>
    <w:pPr>
      <w:numPr>
        <w:ilvl w:val="3"/>
      </w:numPr>
      <w:outlineLvl w:val="3"/>
    </w:pPr>
  </w:style>
  <w:style w:type="paragraph" w:styleId="Heading5">
    <w:name w:val="heading 5"/>
    <w:basedOn w:val="Heading4"/>
    <w:next w:val="PARAGRAPH"/>
    <w:link w:val="Heading5Char"/>
    <w:qFormat/>
    <w:pPr>
      <w:numPr>
        <w:ilvl w:val="4"/>
      </w:numPr>
      <w:outlineLvl w:val="4"/>
    </w:pPr>
  </w:style>
  <w:style w:type="paragraph" w:styleId="Heading6">
    <w:name w:val="heading 6"/>
    <w:basedOn w:val="Heading5"/>
    <w:next w:val="PARAGRAPH"/>
    <w:link w:val="Heading6Char"/>
    <w:qFormat/>
    <w:pPr>
      <w:numPr>
        <w:ilvl w:val="5"/>
      </w:numPr>
      <w:outlineLvl w:val="5"/>
    </w:pPr>
  </w:style>
  <w:style w:type="paragraph" w:styleId="Heading7">
    <w:name w:val="heading 7"/>
    <w:basedOn w:val="Heading6"/>
    <w:next w:val="PARAGRAPH"/>
    <w:link w:val="Heading7Char"/>
    <w:qFormat/>
    <w:pPr>
      <w:numPr>
        <w:ilvl w:val="6"/>
      </w:numPr>
      <w:outlineLvl w:val="6"/>
    </w:pPr>
  </w:style>
  <w:style w:type="paragraph" w:styleId="Heading8">
    <w:name w:val="heading 8"/>
    <w:basedOn w:val="Heading7"/>
    <w:next w:val="PARAGRAPH"/>
    <w:link w:val="Heading8Char"/>
    <w:qFormat/>
    <w:pPr>
      <w:numPr>
        <w:ilvl w:val="7"/>
      </w:numPr>
      <w:outlineLvl w:val="7"/>
    </w:pPr>
  </w:style>
  <w:style w:type="paragraph" w:styleId="Heading9">
    <w:name w:val="heading 9"/>
    <w:basedOn w:val="Heading8"/>
    <w:next w:val="PARAGRAPH"/>
    <w:link w:val="Heading9Char"/>
    <w:qFormat/>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Repheading1">
    <w:name w:val="AcRep heading 1"/>
    <w:basedOn w:val="Normal"/>
    <w:autoRedefine/>
    <w:uiPriority w:val="1"/>
    <w:qFormat/>
    <w:rPr>
      <w:b/>
      <w:color w:val="0058A2"/>
      <w:sz w:val="32"/>
    </w:rPr>
  </w:style>
  <w:style w:type="paragraph" w:customStyle="1" w:styleId="PARAGRAPH">
    <w:name w:val="PARAGRAPH"/>
    <w:link w:val="PARAGRAPHChar"/>
    <w:qFormat/>
    <w:pPr>
      <w:snapToGrid w:val="0"/>
      <w:spacing w:before="100" w:line="240" w:lineRule="auto"/>
      <w:jc w:val="both"/>
    </w:pPr>
    <w:rPr>
      <w:rFonts w:cs="Arial"/>
      <w:spacing w:val="8"/>
    </w:rPr>
  </w:style>
  <w:style w:type="character" w:customStyle="1" w:styleId="PARAGRAPHChar">
    <w:name w:val="PARAGRAPH Char"/>
    <w:link w:val="PARAGRAPH"/>
    <w:rPr>
      <w:rFonts w:cs="Arial"/>
      <w:spacing w:val="8"/>
    </w:rPr>
  </w:style>
  <w:style w:type="paragraph" w:customStyle="1" w:styleId="AMD-Heading1">
    <w:name w:val="AMD-Heading1"/>
    <w:basedOn w:val="PARAGRAPH"/>
    <w:next w:val="PARAGRAPH"/>
    <w:pPr>
      <w:keepNext/>
      <w:tabs>
        <w:tab w:val="left" w:pos="397"/>
      </w:tabs>
      <w:suppressAutoHyphens/>
      <w:spacing w:line="260" w:lineRule="exact"/>
      <w:ind w:left="397" w:hanging="397"/>
      <w:jc w:val="left"/>
      <w:outlineLvl w:val="0"/>
    </w:pPr>
    <w:rPr>
      <w:b/>
      <w:sz w:val="22"/>
    </w:rPr>
  </w:style>
  <w:style w:type="paragraph" w:customStyle="1" w:styleId="AMD-Heading2">
    <w:name w:val="AMD-Heading2..."/>
    <w:basedOn w:val="PARAGRAPH"/>
    <w:next w:val="PARAGRAPH"/>
    <w:pPr>
      <w:keepNext/>
      <w:tabs>
        <w:tab w:val="left" w:pos="624"/>
      </w:tabs>
      <w:suppressAutoHyphens/>
      <w:spacing w:after="100"/>
      <w:ind w:left="624" w:hanging="624"/>
      <w:outlineLvl w:val="1"/>
    </w:pPr>
    <w:rPr>
      <w:b/>
    </w:rPr>
  </w:style>
  <w:style w:type="paragraph" w:customStyle="1" w:styleId="MAIN-TITLE">
    <w:name w:val="MAIN-TITLE"/>
    <w:basedOn w:val="Normal"/>
    <w:qFormat/>
    <w:pPr>
      <w:snapToGrid w:val="0"/>
      <w:spacing w:after="0" w:line="280" w:lineRule="exact"/>
      <w:jc w:val="center"/>
    </w:pPr>
    <w:rPr>
      <w:b/>
      <w:bCs/>
      <w:spacing w:val="8"/>
      <w:sz w:val="24"/>
      <w:szCs w:val="24"/>
    </w:rPr>
  </w:style>
  <w:style w:type="paragraph" w:customStyle="1" w:styleId="ANNEXtitle">
    <w:name w:val="ANNEX_title"/>
    <w:basedOn w:val="MAIN-TITLE"/>
    <w:next w:val="ANNEX-heading1"/>
    <w:qFormat/>
    <w:pPr>
      <w:pageBreakBefore/>
      <w:numPr>
        <w:numId w:val="17"/>
      </w:numPr>
      <w:spacing w:after="200"/>
      <w:outlineLvl w:val="0"/>
    </w:pPr>
  </w:style>
  <w:style w:type="character" w:customStyle="1" w:styleId="Heading1Char">
    <w:name w:val="Heading 1 Char"/>
    <w:basedOn w:val="DefaultParagraphFont"/>
    <w:link w:val="Heading1"/>
    <w:rPr>
      <w:rFonts w:cs="Arial"/>
      <w:b/>
      <w:bCs/>
      <w:spacing w:val="8"/>
      <w:sz w:val="22"/>
      <w:szCs w:val="22"/>
    </w:rPr>
  </w:style>
  <w:style w:type="paragraph" w:customStyle="1" w:styleId="ANNEX-heading1">
    <w:name w:val="ANNEX-heading1"/>
    <w:basedOn w:val="Heading1"/>
    <w:next w:val="PARAGRAPH"/>
    <w:qFormat/>
    <w:pPr>
      <w:numPr>
        <w:ilvl w:val="1"/>
        <w:numId w:val="17"/>
      </w:numPr>
      <w:outlineLvl w:val="1"/>
    </w:pPr>
  </w:style>
  <w:style w:type="character" w:customStyle="1" w:styleId="Heading2Char">
    <w:name w:val="Heading 2 Char"/>
    <w:basedOn w:val="DefaultParagraphFont"/>
    <w:link w:val="Heading2"/>
    <w:rPr>
      <w:rFonts w:cs="Arial"/>
      <w:b/>
      <w:bCs/>
      <w:spacing w:val="8"/>
    </w:rPr>
  </w:style>
  <w:style w:type="paragraph" w:customStyle="1" w:styleId="ANNEX-heading2">
    <w:name w:val="ANNEX-heading2"/>
    <w:basedOn w:val="Heading2"/>
    <w:next w:val="PARAGRAPH"/>
    <w:qFormat/>
    <w:pPr>
      <w:numPr>
        <w:ilvl w:val="2"/>
        <w:numId w:val="17"/>
      </w:numPr>
      <w:outlineLvl w:val="2"/>
    </w:pPr>
  </w:style>
  <w:style w:type="character" w:customStyle="1" w:styleId="Heading3Char">
    <w:name w:val="Heading 3 Char"/>
    <w:basedOn w:val="DefaultParagraphFont"/>
    <w:link w:val="Heading3"/>
    <w:rPr>
      <w:rFonts w:cs="Arial"/>
      <w:b/>
      <w:bCs/>
      <w:spacing w:val="8"/>
    </w:rPr>
  </w:style>
  <w:style w:type="paragraph" w:customStyle="1" w:styleId="ANNEX-heading3">
    <w:name w:val="ANNEX-heading3"/>
    <w:basedOn w:val="Heading3"/>
    <w:next w:val="PARAGRAPH"/>
    <w:pPr>
      <w:numPr>
        <w:ilvl w:val="3"/>
        <w:numId w:val="17"/>
      </w:numPr>
      <w:outlineLvl w:val="3"/>
    </w:pPr>
  </w:style>
  <w:style w:type="character" w:customStyle="1" w:styleId="Heading4Char">
    <w:name w:val="Heading 4 Char"/>
    <w:basedOn w:val="DefaultParagraphFont"/>
    <w:link w:val="Heading4"/>
    <w:rPr>
      <w:rFonts w:cs="Arial"/>
      <w:b/>
      <w:bCs/>
      <w:spacing w:val="8"/>
    </w:rPr>
  </w:style>
  <w:style w:type="paragraph" w:customStyle="1" w:styleId="ANNEX-heading4">
    <w:name w:val="ANNEX-heading4"/>
    <w:basedOn w:val="Heading4"/>
    <w:next w:val="PARAGRAPH"/>
    <w:pPr>
      <w:numPr>
        <w:ilvl w:val="4"/>
        <w:numId w:val="17"/>
      </w:numPr>
      <w:outlineLvl w:val="4"/>
    </w:pPr>
  </w:style>
  <w:style w:type="character" w:customStyle="1" w:styleId="Heading5Char">
    <w:name w:val="Heading 5 Char"/>
    <w:basedOn w:val="DefaultParagraphFont"/>
    <w:link w:val="Heading5"/>
    <w:rPr>
      <w:rFonts w:cs="Arial"/>
      <w:b/>
      <w:bCs/>
      <w:spacing w:val="8"/>
    </w:rPr>
  </w:style>
  <w:style w:type="paragraph" w:customStyle="1" w:styleId="ANNEX-heading5">
    <w:name w:val="ANNEX-heading5"/>
    <w:basedOn w:val="Heading5"/>
    <w:next w:val="PARAGRAPH"/>
    <w:pPr>
      <w:numPr>
        <w:ilvl w:val="5"/>
        <w:numId w:val="17"/>
      </w:numPr>
      <w:outlineLvl w:val="5"/>
    </w:pPr>
  </w:style>
  <w:style w:type="paragraph" w:customStyle="1" w:styleId="ANNEX-heading6">
    <w:name w:val="ANNEX-heading6"/>
    <w:basedOn w:val="Heading6"/>
    <w:next w:val="PARAGRAPH"/>
    <w:qFormat/>
    <w:pPr>
      <w:numPr>
        <w:ilvl w:val="6"/>
        <w:numId w:val="18"/>
      </w:numPr>
      <w:outlineLvl w:val="6"/>
    </w:pPr>
  </w:style>
  <w:style w:type="paragraph" w:styleId="Bibliography">
    <w:name w:val="Bibliography"/>
    <w:basedOn w:val="Normal"/>
    <w:next w:val="Normal"/>
    <w:uiPriority w:val="37"/>
    <w:semiHidden/>
    <w:unhideWhenUsed/>
  </w:style>
  <w:style w:type="paragraph" w:customStyle="1" w:styleId="BIBLIOGRAPHY-numbered">
    <w:name w:val="BIBLIOGRAPHY-numbered"/>
    <w:basedOn w:val="PARAGRAPH"/>
    <w:qFormat/>
    <w:pPr>
      <w:numPr>
        <w:numId w:val="1"/>
      </w:numPr>
    </w:pPr>
  </w:style>
  <w:style w:type="paragraph" w:styleId="BlockText">
    <w:name w:val="Block Text"/>
    <w:basedOn w:val="Normal"/>
    <w:uiPriority w:val="59"/>
    <w:semiHidden/>
    <w:pPr>
      <w:spacing w:after="120"/>
      <w:ind w:left="1440" w:right="1440"/>
    </w:pPr>
  </w:style>
  <w:style w:type="paragraph" w:styleId="Caption">
    <w:name w:val="caption"/>
    <w:basedOn w:val="Normal"/>
    <w:next w:val="Normal"/>
    <w:uiPriority w:val="35"/>
    <w:qFormat/>
    <w:rPr>
      <w:b/>
      <w:bCs/>
    </w:rPr>
  </w:style>
  <w:style w:type="paragraph" w:customStyle="1" w:styleId="CODE">
    <w:name w:val="CODE"/>
    <w:basedOn w:val="Normal"/>
    <w:pPr>
      <w:snapToGrid w:val="0"/>
      <w:spacing w:before="100" w:after="100"/>
      <w:contextualSpacing/>
    </w:pPr>
    <w:rPr>
      <w:rFonts w:ascii="Courier New" w:hAnsi="Courier New"/>
      <w:noProof/>
      <w:spacing w:val="-2"/>
      <w:sz w:val="18"/>
    </w:rPr>
  </w:style>
  <w:style w:type="paragraph" w:customStyle="1" w:styleId="CODE-TableCell">
    <w:name w:val="CODE-TableCell"/>
    <w:basedOn w:val="CODE"/>
    <w:qFormat/>
    <w:rPr>
      <w:sz w:val="16"/>
    </w:rPr>
  </w:style>
  <w:style w:type="character" w:styleId="CommentReference">
    <w:name w:val="annotation reference"/>
    <w:semiHidden/>
    <w:rPr>
      <w:sz w:val="16"/>
      <w:szCs w:val="16"/>
    </w:rPr>
  </w:style>
  <w:style w:type="character" w:styleId="Emphasis">
    <w:name w:val="Emphasis"/>
    <w:uiPriority w:val="20"/>
    <w:qFormat/>
    <w:rPr>
      <w:i/>
      <w:iCs/>
    </w:rPr>
  </w:style>
  <w:style w:type="character" w:styleId="EndnoteReference">
    <w:name w:val="endnote reference"/>
    <w:semiHidden/>
    <w:rPr>
      <w:vertAlign w:val="superscript"/>
    </w:rPr>
  </w:style>
  <w:style w:type="paragraph" w:styleId="EnvelopeAddress">
    <w:name w:val="envelope address"/>
    <w:basedOn w:val="Normal"/>
    <w:uiPriority w:val="99"/>
    <w:semiHidden/>
    <w:unhideWhenUsed/>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Pr>
      <w:rFonts w:ascii="Cambria" w:eastAsia="MS Gothic" w:hAnsi="Cambria" w:cs="Times New Roman"/>
    </w:rPr>
  </w:style>
  <w:style w:type="paragraph" w:customStyle="1" w:styleId="NOTE">
    <w:name w:val="NOTE"/>
    <w:basedOn w:val="Normal"/>
    <w:next w:val="PARAGRAPH"/>
    <w:qFormat/>
    <w:pPr>
      <w:snapToGrid w:val="0"/>
      <w:spacing w:before="100" w:after="100"/>
      <w:jc w:val="both"/>
    </w:pPr>
    <w:rPr>
      <w:spacing w:val="8"/>
      <w:sz w:val="16"/>
      <w:szCs w:val="16"/>
    </w:rPr>
  </w:style>
  <w:style w:type="paragraph" w:customStyle="1" w:styleId="EXAMPLE">
    <w:name w:val="EXAMPLE"/>
    <w:basedOn w:val="NOTE"/>
    <w:next w:val="PARAGRAPH"/>
    <w:qFormat/>
  </w:style>
  <w:style w:type="paragraph" w:customStyle="1" w:styleId="FIGURE">
    <w:name w:val="FIGURE"/>
    <w:basedOn w:val="Normal"/>
    <w:next w:val="FIGURE-title"/>
    <w:qFormat/>
    <w:pPr>
      <w:keepNext/>
      <w:snapToGrid w:val="0"/>
      <w:spacing w:before="100"/>
      <w:jc w:val="center"/>
    </w:pPr>
  </w:style>
  <w:style w:type="paragraph" w:customStyle="1" w:styleId="FIGURE-title">
    <w:name w:val="FIGURE-title"/>
    <w:basedOn w:val="Normal"/>
    <w:next w:val="PARAGRAPH"/>
    <w:qFormat/>
    <w:pPr>
      <w:snapToGrid w:val="0"/>
      <w:spacing w:before="100"/>
      <w:jc w:val="center"/>
    </w:pPr>
    <w:rPr>
      <w:b/>
      <w:bCs/>
      <w:spacing w:val="8"/>
    </w:rPr>
  </w:style>
  <w:style w:type="character" w:styleId="Hyperlink">
    <w:name w:val="Hyperlink"/>
    <w:uiPriority w:val="99"/>
    <w:rPr>
      <w:color w:val="0060A9"/>
      <w:u w:val="none"/>
    </w:rPr>
  </w:style>
  <w:style w:type="character" w:styleId="FollowedHyperlink">
    <w:name w:val="FollowedHyperlink"/>
    <w:basedOn w:val="Hyperlink"/>
    <w:uiPriority w:val="99"/>
    <w:rPr>
      <w:color w:val="auto"/>
      <w:u w:val="none"/>
    </w:rPr>
  </w:style>
  <w:style w:type="paragraph" w:styleId="Header">
    <w:name w:val="header"/>
    <w:basedOn w:val="Normal"/>
    <w:link w:val="HeaderChar"/>
    <w:pPr>
      <w:tabs>
        <w:tab w:val="center" w:pos="4536"/>
        <w:tab w:val="right" w:pos="9072"/>
      </w:tabs>
      <w:snapToGrid w:val="0"/>
      <w:spacing w:after="0"/>
    </w:pPr>
    <w:rPr>
      <w:spacing w:val="8"/>
    </w:rPr>
  </w:style>
  <w:style w:type="character" w:customStyle="1" w:styleId="HeaderChar">
    <w:name w:val="Header Char"/>
    <w:basedOn w:val="DefaultParagraphFont"/>
    <w:link w:val="Header"/>
    <w:rPr>
      <w:spacing w:val="8"/>
    </w:rPr>
  </w:style>
  <w:style w:type="paragraph" w:styleId="Footer">
    <w:name w:val="footer"/>
    <w:basedOn w:val="Header"/>
    <w:link w:val="FooterChar"/>
    <w:uiPriority w:val="99"/>
  </w:style>
  <w:style w:type="character" w:customStyle="1" w:styleId="FooterChar">
    <w:name w:val="Footer Char"/>
    <w:basedOn w:val="DefaultParagraphFont"/>
    <w:link w:val="Footer"/>
    <w:uiPriority w:val="99"/>
    <w:rPr>
      <w:rFonts w:cs="Arial"/>
      <w:spacing w:val="8"/>
      <w:szCs w:val="20"/>
    </w:rPr>
  </w:style>
  <w:style w:type="character" w:styleId="FootnoteReference">
    <w:name w:val="footnote reference"/>
    <w:semiHidden/>
    <w:rPr>
      <w:rFonts w:ascii="Arial" w:hAnsi="Arial"/>
      <w:position w:val="6"/>
      <w:sz w:val="16"/>
      <w:szCs w:val="16"/>
      <w:vertAlign w:val="baseline"/>
    </w:rPr>
  </w:style>
  <w:style w:type="paragraph" w:styleId="FootnoteText">
    <w:name w:val="footnote text"/>
    <w:basedOn w:val="Normal"/>
    <w:link w:val="FootnoteTextChar"/>
    <w:semiHidden/>
    <w:pPr>
      <w:snapToGrid w:val="0"/>
      <w:spacing w:after="100"/>
      <w:ind w:left="284" w:hanging="284"/>
      <w:jc w:val="both"/>
    </w:pPr>
    <w:rPr>
      <w:spacing w:val="8"/>
      <w:sz w:val="16"/>
      <w:szCs w:val="16"/>
    </w:rPr>
  </w:style>
  <w:style w:type="character" w:customStyle="1" w:styleId="FootnoteTextChar">
    <w:name w:val="Footnote Text Char"/>
    <w:basedOn w:val="DefaultParagraphFont"/>
    <w:link w:val="FootnoteText"/>
    <w:semiHidden/>
    <w:rPr>
      <w:spacing w:val="8"/>
      <w:sz w:val="16"/>
      <w:szCs w:val="16"/>
    </w:rPr>
  </w:style>
  <w:style w:type="paragraph" w:customStyle="1" w:styleId="FOREWORD">
    <w:name w:val="FOREWORD"/>
    <w:basedOn w:val="Normal"/>
    <w:link w:val="FOREWORDChar"/>
    <w:pPr>
      <w:tabs>
        <w:tab w:val="left" w:pos="284"/>
      </w:tabs>
      <w:snapToGrid w:val="0"/>
      <w:spacing w:after="100"/>
      <w:ind w:left="284" w:hanging="284"/>
      <w:jc w:val="both"/>
    </w:pPr>
    <w:rPr>
      <w:spacing w:val="8"/>
      <w:sz w:val="16"/>
      <w:szCs w:val="16"/>
    </w:rPr>
  </w:style>
  <w:style w:type="character" w:customStyle="1" w:styleId="FOREWORDChar">
    <w:name w:val="FOREWORD Char"/>
    <w:link w:val="FOREWORD"/>
    <w:rPr>
      <w:spacing w:val="8"/>
      <w:sz w:val="16"/>
      <w:szCs w:val="16"/>
    </w:rPr>
  </w:style>
  <w:style w:type="character" w:customStyle="1" w:styleId="Heading6Char">
    <w:name w:val="Heading 6 Char"/>
    <w:basedOn w:val="DefaultParagraphFont"/>
    <w:link w:val="Heading6"/>
    <w:rPr>
      <w:rFonts w:cs="Arial"/>
      <w:b/>
      <w:bCs/>
      <w:spacing w:val="8"/>
    </w:rPr>
  </w:style>
  <w:style w:type="character" w:customStyle="1" w:styleId="Heading7Char">
    <w:name w:val="Heading 7 Char"/>
    <w:basedOn w:val="DefaultParagraphFont"/>
    <w:link w:val="Heading7"/>
    <w:rPr>
      <w:rFonts w:cs="Arial"/>
      <w:b/>
      <w:bCs/>
      <w:spacing w:val="8"/>
    </w:rPr>
  </w:style>
  <w:style w:type="character" w:customStyle="1" w:styleId="Heading8Char">
    <w:name w:val="Heading 8 Char"/>
    <w:basedOn w:val="DefaultParagraphFont"/>
    <w:link w:val="Heading8"/>
    <w:rPr>
      <w:rFonts w:cs="Arial"/>
      <w:b/>
      <w:bCs/>
      <w:spacing w:val="8"/>
    </w:rPr>
  </w:style>
  <w:style w:type="character" w:customStyle="1" w:styleId="Heading9Char">
    <w:name w:val="Heading 9 Char"/>
    <w:basedOn w:val="DefaultParagraphFont"/>
    <w:link w:val="Heading9"/>
    <w:rPr>
      <w:rFonts w:cs="Arial"/>
      <w:b/>
      <w:bCs/>
      <w:spacing w:val="8"/>
    </w:rPr>
  </w:style>
  <w:style w:type="paragraph" w:customStyle="1" w:styleId="HEADINGNonumber">
    <w:name w:val="HEADING(Nonumber)"/>
    <w:basedOn w:val="PARAGRAPH"/>
    <w:next w:val="PARAGRAPH"/>
    <w:qFormat/>
    <w:pPr>
      <w:keepNext/>
      <w:suppressAutoHyphens/>
      <w:spacing w:before="0"/>
      <w:jc w:val="center"/>
      <w:outlineLvl w:val="0"/>
    </w:pPr>
    <w:rPr>
      <w:b/>
      <w:bCs/>
      <w:sz w:val="24"/>
    </w:rPr>
  </w:style>
  <w:style w:type="paragraph" w:customStyle="1" w:styleId="HEADINGNonumber2">
    <w:name w:val="HEADING(Nonumber)2"/>
    <w:basedOn w:val="PARAGRAPH"/>
    <w:next w:val="PARAGRAPH"/>
    <w:qFormat/>
    <w:pPr>
      <w:keepNext/>
      <w:suppressAutoHyphens/>
      <w:jc w:val="left"/>
    </w:pPr>
    <w:rPr>
      <w:b/>
      <w:bCs/>
    </w:rPr>
  </w:style>
  <w:style w:type="numbering" w:customStyle="1" w:styleId="Headings">
    <w:name w:val="Headings"/>
    <w:pPr>
      <w:numPr>
        <w:numId w:val="2"/>
      </w:numPr>
    </w:pPr>
  </w:style>
  <w:style w:type="paragraph" w:customStyle="1" w:styleId="IECINSTRUCTIONS">
    <w:name w:val="IEC_INSTRUCTIONS"/>
    <w:basedOn w:val="Normal"/>
    <w:uiPriority w:val="99"/>
    <w:qFormat/>
    <w:pPr>
      <w:pBdr>
        <w:top w:val="dashed" w:sz="6" w:space="5" w:color="C00000"/>
        <w:left w:val="dashed" w:sz="6" w:space="5" w:color="C00000"/>
        <w:bottom w:val="dashed" w:sz="6" w:space="5" w:color="C00000"/>
        <w:right w:val="dashed" w:sz="6" w:space="5" w:color="C00000"/>
      </w:pBdr>
      <w:spacing w:before="60" w:after="60"/>
      <w:ind w:left="567" w:right="567"/>
    </w:pPr>
    <w:rPr>
      <w:rFonts w:ascii="Cambria" w:hAnsi="Cambria"/>
      <w:color w:val="0070C0"/>
    </w:rPr>
  </w:style>
  <w:style w:type="paragraph" w:styleId="Index1">
    <w:name w:val="index 1"/>
    <w:basedOn w:val="Normal"/>
    <w:next w:val="Normal"/>
    <w:autoRedefine/>
    <w:uiPriority w:val="99"/>
    <w:unhideWhenUsed/>
    <w:pPr>
      <w:spacing w:before="120"/>
      <w:ind w:left="198" w:hanging="198"/>
      <w:jc w:val="center"/>
    </w:pPr>
  </w:style>
  <w:style w:type="paragraph" w:styleId="Index2">
    <w:name w:val="index 2"/>
    <w:basedOn w:val="Normal"/>
    <w:next w:val="Normal"/>
    <w:autoRedefine/>
    <w:uiPriority w:val="99"/>
    <w:semiHidden/>
    <w:unhideWhenUsed/>
    <w:pPr>
      <w:ind w:left="400" w:hanging="200"/>
    </w:pPr>
  </w:style>
  <w:style w:type="paragraph" w:styleId="Index3">
    <w:name w:val="index 3"/>
    <w:basedOn w:val="Normal"/>
    <w:next w:val="Normal"/>
    <w:autoRedefine/>
    <w:uiPriority w:val="99"/>
    <w:semiHidden/>
    <w:unhideWhenUsed/>
    <w:pPr>
      <w:ind w:left="600" w:hanging="200"/>
    </w:pPr>
  </w:style>
  <w:style w:type="paragraph" w:styleId="Index4">
    <w:name w:val="index 4"/>
    <w:basedOn w:val="Normal"/>
    <w:next w:val="Normal"/>
    <w:autoRedefine/>
    <w:uiPriority w:val="99"/>
    <w:semiHidden/>
    <w:unhideWhenUsed/>
    <w:pPr>
      <w:ind w:left="800" w:hanging="200"/>
    </w:pPr>
  </w:style>
  <w:style w:type="paragraph" w:styleId="Index5">
    <w:name w:val="index 5"/>
    <w:basedOn w:val="Normal"/>
    <w:next w:val="Normal"/>
    <w:autoRedefine/>
    <w:uiPriority w:val="99"/>
    <w:semiHidden/>
    <w:unhideWhenUsed/>
    <w:pPr>
      <w:ind w:left="1000" w:hanging="200"/>
    </w:pPr>
  </w:style>
  <w:style w:type="paragraph" w:styleId="Index6">
    <w:name w:val="index 6"/>
    <w:basedOn w:val="Normal"/>
    <w:next w:val="Normal"/>
    <w:autoRedefine/>
    <w:uiPriority w:val="99"/>
    <w:semiHidden/>
    <w:unhideWhenUsed/>
    <w:pPr>
      <w:ind w:left="1200" w:hanging="200"/>
    </w:pPr>
  </w:style>
  <w:style w:type="paragraph" w:styleId="Index7">
    <w:name w:val="index 7"/>
    <w:basedOn w:val="Normal"/>
    <w:next w:val="Normal"/>
    <w:autoRedefine/>
    <w:uiPriority w:val="99"/>
    <w:semiHidden/>
    <w:unhideWhenUsed/>
    <w:pPr>
      <w:ind w:left="1400" w:hanging="200"/>
    </w:pPr>
  </w:style>
  <w:style w:type="paragraph" w:styleId="Index8">
    <w:name w:val="index 8"/>
    <w:basedOn w:val="Normal"/>
    <w:next w:val="Normal"/>
    <w:autoRedefine/>
    <w:uiPriority w:val="99"/>
    <w:semiHidden/>
    <w:unhideWhenUsed/>
    <w:pPr>
      <w:ind w:left="1600" w:hanging="200"/>
    </w:pPr>
  </w:style>
  <w:style w:type="paragraph" w:styleId="Index9">
    <w:name w:val="index 9"/>
    <w:basedOn w:val="Normal"/>
    <w:next w:val="Normal"/>
    <w:autoRedefine/>
    <w:uiPriority w:val="99"/>
    <w:semiHidden/>
    <w:unhideWhenUsed/>
    <w:pPr>
      <w:ind w:left="1800" w:hanging="200"/>
    </w:pPr>
  </w:style>
  <w:style w:type="paragraph" w:styleId="IndexHeading">
    <w:name w:val="index heading"/>
    <w:basedOn w:val="Normal"/>
    <w:next w:val="Index1"/>
    <w:uiPriority w:val="99"/>
    <w:semiHidden/>
    <w:unhideWhenUsed/>
    <w:rPr>
      <w:rFonts w:ascii="Cambria" w:eastAsia="MS Gothic" w:hAnsi="Cambria" w:cs="Times New Roman"/>
      <w:b/>
      <w:bCs/>
    </w:rPr>
  </w:style>
  <w:style w:type="character" w:styleId="IntenseEmphasis">
    <w:name w:val="Intense Emphasis"/>
    <w:qFormat/>
    <w:rPr>
      <w:b/>
      <w:bCs/>
      <w:i/>
      <w:iCs/>
      <w:color w:val="auto"/>
    </w:rPr>
  </w:style>
  <w:style w:type="character" w:styleId="LineNumber">
    <w:name w:val="line number"/>
    <w:uiPriority w:val="29"/>
    <w:unhideWhenUsed/>
    <w:rPr>
      <w:rFonts w:ascii="Arial" w:hAnsi="Arial" w:cs="Arial"/>
      <w:spacing w:val="8"/>
      <w:sz w:val="16"/>
    </w:rPr>
  </w:style>
  <w:style w:type="paragraph" w:styleId="List">
    <w:name w:val="List"/>
    <w:basedOn w:val="Normal"/>
    <w:qFormat/>
    <w:pPr>
      <w:tabs>
        <w:tab w:val="left" w:pos="340"/>
      </w:tabs>
      <w:snapToGrid w:val="0"/>
      <w:spacing w:after="100"/>
      <w:ind w:left="340" w:hanging="340"/>
      <w:jc w:val="both"/>
    </w:pPr>
    <w:rPr>
      <w:spacing w:val="8"/>
    </w:rPr>
  </w:style>
  <w:style w:type="paragraph" w:styleId="List2">
    <w:name w:val="List 2"/>
    <w:basedOn w:val="List"/>
    <w:pPr>
      <w:tabs>
        <w:tab w:val="clear" w:pos="340"/>
        <w:tab w:val="left" w:pos="680"/>
      </w:tabs>
      <w:ind w:left="680"/>
    </w:pPr>
  </w:style>
  <w:style w:type="paragraph" w:styleId="List3">
    <w:name w:val="List 3"/>
    <w:basedOn w:val="List2"/>
    <w:pPr>
      <w:tabs>
        <w:tab w:val="clear" w:pos="680"/>
        <w:tab w:val="left" w:pos="1021"/>
      </w:tabs>
      <w:ind w:left="1020"/>
    </w:pPr>
  </w:style>
  <w:style w:type="paragraph" w:styleId="List4">
    <w:name w:val="List 4"/>
    <w:basedOn w:val="List3"/>
    <w:pPr>
      <w:tabs>
        <w:tab w:val="clear" w:pos="1021"/>
        <w:tab w:val="left" w:pos="1361"/>
      </w:tabs>
      <w:ind w:left="1361"/>
    </w:pPr>
  </w:style>
  <w:style w:type="paragraph" w:styleId="List5">
    <w:name w:val="List 5"/>
    <w:basedOn w:val="List4"/>
    <w:pPr>
      <w:tabs>
        <w:tab w:val="clear" w:pos="1361"/>
        <w:tab w:val="left" w:pos="1701"/>
      </w:tabs>
      <w:ind w:left="1701"/>
    </w:pPr>
  </w:style>
  <w:style w:type="paragraph" w:styleId="ListBullet">
    <w:name w:val="List Bullet"/>
    <w:basedOn w:val="Normal"/>
    <w:link w:val="ListBulletChar"/>
    <w:qFormat/>
    <w:pPr>
      <w:numPr>
        <w:numId w:val="3"/>
      </w:numPr>
      <w:tabs>
        <w:tab w:val="clear" w:pos="720"/>
        <w:tab w:val="left" w:pos="340"/>
      </w:tabs>
      <w:snapToGrid w:val="0"/>
      <w:spacing w:after="100"/>
      <w:ind w:left="340" w:hanging="340"/>
      <w:jc w:val="both"/>
    </w:pPr>
    <w:rPr>
      <w:spacing w:val="8"/>
    </w:rPr>
  </w:style>
  <w:style w:type="paragraph" w:styleId="ListBullet2">
    <w:name w:val="List Bullet 2"/>
    <w:basedOn w:val="ListBullet"/>
    <w:pPr>
      <w:numPr>
        <w:numId w:val="4"/>
      </w:numPr>
      <w:tabs>
        <w:tab w:val="clear" w:pos="700"/>
        <w:tab w:val="left" w:pos="680"/>
      </w:tabs>
      <w:ind w:left="680" w:hanging="340"/>
    </w:pPr>
  </w:style>
  <w:style w:type="paragraph" w:styleId="ListBullet3">
    <w:name w:val="List Bullet 3"/>
    <w:basedOn w:val="ListBullet2"/>
    <w:pPr>
      <w:tabs>
        <w:tab w:val="clear" w:pos="680"/>
        <w:tab w:val="left" w:pos="1021"/>
      </w:tabs>
      <w:ind w:left="1020"/>
    </w:pPr>
  </w:style>
  <w:style w:type="paragraph" w:styleId="ListBullet4">
    <w:name w:val="List Bullet 4"/>
    <w:basedOn w:val="ListBullet3"/>
    <w:pPr>
      <w:tabs>
        <w:tab w:val="clear" w:pos="1021"/>
        <w:tab w:val="left" w:pos="1361"/>
      </w:tabs>
      <w:ind w:left="1361"/>
    </w:pPr>
  </w:style>
  <w:style w:type="paragraph" w:styleId="ListBullet5">
    <w:name w:val="List Bullet 5"/>
    <w:basedOn w:val="ListBullet4"/>
    <w:pPr>
      <w:tabs>
        <w:tab w:val="clear" w:pos="1361"/>
        <w:tab w:val="left" w:pos="1701"/>
      </w:tabs>
      <w:ind w:left="1701"/>
    </w:pPr>
  </w:style>
  <w:style w:type="paragraph" w:styleId="ListContinue">
    <w:name w:val="List Continue"/>
    <w:basedOn w:val="Normal"/>
    <w:pPr>
      <w:snapToGrid w:val="0"/>
      <w:spacing w:after="100"/>
      <w:ind w:left="340"/>
      <w:jc w:val="both"/>
    </w:pPr>
    <w:rPr>
      <w:spacing w:val="8"/>
    </w:r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customStyle="1" w:styleId="ListDash">
    <w:name w:val="List Dash"/>
    <w:basedOn w:val="ListBullet"/>
    <w:qFormat/>
    <w:pPr>
      <w:numPr>
        <w:numId w:val="5"/>
      </w:numPr>
    </w:pPr>
  </w:style>
  <w:style w:type="paragraph" w:customStyle="1" w:styleId="ListDash2">
    <w:name w:val="List Dash 2"/>
    <w:basedOn w:val="ListBullet2"/>
    <w:pPr>
      <w:numPr>
        <w:numId w:val="6"/>
      </w:numPr>
    </w:pPr>
  </w:style>
  <w:style w:type="paragraph" w:customStyle="1" w:styleId="ListDash3">
    <w:name w:val="List Dash 3"/>
    <w:basedOn w:val="ListBullet3"/>
    <w:pPr>
      <w:numPr>
        <w:numId w:val="7"/>
      </w:numPr>
      <w:tabs>
        <w:tab w:val="clear" w:pos="340"/>
      </w:tabs>
      <w:ind w:left="1020"/>
    </w:pPr>
  </w:style>
  <w:style w:type="paragraph" w:customStyle="1" w:styleId="ListDash4">
    <w:name w:val="List Dash 4"/>
    <w:basedOn w:val="ListBullet4"/>
    <w:pPr>
      <w:numPr>
        <w:numId w:val="8"/>
      </w:numPr>
    </w:pPr>
  </w:style>
  <w:style w:type="paragraph" w:styleId="ListNumber">
    <w:name w:val="List Number"/>
    <w:basedOn w:val="List"/>
    <w:qFormat/>
    <w:pPr>
      <w:numPr>
        <w:numId w:val="21"/>
      </w:numPr>
      <w:tabs>
        <w:tab w:val="clear" w:pos="340"/>
      </w:tabs>
    </w:pPr>
  </w:style>
  <w:style w:type="paragraph" w:styleId="ListNumber2">
    <w:name w:val="List Number 2"/>
    <w:basedOn w:val="ListNumber"/>
    <w:pPr>
      <w:numPr>
        <w:ilvl w:val="1"/>
      </w:numPr>
      <w:tabs>
        <w:tab w:val="left" w:pos="340"/>
      </w:tabs>
    </w:pPr>
  </w:style>
  <w:style w:type="paragraph" w:styleId="ListNumber3">
    <w:name w:val="List Number 3"/>
    <w:basedOn w:val="ListNumber2"/>
    <w:pPr>
      <w:numPr>
        <w:ilvl w:val="2"/>
      </w:numPr>
    </w:pPr>
  </w:style>
  <w:style w:type="paragraph" w:styleId="ListNumber4">
    <w:name w:val="List Number 4"/>
    <w:basedOn w:val="ListNumber3"/>
    <w:pPr>
      <w:numPr>
        <w:ilvl w:val="3"/>
      </w:numPr>
    </w:pPr>
  </w:style>
  <w:style w:type="paragraph" w:styleId="ListNumber5">
    <w:name w:val="List Number 5"/>
    <w:basedOn w:val="ListNumber4"/>
    <w:pPr>
      <w:numPr>
        <w:ilvl w:val="4"/>
      </w:numPr>
    </w:pPr>
  </w:style>
  <w:style w:type="paragraph" w:styleId="ListParagraph">
    <w:name w:val="List Paragraph"/>
    <w:basedOn w:val="Normal"/>
    <w:uiPriority w:val="34"/>
    <w:qFormat/>
    <w:pPr>
      <w:ind w:left="567"/>
    </w:pPr>
  </w:style>
  <w:style w:type="paragraph" w:styleId="NoSpacing">
    <w:name w:val="No Spacing"/>
    <w:uiPriority w:val="1"/>
    <w:qFormat/>
    <w:pPr>
      <w:spacing w:after="0" w:line="240" w:lineRule="auto"/>
      <w:jc w:val="both"/>
    </w:pPr>
    <w:rPr>
      <w:rFonts w:cs="Arial"/>
      <w:spacing w:val="8"/>
    </w:rPr>
  </w:style>
  <w:style w:type="paragraph" w:styleId="NormalWeb">
    <w:name w:val="Normal (Web)"/>
    <w:basedOn w:val="Normal"/>
    <w:uiPriority w:val="99"/>
    <w:semiHidden/>
    <w:unhideWhenUsed/>
    <w:rPr>
      <w:rFonts w:ascii="Times New Roman" w:hAnsi="Times New Roman" w:cs="Times New Roman"/>
      <w:sz w:val="24"/>
      <w:szCs w:val="24"/>
    </w:rPr>
  </w:style>
  <w:style w:type="paragraph" w:styleId="NormalIndent">
    <w:name w:val="Normal Indent"/>
    <w:basedOn w:val="Normal"/>
    <w:uiPriority w:val="99"/>
    <w:semiHidden/>
    <w:unhideWhenUsed/>
    <w:pPr>
      <w:ind w:left="567"/>
    </w:pPr>
  </w:style>
  <w:style w:type="paragraph" w:customStyle="1" w:styleId="NumberedPARAlevel2">
    <w:name w:val="Numbered PARA (level 2)"/>
    <w:basedOn w:val="Heading2"/>
    <w:next w:val="PARAGRAPH"/>
    <w:pPr>
      <w:keepNext w:val="0"/>
      <w:tabs>
        <w:tab w:val="left" w:pos="624"/>
      </w:tabs>
      <w:spacing w:after="200"/>
      <w:ind w:left="0" w:firstLine="0"/>
      <w:jc w:val="both"/>
      <w:outlineLvl w:val="9"/>
    </w:pPr>
    <w:rPr>
      <w:b w:val="0"/>
      <w:bCs w:val="0"/>
    </w:rPr>
  </w:style>
  <w:style w:type="paragraph" w:customStyle="1" w:styleId="NumberedPARAlevel3">
    <w:name w:val="Numbered PARA (level 3)"/>
    <w:basedOn w:val="Heading3"/>
    <w:next w:val="PARAGRAPH"/>
    <w:pPr>
      <w:keepNext w:val="0"/>
      <w:tabs>
        <w:tab w:val="clear" w:pos="850"/>
        <w:tab w:val="left" w:pos="851"/>
      </w:tabs>
      <w:spacing w:after="200"/>
      <w:ind w:left="0" w:firstLine="0"/>
      <w:jc w:val="both"/>
      <w:outlineLvl w:val="9"/>
    </w:pPr>
    <w:rPr>
      <w:b w:val="0"/>
      <w:bCs w:val="0"/>
    </w:rPr>
  </w:style>
  <w:style w:type="paragraph" w:customStyle="1" w:styleId="NumberedPARAlevel4">
    <w:name w:val="Numbered PARA (level 4)"/>
    <w:basedOn w:val="Heading4"/>
    <w:qFormat/>
    <w:pPr>
      <w:keepNext w:val="0"/>
      <w:tabs>
        <w:tab w:val="left" w:pos="1077"/>
      </w:tabs>
      <w:spacing w:after="200"/>
      <w:ind w:left="0" w:firstLine="0"/>
      <w:jc w:val="both"/>
    </w:pPr>
    <w:rPr>
      <w:b w:val="0"/>
      <w:bCs w:val="0"/>
    </w:rPr>
  </w:style>
  <w:style w:type="character" w:styleId="PageNumber">
    <w:name w:val="page number"/>
    <w:unhideWhenUsed/>
    <w:rPr>
      <w:rFonts w:ascii="Arial" w:hAnsi="Arial"/>
      <w:sz w:val="20"/>
      <w:szCs w:val="20"/>
    </w:rPr>
  </w:style>
  <w:style w:type="paragraph" w:customStyle="1" w:styleId="PARAEQUATION">
    <w:name w:val="PARAEQUATION"/>
    <w:basedOn w:val="Normal"/>
    <w:next w:val="PARAGRAPH"/>
    <w:qFormat/>
    <w:pPr>
      <w:tabs>
        <w:tab w:val="center" w:pos="4536"/>
        <w:tab w:val="right" w:pos="9072"/>
      </w:tabs>
      <w:snapToGrid w:val="0"/>
      <w:spacing w:before="200"/>
    </w:pPr>
    <w:rPr>
      <w:spacing w:val="8"/>
    </w:rPr>
  </w:style>
  <w:style w:type="character" w:customStyle="1" w:styleId="Reference">
    <w:name w:val="Reference"/>
    <w:uiPriority w:val="29"/>
    <w:semiHidden/>
    <w:rPr>
      <w:rFonts w:ascii="Arial" w:hAnsi="Arial"/>
      <w:noProof/>
      <w:sz w:val="20"/>
      <w:szCs w:val="20"/>
    </w:rPr>
  </w:style>
  <w:style w:type="character" w:customStyle="1" w:styleId="SMALLCAPS">
    <w:name w:val="SMALL CAPS"/>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emphasis">
    <w:name w:val="SMALL CAPS emphasis"/>
    <w:qFormat/>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styleId="Strong">
    <w:name w:val="Strong"/>
    <w:qFormat/>
    <w:rPr>
      <w:b/>
      <w:bCs/>
    </w:rPr>
  </w:style>
  <w:style w:type="character" w:customStyle="1" w:styleId="SUBscript">
    <w:name w:val="SUBscript"/>
    <w:rPr>
      <w:kern w:val="0"/>
      <w:position w:val="-6"/>
      <w:sz w:val="16"/>
      <w:szCs w:val="16"/>
    </w:rPr>
  </w:style>
  <w:style w:type="character" w:customStyle="1" w:styleId="SUBscript-small">
    <w:name w:val="SUBscript-small"/>
    <w:qFormat/>
    <w:rPr>
      <w:kern w:val="0"/>
      <w:position w:val="-6"/>
      <w:sz w:val="12"/>
      <w:szCs w:val="16"/>
    </w:rPr>
  </w:style>
  <w:style w:type="character" w:customStyle="1" w:styleId="SUPerscript">
    <w:name w:val="SUPerscript"/>
    <w:rPr>
      <w:kern w:val="0"/>
      <w:position w:val="6"/>
      <w:sz w:val="16"/>
      <w:szCs w:val="16"/>
    </w:rPr>
  </w:style>
  <w:style w:type="character" w:customStyle="1" w:styleId="SUPerscript-small">
    <w:name w:val="SUPerscript-small"/>
    <w:qFormat/>
    <w:rPr>
      <w:kern w:val="0"/>
      <w:position w:val="6"/>
      <w:sz w:val="12"/>
      <w:szCs w:val="16"/>
    </w:rPr>
  </w:style>
  <w:style w:type="paragraph" w:customStyle="1" w:styleId="TABFIGfootnote">
    <w:name w:val="TAB_FIG_footnote"/>
    <w:basedOn w:val="FootnoteText"/>
    <w:pPr>
      <w:tabs>
        <w:tab w:val="left" w:pos="284"/>
      </w:tabs>
      <w:spacing w:before="60" w:after="60"/>
    </w:pPr>
  </w:style>
  <w:style w:type="paragraph" w:styleId="TableofAuthorities">
    <w:name w:val="table of authorities"/>
    <w:basedOn w:val="Normal"/>
    <w:next w:val="Normal"/>
    <w:uiPriority w:val="99"/>
    <w:semiHidden/>
    <w:unhideWhenUsed/>
    <w:pPr>
      <w:ind w:left="200" w:hanging="200"/>
    </w:pPr>
  </w:style>
  <w:style w:type="paragraph" w:styleId="TOC1">
    <w:name w:val="toc 1"/>
    <w:basedOn w:val="Normal"/>
    <w:uiPriority w:val="39"/>
    <w:pPr>
      <w:tabs>
        <w:tab w:val="left" w:pos="454"/>
        <w:tab w:val="right" w:leader="dot" w:pos="9070"/>
      </w:tabs>
      <w:suppressAutoHyphens/>
      <w:snapToGrid w:val="0"/>
      <w:spacing w:after="100"/>
      <w:ind w:left="454" w:right="680" w:hanging="454"/>
    </w:pPr>
    <w:rPr>
      <w:noProof/>
      <w:spacing w:val="8"/>
    </w:rPr>
  </w:style>
  <w:style w:type="paragraph" w:styleId="TableofFigures">
    <w:name w:val="table of figures"/>
    <w:basedOn w:val="TOC1"/>
    <w:uiPriority w:val="99"/>
    <w:pPr>
      <w:ind w:left="0" w:firstLine="0"/>
    </w:pPr>
  </w:style>
  <w:style w:type="paragraph" w:customStyle="1" w:styleId="TABLE-cell">
    <w:name w:val="TABLE-cell"/>
    <w:basedOn w:val="PARAGRAPH"/>
    <w:qFormat/>
    <w:pPr>
      <w:spacing w:before="60" w:after="60"/>
      <w:jc w:val="left"/>
    </w:pPr>
    <w:rPr>
      <w:bCs/>
      <w:sz w:val="16"/>
    </w:rPr>
  </w:style>
  <w:style w:type="paragraph" w:customStyle="1" w:styleId="TABLE-centered">
    <w:name w:val="TABLE-centered"/>
    <w:basedOn w:val="TABLE-cell"/>
    <w:pPr>
      <w:jc w:val="center"/>
    </w:pPr>
  </w:style>
  <w:style w:type="paragraph" w:customStyle="1" w:styleId="TABLE-col-heading">
    <w:name w:val="TABLE-col-heading"/>
    <w:basedOn w:val="PARAGRAPH"/>
    <w:qFormat/>
    <w:pPr>
      <w:keepNext/>
      <w:spacing w:before="60" w:after="60"/>
      <w:jc w:val="center"/>
    </w:pPr>
    <w:rPr>
      <w:b/>
      <w:bCs/>
      <w:sz w:val="16"/>
      <w:szCs w:val="16"/>
    </w:rPr>
  </w:style>
  <w:style w:type="paragraph" w:customStyle="1" w:styleId="TABLE-title">
    <w:name w:val="TABLE-title"/>
    <w:basedOn w:val="PARAGRAPH"/>
    <w:next w:val="PARAGRAPH"/>
    <w:qFormat/>
    <w:pPr>
      <w:keepNext/>
      <w:jc w:val="center"/>
    </w:pPr>
    <w:rPr>
      <w:b/>
      <w:bCs/>
    </w:rPr>
  </w:style>
  <w:style w:type="paragraph" w:customStyle="1" w:styleId="TERM">
    <w:name w:val="TERM"/>
    <w:basedOn w:val="Normal"/>
    <w:next w:val="TERM-definition"/>
    <w:qFormat/>
    <w:pPr>
      <w:keepNext/>
      <w:snapToGrid w:val="0"/>
      <w:spacing w:after="0"/>
    </w:pPr>
    <w:rPr>
      <w:b/>
      <w:bCs/>
      <w:spacing w:val="8"/>
    </w:rPr>
  </w:style>
  <w:style w:type="paragraph" w:customStyle="1" w:styleId="TERM-admitted">
    <w:name w:val="TERM-admitted"/>
    <w:basedOn w:val="TERM"/>
    <w:next w:val="TERM-definition"/>
    <w:qFormat/>
    <w:rPr>
      <w:b w:val="0"/>
    </w:rPr>
  </w:style>
  <w:style w:type="paragraph" w:customStyle="1" w:styleId="TERM-definition">
    <w:name w:val="TERM-definition"/>
    <w:basedOn w:val="Normal"/>
    <w:next w:val="TERM-number"/>
    <w:qFormat/>
    <w:pPr>
      <w:snapToGrid w:val="0"/>
      <w:jc w:val="both"/>
    </w:pPr>
    <w:rPr>
      <w:spacing w:val="8"/>
    </w:rPr>
  </w:style>
  <w:style w:type="paragraph" w:customStyle="1" w:styleId="TERM-deprecated">
    <w:name w:val="TERM-deprecated"/>
    <w:basedOn w:val="TERM"/>
    <w:next w:val="TERM-definition"/>
    <w:qFormat/>
    <w:rPr>
      <w:b w:val="0"/>
    </w:rPr>
  </w:style>
  <w:style w:type="paragraph" w:customStyle="1" w:styleId="TERM-example">
    <w:name w:val="TERM-example"/>
    <w:basedOn w:val="EXAMPLE"/>
    <w:next w:val="TERM-number"/>
    <w:qFormat/>
  </w:style>
  <w:style w:type="paragraph" w:customStyle="1" w:styleId="TERM-note">
    <w:name w:val="TERM-note"/>
    <w:basedOn w:val="NOTE"/>
    <w:next w:val="TERM-number"/>
    <w:qFormat/>
  </w:style>
  <w:style w:type="paragraph" w:customStyle="1" w:styleId="TERM-number">
    <w:name w:val="TERM-number"/>
    <w:basedOn w:val="Heading2"/>
    <w:next w:val="TERM"/>
    <w:qFormat/>
    <w:pPr>
      <w:spacing w:after="0"/>
      <w:ind w:left="0" w:firstLine="0"/>
      <w:outlineLvl w:val="9"/>
    </w:pPr>
  </w:style>
  <w:style w:type="paragraph" w:customStyle="1" w:styleId="TERM-number3">
    <w:name w:val="TERM-number 3"/>
    <w:basedOn w:val="Heading3"/>
    <w:next w:val="TERM"/>
    <w:pPr>
      <w:spacing w:after="0"/>
      <w:ind w:left="0" w:firstLine="0"/>
      <w:outlineLvl w:val="9"/>
    </w:pPr>
  </w:style>
  <w:style w:type="paragraph" w:customStyle="1" w:styleId="TERM-number4">
    <w:name w:val="TERM-number 4"/>
    <w:basedOn w:val="Heading4"/>
    <w:next w:val="TERM"/>
    <w:qFormat/>
    <w:pPr>
      <w:spacing w:after="0"/>
      <w:outlineLvl w:val="9"/>
    </w:pPr>
  </w:style>
  <w:style w:type="paragraph" w:customStyle="1" w:styleId="TERM-source">
    <w:name w:val="TERM-source"/>
    <w:basedOn w:val="Normal"/>
    <w:next w:val="TERM-number"/>
    <w:qFormat/>
    <w:pPr>
      <w:snapToGrid w:val="0"/>
      <w:spacing w:before="100"/>
      <w:jc w:val="both"/>
    </w:pPr>
    <w:rPr>
      <w:spacing w:val="8"/>
    </w:rPr>
  </w:style>
  <w:style w:type="paragraph" w:styleId="Title">
    <w:name w:val="Title"/>
    <w:basedOn w:val="MAIN-TITLE"/>
    <w:link w:val="TitleChar"/>
    <w:qFormat/>
    <w:rPr>
      <w:kern w:val="28"/>
    </w:rPr>
  </w:style>
  <w:style w:type="character" w:customStyle="1" w:styleId="TitleChar">
    <w:name w:val="Title Char"/>
    <w:basedOn w:val="DefaultParagraphFont"/>
    <w:link w:val="Title"/>
    <w:rPr>
      <w:rFonts w:cs="Arial"/>
      <w:b/>
      <w:bCs/>
      <w:spacing w:val="8"/>
      <w:kern w:val="28"/>
      <w:sz w:val="24"/>
      <w:szCs w:val="24"/>
    </w:rPr>
  </w:style>
  <w:style w:type="paragraph" w:styleId="TOAHeading">
    <w:name w:val="toa heading"/>
    <w:basedOn w:val="Normal"/>
    <w:next w:val="Normal"/>
    <w:uiPriority w:val="99"/>
    <w:semiHidden/>
    <w:unhideWhenUsed/>
    <w:pPr>
      <w:spacing w:before="120"/>
    </w:pPr>
    <w:rPr>
      <w:rFonts w:ascii="Cambria" w:eastAsia="MS Gothic" w:hAnsi="Cambria" w:cs="Times New Roman"/>
      <w:b/>
      <w:bCs/>
      <w:sz w:val="24"/>
      <w:szCs w:val="24"/>
    </w:rPr>
  </w:style>
  <w:style w:type="paragraph" w:styleId="TOC2">
    <w:name w:val="toc 2"/>
    <w:basedOn w:val="TOC1"/>
    <w:uiPriority w:val="39"/>
    <w:pPr>
      <w:tabs>
        <w:tab w:val="clear" w:pos="454"/>
        <w:tab w:val="left" w:pos="993"/>
      </w:tabs>
      <w:spacing w:after="60"/>
      <w:ind w:left="993" w:hanging="709"/>
    </w:pPr>
  </w:style>
  <w:style w:type="paragraph" w:styleId="TOC3">
    <w:name w:val="toc 3"/>
    <w:basedOn w:val="TOC2"/>
    <w:uiPriority w:val="39"/>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styleId="TOCHeading">
    <w:name w:val="TOC Heading"/>
    <w:basedOn w:val="Heading1"/>
    <w:next w:val="Normal"/>
    <w:uiPriority w:val="39"/>
    <w:qFormat/>
    <w:pPr>
      <w:numPr>
        <w:numId w:val="0"/>
      </w:numPr>
      <w:suppressAutoHyphens w:val="0"/>
      <w:spacing w:before="240" w:after="60"/>
      <w:jc w:val="both"/>
      <w:outlineLvl w:val="9"/>
    </w:pPr>
    <w:rPr>
      <w:rFonts w:ascii="Cambria" w:eastAsia="MS Gothic" w:hAnsi="Cambria" w:cs="Times New Roman"/>
      <w:kern w:val="32"/>
      <w:sz w:val="32"/>
      <w:szCs w:val="32"/>
    </w:rPr>
  </w:style>
  <w:style w:type="character" w:customStyle="1" w:styleId="VARIABLE">
    <w:name w:val="VARIABLE"/>
    <w:rPr>
      <w:rFonts w:ascii="Times New Roman" w:hAnsi="Times New Roman"/>
      <w:i/>
      <w:iCs/>
    </w:rPr>
  </w:style>
  <w:style w:type="paragraph" w:customStyle="1" w:styleId="ListDash5">
    <w:name w:val="List Dash 5"/>
    <w:basedOn w:val="ListBullet5"/>
    <w:qFormat/>
    <w:pPr>
      <w:numPr>
        <w:numId w:val="16"/>
      </w:numPr>
      <w:ind w:left="1701" w:hanging="340"/>
    </w:pPr>
  </w:style>
  <w:style w:type="character" w:styleId="PlaceholderText">
    <w:name w:val="Placeholder Text"/>
    <w:basedOn w:val="DefaultParagraphFont"/>
    <w:uiPriority w:val="99"/>
    <w:semiHidden/>
    <w:rPr>
      <w:color w:val="808080"/>
    </w:rPr>
  </w:style>
  <w:style w:type="paragraph" w:customStyle="1" w:styleId="TABLE-centred">
    <w:name w:val="TABLE-centred"/>
    <w:basedOn w:val="TABLE-centered"/>
    <w:rPr>
      <w:bCs w:val="0"/>
    </w:rPr>
  </w:style>
  <w:style w:type="character" w:customStyle="1" w:styleId="SUBscript-variable">
    <w:name w:val="SUBscript-variable"/>
    <w:basedOn w:val="SUBscript"/>
    <w:rPr>
      <w:rFonts w:ascii="Times New Roman" w:hAnsi="Times New Roman"/>
      <w:i/>
      <w:kern w:val="0"/>
      <w:position w:val="-6"/>
      <w:sz w:val="16"/>
      <w:szCs w:val="16"/>
    </w:rPr>
  </w:style>
  <w:style w:type="character" w:customStyle="1" w:styleId="SUBscript-small-variable">
    <w:name w:val="SUBscript-small-variable"/>
    <w:basedOn w:val="SUBscript-small"/>
    <w:rPr>
      <w:rFonts w:ascii="Times New Roman" w:hAnsi="Times New Roman"/>
      <w:i/>
      <w:kern w:val="0"/>
      <w:position w:val="-6"/>
      <w:sz w:val="12"/>
      <w:szCs w:val="16"/>
    </w:r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UPerscript-small-variable">
    <w:name w:val="SUPerscript-small-variable"/>
    <w:basedOn w:val="SUPerscript-small"/>
    <w:rPr>
      <w:rFonts w:ascii="Times New Roman" w:hAnsi="Times New Roman"/>
      <w:i/>
      <w:kern w:val="0"/>
      <w:position w:val="6"/>
      <w:sz w:val="12"/>
      <w:szCs w:val="16"/>
    </w:rPr>
  </w:style>
  <w:style w:type="character" w:customStyle="1" w:styleId="SUPerscript-variable">
    <w:name w:val="SUPerscript-variable"/>
    <w:basedOn w:val="SUPerscript"/>
    <w:rPr>
      <w:rFonts w:ascii="Times New Roman" w:hAnsi="Times New Roman"/>
      <w:i/>
      <w:kern w:val="0"/>
      <w:position w:val="6"/>
      <w:sz w:val="16"/>
      <w:szCs w:val="16"/>
    </w:rPr>
  </w:style>
  <w:style w:type="paragraph" w:customStyle="1" w:styleId="Inlineequationparagraph">
    <w:name w:val="Inline equation paragraph"/>
    <w:basedOn w:val="PARAGRAPH"/>
    <w:next w:val="PARAGRAPH"/>
    <w:qFormat/>
  </w:style>
  <w:style w:type="paragraph" w:customStyle="1" w:styleId="ANNEXEtitre">
    <w:name w:val="ANNEXE_titre"/>
    <w:basedOn w:val="MAIN-TITLE"/>
    <w:next w:val="ANNEXE-heading1"/>
    <w:uiPriority w:val="1"/>
    <w:qFormat/>
    <w:pPr>
      <w:pageBreakBefore/>
      <w:numPr>
        <w:numId w:val="20"/>
      </w:numPr>
      <w:spacing w:after="200" w:line="240" w:lineRule="auto"/>
    </w:pPr>
    <w:rPr>
      <w:rFonts w:cs="Arial"/>
      <w:bCs w:val="0"/>
      <w14:scene3d>
        <w14:camera w14:prst="orthographicFront"/>
        <w14:lightRig w14:rig="threePt" w14:dir="t">
          <w14:rot w14:lat="0" w14:lon="0" w14:rev="0"/>
        </w14:lightRig>
      </w14:scene3d>
    </w:rPr>
  </w:style>
  <w:style w:type="paragraph" w:customStyle="1" w:styleId="ANNEXE-heading1">
    <w:name w:val="ANNEXE-heading1"/>
    <w:basedOn w:val="Heading1"/>
    <w:next w:val="PARAGRAPH"/>
    <w:uiPriority w:val="1"/>
    <w:qFormat/>
    <w:pPr>
      <w:numPr>
        <w:ilvl w:val="1"/>
        <w:numId w:val="20"/>
      </w:numPr>
    </w:pPr>
    <w:rPr/>
  </w:style>
  <w:style w:type="paragraph" w:customStyle="1" w:styleId="ANNEXE-heading2">
    <w:name w:val="ANNEXE-heading2"/>
    <w:basedOn w:val="Heading2"/>
    <w:next w:val="PARAGRAPH"/>
    <w:uiPriority w:val="1"/>
    <w:qFormat/>
    <w:pPr>
      <w:numPr>
        <w:ilvl w:val="2"/>
        <w:numId w:val="20"/>
      </w:numPr>
    </w:pPr>
    <w:rPr/>
  </w:style>
  <w:style w:type="paragraph" w:customStyle="1" w:styleId="ANNEXE-heading3">
    <w:name w:val="ANNEXE-heading3"/>
    <w:basedOn w:val="Heading3"/>
    <w:next w:val="PARAGRAPH"/>
    <w:uiPriority w:val="1"/>
    <w:qFormat/>
    <w:pPr>
      <w:numPr>
        <w:ilvl w:val="3"/>
        <w:numId w:val="20"/>
      </w:numPr>
    </w:pPr>
    <w:rPr/>
  </w:style>
  <w:style w:type="paragraph" w:customStyle="1" w:styleId="ANNEXE-heading4">
    <w:name w:val="ANNEXE-heading4"/>
    <w:basedOn w:val="Heading4"/>
    <w:next w:val="PARAGRAPH"/>
    <w:uiPriority w:val="1"/>
    <w:qFormat/>
    <w:pPr>
      <w:numPr>
        <w:ilvl w:val="4"/>
        <w:numId w:val="20"/>
      </w:numPr>
    </w:pPr>
    <w:rPr/>
  </w:style>
  <w:style w:type="paragraph" w:customStyle="1" w:styleId="ANNEXE-heading5">
    <w:name w:val="ANNEXE-heading5"/>
    <w:basedOn w:val="Heading5"/>
    <w:next w:val="PARAGRAPH"/>
    <w:uiPriority w:val="1"/>
    <w:qFormat/>
    <w:pPr>
      <w:numPr>
        <w:ilvl w:val="5"/>
        <w:numId w:val="20"/>
      </w:numPr>
    </w:pPr>
    <w:rPr/>
  </w:style>
  <w:style w:type="numbering" w:customStyle="1" w:styleId="Annexes">
    <w:name w:val="Annexes"/>
    <w:pPr>
      <w:numPr>
        <w:numId w:val="18"/>
      </w:numPr>
    </w:pPr>
  </w:style>
  <w:style w:type="numbering" w:customStyle="1" w:styleId="AnnexesF">
    <w:name w:val="AnnexesF"/>
    <w:basedOn w:val="NoList"/>
    <w:uiPriority w:val="99"/>
    <w:pPr>
      <w:numPr>
        <w:numId w:val="19"/>
      </w:numPr>
    </w:pPr>
  </w:style>
  <w:style w:type="paragraph" w:styleId="BalloonText">
    <w:name w:val="Balloon Text"/>
    <w:basedOn w:val="Normal"/>
    <w:link w:val="BalloonTextChar"/>
    <w:uiPriority w:val="99"/>
    <w:semiHidden/>
    <w:unhideWhenUse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character" w:styleId="UnresolvedMention">
    <w:name w:val="Unresolved Mention"/>
    <w:basedOn w:val="DefaultParagraphFont"/>
    <w:uiPriority w:val="99"/>
    <w:semiHidden/>
    <w:unhideWhenUsed/>
    <w:rPr>
      <w:color w:val="605E5C"/>
      <w:shd w:val="clear" w:color="auto" w:fill="E1DFDD"/>
    </w:rPr>
  </w:style>
  <w:style w:type="paragraph" w:customStyle="1" w:styleId="Special">
    <w:name w:val="Special"/>
    <w:basedOn w:val="Normal"/>
    <w:next w:val="Normal"/>
    <w:pPr>
      <w:spacing w:after="240" w:line="230" w:lineRule="atLeast"/>
      <w:jc w:val="both"/>
    </w:pPr>
    <w:rPr>
      <w:rFonts w:eastAsia="MS Mincho" w:cs="Times New Roman"/>
    </w:rPr>
  </w:style>
  <w:style w:type="paragraph" w:customStyle="1" w:styleId="MTDisplayEquation">
    <w:name w:val="MTDisplayEquation"/>
    <w:basedOn w:val="ListBullet"/>
    <w:link w:val="MTDisplayEquationChar"/>
    <w:pPr>
      <w:keepNext/>
    </w:pPr>
  </w:style>
  <w:style w:type="character" w:customStyle="1" w:styleId="ListBulletChar">
    <w:name w:val="List Bullet Char"/>
    <w:basedOn w:val="DefaultParagraphFont"/>
    <w:link w:val="ListBullet"/>
    <w:rPr>
      <w:spacing w:val="8"/>
    </w:rPr>
  </w:style>
  <w:style w:type="character" w:customStyle="1" w:styleId="MTDisplayEquationChar">
    <w:name w:val="MTDisplayEquation Char"/>
    <w:basedOn w:val="ListBulletChar"/>
    <w:link w:val="MTDisplayEquation"/>
    <w:rPr>
      <w:spacing w:val="8"/>
    </w:rPr>
  </w:style>
  <w:style xmlns:w="http://schemas.openxmlformats.org/wordprocessingml/2006/main" w:type="paragraph" w:customStyle="1" w:styleId="spacer">
    <w:name w:val="spacer"/>
    <w:basedOn w:val="PARAGRAPH"/>
    <w:next w:val="PARAGRAPH"/>
    <w:qFormat/>
    <w:pPr>
      <w:spacing w:before="0" w:after="0"/>
    </w:pPr>
    <w:rPr>
      <w:sz w:val="14"/>
      <w:szCs w:val="14"/>
    </w:rPr>
  </w:style>
</w:styles>
</file>

<file path=word/_rels/document.xml.rels>&#65279;<?xml version="1.0" encoding="utf-8"?><Relationships xmlns="http://schemas.openxmlformats.org/package/2006/relationships"><Relationship Type="http://schemas.openxmlformats.org/officeDocument/2006/relationships/styles" Target="styles.xml" Id="rIdStyles" /><Relationship Type="http://schemas.openxmlformats.org/officeDocument/2006/relationships/numbering" Target="numbering.xml" Id="rIdNumbering" /><Relationship Type="http://schemas.openxmlformats.org/officeDocument/2006/relationships/settings" Target="settings.xml" Id="rIdSettings" /><Relationship Type="http://schemas.openxmlformats.org/officeDocument/2006/relationships/fontTable" Target="fontTable.xml" Id="rIdFontTable" /><Relationship Type="http://schemas.openxmlformats.org/officeDocument/2006/relationships/theme" Target="theme/theme1.xml" Id="rIdTheme" /><Relationship Type="http://schemas.openxmlformats.org/officeDocument/2006/relationships/header" Target="header1.xml" Id="rIdHdrBlank" /><Relationship Type="http://schemas.openxmlformats.org/officeDocument/2006/relationships/header" Target="header2.xml" Id="rIdHdrEven" /><Relationship Type="http://schemas.openxmlformats.org/officeDocument/2006/relationships/header" Target="header3.xml" Id="rIdHdrOdd" /><Relationship Type="http://schemas.openxmlformats.org/officeDocument/2006/relationships/image" Target="media/image.png" Id="Rbbcb25eee62b4e80" /><Relationship Type="http://schemas.openxmlformats.org/officeDocument/2006/relationships/image" Target="media/image2.png" Id="R053d6c3e6cd044cf" /><Relationship Type="http://schemas.openxmlformats.org/officeDocument/2006/relationships/hyperlink" Target="http://www.opcfoundation.org/documents/10000-1/" TargetMode="External" Id="R2bc927efd9e34e87" /><Relationship Type="http://schemas.openxmlformats.org/officeDocument/2006/relationships/hyperlink" Target="http://www.opcfoundation.org/documents/10000-2/" TargetMode="External" Id="R65679c08634841b1" /><Relationship Type="http://schemas.openxmlformats.org/officeDocument/2006/relationships/hyperlink" Target="http://www.opcfoundation.org/documents/10000-3/" TargetMode="External" Id="R89d2d5c7dcbb40bc" /><Relationship Type="http://schemas.openxmlformats.org/officeDocument/2006/relationships/hyperlink" Target="http://www.opcfoundation.org/documents/10000-4/" TargetMode="External" Id="R18eda28859554c87" /><Relationship Type="http://schemas.openxmlformats.org/officeDocument/2006/relationships/hyperlink" Target="http://www.opcfoundation.org/documents/10000-5/" TargetMode="External" Id="R943b407dfa9649d6" /><Relationship Type="http://schemas.openxmlformats.org/officeDocument/2006/relationships/hyperlink" Target="http://www.opcfoundation.org/documents/10000-6/" TargetMode="External" Id="R0d80e99d34534b7c" /><Relationship Type="http://schemas.openxmlformats.org/officeDocument/2006/relationships/hyperlink" Target="http://www.opcfoundation.org/documents/10000-7/" TargetMode="External" Id="R80fb01fca1c94cf3" /><Relationship Type="http://schemas.openxmlformats.org/officeDocument/2006/relationships/hyperlink" Target="http://www.opcfoundation.org/documents/10000-8/" TargetMode="External" Id="Rd792a4cdcec64067" /><Relationship Type="http://schemas.openxmlformats.org/officeDocument/2006/relationships/hyperlink" Target="http://www.opcfoundation.org/documents/10000-9/" TargetMode="External" Id="R1896e9a812d1488d" /><Relationship Type="http://schemas.openxmlformats.org/officeDocument/2006/relationships/hyperlink" Target="http://www.opcfoundation.org/documents/10000-10/" TargetMode="External" Id="Ree71aa7773e84c3a" /><Relationship Type="http://schemas.openxmlformats.org/officeDocument/2006/relationships/hyperlink" Target="http://www.opcfoundation.org/documents/10000-11/" TargetMode="External" Id="R445e9fdcb0314039" /><Relationship Type="http://schemas.openxmlformats.org/officeDocument/2006/relationships/hyperlink" Target="http://www.opcfoundation.org/documents/10000-13/" TargetMode="External" Id="Rfd699fd8fddd4050" /><Relationship Type="http://schemas.openxmlformats.org/officeDocument/2006/relationships/hyperlink" Target="http://www.opcfoundation.org/documents/10000-19/" TargetMode="External" Id="R1431416726dc415c" /><Relationship Type="http://schemas.openxmlformats.org/officeDocument/2006/relationships/hyperlink" Target="http://www.opcfoundation.org/documents/10000-100/" TargetMode="External" Id="R2ec7b9c3df364aed" /><Relationship Type="http://schemas.openxmlformats.org/officeDocument/2006/relationships/hyperlink" Target="https://datatracker.ietf.org/doc/html/rfc5280" TargetMode="External" Id="R826cf0a5b5984de0" /><Relationship Type="http://schemas.openxmlformats.org/officeDocument/2006/relationships/hyperlink" Target="https://www.isa.org/products/isa-tr88-00-02-2022-machine-and-unit-states-an-imp" TargetMode="External" Id="Rc69591335d0b4b65" /><Relationship Type="http://schemas.openxmlformats.org/officeDocument/2006/relationships/hyperlink" Target="https://www.isa.org/store/products/product-detail/?productId=116649" TargetMode="External" Id="R6008dc209b5348ba" /><Relationship Type="http://schemas.openxmlformats.org/officeDocument/2006/relationships/hyperlink" Target="https://opcfoundation.org/developer-tools/specifications-unified-architecture/opc-unified-architecture-plcopen-information-model/" TargetMode="External" Id="Rad4a398c27dd4290" /><Relationship Type="http://schemas.openxmlformats.org/officeDocument/2006/relationships/image" Target="media/image3.png" Id="R7d3f1d2df71441c9" /><Relationship Type="http://schemas.openxmlformats.org/officeDocument/2006/relationships/image" Target="media/image4.png" Id="Rb14b7e2239f841ca" /><Relationship Type="http://schemas.openxmlformats.org/officeDocument/2006/relationships/image" Target="media/image5.png" Id="R02f087b3734249ae" /><Relationship Type="http://schemas.openxmlformats.org/officeDocument/2006/relationships/image" Target="media/image6.png" Id="R86372ae0d1984ea9" /><Relationship Type="http://schemas.openxmlformats.org/officeDocument/2006/relationships/image" Target="media/image7.png" Id="Rbe9d98fc95a04882" /><Relationship Type="http://schemas.openxmlformats.org/officeDocument/2006/relationships/image" Target="media/image8.png" Id="R968a8dcf919e4fc8" /><Relationship Type="http://schemas.openxmlformats.org/officeDocument/2006/relationships/image" Target="media/image9.png" Id="R9627df5a187b49c4" /><Relationship Type="http://schemas.openxmlformats.org/officeDocument/2006/relationships/image" Target="media/image10.png" Id="Re11e1743c5724b21" /><Relationship Type="http://schemas.openxmlformats.org/officeDocument/2006/relationships/image" Target="media/image11.png" Id="Rd7366062168940eb" /><Relationship Type="http://schemas.openxmlformats.org/officeDocument/2006/relationships/image" Target="media/image12.png" Id="R16082376092c441b" /><Relationship Type="http://schemas.openxmlformats.org/officeDocument/2006/relationships/image" Target="media/image13.png" Id="R21e1ba8da80c41d1" /><Relationship Type="http://schemas.openxmlformats.org/officeDocument/2006/relationships/image" Target="media/image14.png" Id="Rd6532e4bf62c467a" /><Relationship Type="http://schemas.openxmlformats.org/officeDocument/2006/relationships/image" Target="media/image15.png" Id="Rb8194332c42d461f" /><Relationship Type="http://schemas.openxmlformats.org/officeDocument/2006/relationships/image" Target="media/image16.png" Id="R22472f3ab3e946c6" /><Relationship Type="http://schemas.openxmlformats.org/officeDocument/2006/relationships/image" Target="media/image17.png" Id="R3724f7b856014036" /><Relationship Type="http://schemas.openxmlformats.org/officeDocument/2006/relationships/image" Target="media/image18.png" Id="R5a6f1809508a4795" /><Relationship Type="http://schemas.openxmlformats.org/officeDocument/2006/relationships/image" Target="media/image19.png" Id="Ra4a5641bbfc045ff" /><Relationship Type="http://schemas.openxmlformats.org/officeDocument/2006/relationships/image" Target="media/image20.png" Id="R3e37d43e672e4086" /><Relationship Type="http://schemas.openxmlformats.org/officeDocument/2006/relationships/image" Target="media/image21.png" Id="Ra72b90d637ca4aaf" /><Relationship Type="http://schemas.openxmlformats.org/officeDocument/2006/relationships/image" Target="media/image22.png" Id="R037c8854e4ed4096" /><Relationship Type="http://schemas.openxmlformats.org/officeDocument/2006/relationships/hyperlink" Target="http://opcfoundation.org/UA-Profile/PackML/Server/PackMLBaseServerFacet" TargetMode="External" Id="R5380716e60a5456c" /><Relationship Type="http://schemas.openxmlformats.org/officeDocument/2006/relationships/hyperlink" Target="http://opcfoundation.org/UA-Profile/PackML/Client/PackMLBaseClientFacet" TargetMode="External" Id="Re02339cd195f47a9" /><Relationship Type="http://schemas.openxmlformats.org/officeDocument/2006/relationships/hyperlink" Target="http://opcfoundation.org/UA/PackML/" TargetMode="External" Id="R64b0724c5296468c" /><Relationship Type="http://schemas.openxmlformats.org/officeDocument/2006/relationships/hyperlink" Target="https://reference.opcfoundation.org/nodesets?u=http://opcfoundation.org/UA/PackML/" TargetMode="External" Id="R240a06e547784780" /><Relationship Type="http://schemas.openxmlformats.org/officeDocument/2006/relationships/hyperlink" Target="https://reference.opcfoundation.org/nodesets/?u=http://opcfoundation.org/UA/PackML/&amp;v=2.0.0&amp;i=1" TargetMode="External" Id="Rab8ab35a8b8c4057" /><Relationship Type="http://schemas.openxmlformats.org/officeDocument/2006/relationships/hyperlink" Target="https://reference.opcfoundation.org/nodesets/?u=http://opcfoundation.org/UA/PackML/&amp;i=1" TargetMode="External" Id="R06fe3d25bb2c468d" /><Relationship Type="http://schemas.openxmlformats.org/officeDocument/2006/relationships/hyperlink" Target="https://reference.opcfoundation.org/nodesets/?u=http://opcfoundation.org/UA/PackML/&amp;v=2.0.0&amp;i=2" TargetMode="External" Id="R84f354ae9bf4473a" /><Relationship Type="http://schemas.openxmlformats.org/officeDocument/2006/relationships/hyperlink" Target="https://reference.opcfoundation.org/nodesets/?u=http://opcfoundation.org/UA/PackML/&amp;i=2" TargetMode="External" Id="R6ff4157149d649ed"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vt="http://schemas.openxmlformats.org/officeDocument/2006/docPropsVTypes" xmlns:ap="http://schemas.openxmlformats.org/officeDocument/2006/extended-properties">
  <ap:Application>Opc.Ua.SpecificationPublisher</ap:Application>
  <ap:DocSecurity>0</ap:DocSecurity>
  <ap:ScaleCrop>false</ap:ScaleCrop>
  <ap:Company>OPC Foundation</ap:Company>
  <ap:LinksUpToDate>false</ap:LinksUpToDate>
  <ap:SharedDoc>false</ap:SharedDoc>
  <ap:HyperlinksChanged>false</ap:HyperlinksChanged>
</ap:Properties>
</file>

<file path=docProps/core.xml><?xml version="1.0" encoding="utf-8"?>
<coreProperties xmlns:dc="http://purl.org/dc/elements/1.1/" xmlns:dcterms="http://purl.org/dc/terms/" xmlns:xsi="http://www.w3.org/2001/XMLSchema-instance" xmlns="http://schemas.openxmlformats.org/package/2006/metadata/core-properties">
  <dc:title>OPC UA for PackML</dc:title>
  <dc:subject>Industrial Communication</dc:subject>
  <dc:creator>OPC Foundation</dc:creator>
  <keywords/>
  <dc:description>Report or view errata: https://opcfoundation.org/errata</dc:description>
  <dc:language>en-GB</dc:language>
  <lastModifiedBy/>
  <revision>1</revision>
  <dcterms:created xsi:type="dcterms:W3CDTF">2026-08-25T00:00:00.0000000Z</dcterms:creat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DocNumber">
    <vt:lpwstr>OPC 30050</vt:lpwstr>
  </op:property>
  <op:property fmtid="{D5CDD505-2E9C-101B-9397-08002B2CF9AE}" pid="3" name="Part Name">
    <vt:lpwstr>OPC UA for PackML</vt:lpwstr>
  </op:property>
  <op:property fmtid="{D5CDD505-2E9C-101B-9397-08002B2CF9AE}" pid="4" name="Part Number">
    <vt:lpwstr>OPC 30050</vt:lpwstr>
  </op:property>
  <op:property fmtid="{D5CDD505-2E9C-101B-9397-08002B2CF9AE}" pid="5" name="OPCVersion">
    <vt:lpwstr>2.0.0</vt:lpwstr>
  </op:property>
  <op:property fmtid="{D5CDD505-2E9C-101B-9397-08002B2CF9AE}" pid="6" name="OPCReleaseType">
    <vt:lpwstr>Draft</vt:lpwstr>
  </op:property>
  <op:property fmtid="{D5CDD505-2E9C-101B-9397-08002B2CF9AE}" pid="7" name="Date completed">
    <vt:lpwstr>2026-08-25</vt:lpwstr>
  </op:property>
  <op:property fmtid="{D5CDD505-2E9C-101B-9397-08002B2CF9AE}" pid="8" name="HeaderLeft">
    <vt:lpwstr>OPC 30050</vt:lpwstr>
  </op:property>
  <op:property fmtid="{D5CDD505-2E9C-101B-9397-08002B2CF9AE}" pid="9" name="HeaderRight">
    <vt:lpwstr>OPC UA for PackML</vt:lpwstr>
  </op:property>
  <op:property fmtid="{D5CDD505-2E9C-101B-9397-08002B2CF9AE}" pid="10" name="TemplateSource">
    <vt:lpwstr>iecstd_v8.dotm</vt:lpwstr>
  </op:property>
  <op:property fmtid="{D5CDD505-2E9C-101B-9397-08002B2CF9AE}" pid="11" name="Author">
    <vt:lpwstr>OPC Foundation</vt:lpwstr>
  </op:property>
  <op:property fmtid="{D5CDD505-2E9C-101B-9397-08002B2CF9AE}" pid="12" name="DocumentClass">
    <vt:lpwstr>OPC UA Companion Specification</vt:lpwstr>
  </op:property>
</op:Properties>
</file>