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D79A43"/>
          <w:sz w:val="19"/>
        </w:rPr>
        <w:t>TECHNICAL ARCHITECTURE DESIGN</w:t>
      </w:r>
    </w:p>
    <w:p>
      <w:pPr>
        <w:spacing w:before="0" w:after="120"/>
      </w:pPr>
      <w:r>
        <w:rPr>
          <w:rFonts w:ascii="Calibri" w:hAnsi="Calibri" w:eastAsia="Microsoft YaHei"/>
          <w:b/>
          <w:color w:val="173C3B"/>
          <w:sz w:val="50"/>
        </w:rPr>
        <w:t>中小学游学管理桌面端 MVP</w:t>
      </w:r>
    </w:p>
    <w:p>
      <w:pPr>
        <w:spacing w:after="280"/>
      </w:pPr>
      <w:r>
        <w:rPr>
          <w:rFonts w:ascii="Calibri" w:hAnsi="Calibri" w:eastAsia="Microsoft YaHei"/>
          <w:color w:val="5F6B66"/>
          <w:sz w:val="26"/>
        </w:rPr>
        <w:t>技术架构选型与工程设计 · 第一期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版本：</w:t>
      </w:r>
      <w:r>
        <w:rPr>
          <w:rFonts w:ascii="Calibri" w:hAnsi="Calibri" w:eastAsia="Microsoft YaHei"/>
          <w:color w:val="17211D"/>
          <w:sz w:val="21"/>
        </w:rPr>
        <w:t>v1.0 / 架构评审稿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日期：</w:t>
      </w:r>
      <w:r>
        <w:rPr>
          <w:rFonts w:ascii="Calibri" w:hAnsi="Calibri" w:eastAsia="Microsoft YaHei"/>
          <w:color w:val="17211D"/>
          <w:sz w:val="21"/>
        </w:rPr>
        <w:t>2026 年 8 月 15 日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目标框架：</w:t>
      </w:r>
      <w:r>
        <w:rPr>
          <w:rFonts w:ascii="Calibri" w:hAnsi="Calibri" w:eastAsia="Microsoft YaHei"/>
          <w:color w:val="17211D"/>
          <w:sz w:val="21"/>
        </w:rPr>
        <w:t>Electron 桌面应用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设计原则：</w:t>
      </w:r>
      <w:r>
        <w:rPr>
          <w:rFonts w:ascii="Calibri" w:hAnsi="Calibri" w:eastAsia="Microsoft YaHei"/>
          <w:color w:val="17211D"/>
          <w:sz w:val="21"/>
        </w:rPr>
        <w:t>本地优先、异步任务、可恢复、可替换 AI、模板版本化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关联文档：</w:t>
      </w:r>
      <w:r>
        <w:rPr>
          <w:rFonts w:ascii="Calibri" w:hAnsi="Calibri" w:eastAsia="Microsoft YaHei"/>
          <w:color w:val="17211D"/>
          <w:sz w:val="21"/>
        </w:rPr>
        <w:t>《游学管理桌面端 MVP - PRD 与用户使用手册 v1.0》</w:t>
      </w:r>
    </w:p>
    <w:p>
      <w:pPr>
        <w:spacing w:before="160" w:after="320"/>
        <w:pBdr>
          <w:bottom w:val="single" w:sz="18" w:space="5" w:color="2D7B72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2D7B72"/>
          <w:left w:val="single" w:sz="8" w:color="2D7B72"/>
          <w:bottom w:val="single" w:sz="8" w:color="2D7B72"/>
          <w:right w:val="single" w:sz="8" w:color="2D7B72"/>
          <w:insideH w:val="single" w:sz="8" w:color="2D7B72"/>
          <w:insideV w:val="single" w:sz="8" w:color="2D7B7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7B72"/>
                <w:sz w:val="21"/>
              </w:rPr>
              <w:t xml:space="preserve">推荐结论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Electron + React/TypeScript 构建界面与应用编排；FFmpeg/ffprobe 负责媒体标准化；PySceneDetect + OpenCV sidecar 负责场景与关键帧；whisper.cpp 负责本地中文转写；SQLite 保存项目状态；HTML/CSS + Electron printToPDF 生成页面，pdf-lib 合并与加封面。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架构决策摘要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512"/>
        <w:gridCol w:w="2376"/>
        <w:gridCol w:w="3672"/>
        <w:gridCol w:w="1800"/>
      </w:tblGrid>
      <w:tr>
        <w:trPr>
          <w:tblHeader w:val="true"/>
        </w:trPr>
        <w:tc>
          <w:tcPr>
            <w:tcW w:type="dxa" w:w="15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决策域</w:t>
            </w:r>
          </w:p>
        </w:tc>
        <w:tc>
          <w:tcPr>
            <w:tcW w:type="dxa" w:w="237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推荐选型</w:t>
            </w:r>
          </w:p>
        </w:tc>
        <w:tc>
          <w:tcPr>
            <w:tcW w:type="dxa" w:w="367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为什么适合一期</w:t>
            </w:r>
          </w:p>
        </w:tc>
        <w:tc>
          <w:tcPr>
            <w:tcW w:type="dxa" w:w="180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主要代价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桌面壳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Electron（开发启动时锁定稳定版）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成熟跨平台能力、Node 系统接口、HTML 模板可复用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包体与内存较大，需严格进程隔离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渲染层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React + TypeScript + Vite + Ant Design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复杂选择工作台与表单生态成熟，适合中文管理端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需控制状态粒度与渲染性能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媒体处理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FFmpeg / ffprobe 子进程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编解码、缩放、音频提取、截图能力完整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二进制分发与许可证合规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场景/关键帧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Python sidecar：PySceneDetect + OpenCV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算法可快速迭代，支持多种检测器与图像质量评分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跨平台打包、进程通信与体积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语音转写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whisper.cpp 本地 CLI/sidecar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离线、可控、易按模型档位适配硬件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模型下载与 CPU/GPU 性能差异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本地数据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SQLite + better-sqlite3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单机、单文件、事务与查询能力足够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Electron ABI 重编译与写入串行化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PDF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HTML/CSS → printToPDF；pdf-lib 合并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模板与预览同源，合并无需额外服务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字体嵌入、分页与跨版本一致性需测试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任务系统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SQLite 持久化队列 + child_process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无 Redis/服务端依赖，重启可恢复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需自建心跳、取消和重试协议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/>
          <w:color w:val="5F6B66"/>
          <w:sz w:val="22"/>
        </w:rPr>
        <w:t>版本策略：本文件不把 2026 年 8 月的“最新版本号”写死为长期承诺。开发启动时以官方稳定版、Electron/Node ABI 与打包兼容性为准，形成锁文件和 SBOM；每个大版本升级单独评估。</w:t>
      </w:r>
    </w:p>
    <w:p>
      <w:pPr>
        <w:pStyle w:val="Heading1"/>
      </w:pPr>
      <w:r>
        <w:t>1. 架构目标与质量属性</w:t>
      </w:r>
    </w:p>
    <w:p>
      <w:pPr>
        <w:pStyle w:val="Heading2"/>
      </w:pPr>
      <w:r>
        <w:t>1.1 关键驱动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长耗时、CPU/IO 密集的视频处理不能阻塞桌面 UI。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源素材可能包含未成年人，默认不应离开本机。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用户需要随时取消、重试、恢复并理解当前步骤。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分析算法和语音模型会迭代，业务层不能绑定某个单一实现。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PDF 预览必须尽可能接近最终输出，模板要可版本化和回放。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源文件可能被移动、外接设备可能断开，系统必须处理失联与重新定位。</w:t>
      </w:r>
    </w:p>
    <w:p>
      <w:pPr>
        <w:pStyle w:val="Heading2"/>
      </w:pPr>
      <w:r>
        <w:t>1.2 非功能目标（建议基线）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512"/>
        <w:gridCol w:w="3384"/>
        <w:gridCol w:w="4464"/>
      </w:tblGrid>
      <w:tr>
        <w:trPr>
          <w:tblHeader w:val="true"/>
        </w:trPr>
        <w:tc>
          <w:tcPr>
            <w:tcW w:type="dxa" w:w="15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属性</w:t>
            </w:r>
          </w:p>
        </w:tc>
        <w:tc>
          <w:tcPr>
            <w:tcW w:type="dxa" w:w="338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建议目标</w:t>
            </w:r>
          </w:p>
        </w:tc>
        <w:tc>
          <w:tcPr>
            <w:tcW w:type="dxa" w:w="446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工程措施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响应性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分析中导航、列表滚动与编辑无明显卡顿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所有媒体/AI 工作移出 renderer；IPC 只传元数据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可恢复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崩溃/重启后任务状态可确定，已完成产物可复用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持久化 job、step、heartbeat、fingerprint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可取消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用户取消后 2 秒内停止新步骤，底层进程最终终止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进程组、取消令牌、幂等清理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隐私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默认无源媒体网络上传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本地引擎默认；出站能力显式授权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可诊断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每个失败给用户动作与诊断码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结构化日志、任务事件、脱敏诊断包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性能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10 分钟 1080p 全流程 P50 ≤12 分钟（待实测）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代理视频、选择性转写、缓存、并发=1</w:t>
            </w:r>
          </w:p>
        </w:tc>
      </w:tr>
    </w:tbl>
    <w:p>
      <w:pPr>
        <w:spacing w:after="0"/>
      </w:pPr>
    </w:p>
    <w:p>
      <w:pPr>
        <w:pStyle w:val="Heading1"/>
      </w:pPr>
      <w:r>
        <w:t>2. 总体架构</w:t>
      </w:r>
    </w:p>
    <w:p>
      <w:pPr>
        <w:pStyle w:val="Heading2"/>
      </w:pPr>
      <w:r>
        <w:t>2.1 逻辑分层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4680"/>
        <w:gridCol w:w="3024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层</w:t>
            </w:r>
          </w:p>
        </w:tc>
        <w:tc>
          <w:tcPr>
            <w:tcW w:type="dxa" w:w="46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职责</w:t>
            </w:r>
          </w:p>
        </w:tc>
        <w:tc>
          <w:tcPr>
            <w:tcW w:type="dxa" w:w="302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进程/技术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表现层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工作台、场景选择、文字编辑、模板预览、列表详情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Electron renderer / React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安全桥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暴露最小 IPC API、参数校验、事件订阅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preload / contextBridge / Zod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项目、任务、媒体、片段、笔记、模板用例编排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Electron main / TypeScript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任务层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队列、进度、重试、取消、心跳、缓存复用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SQLite job store + worker/child process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媒体/AI 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探测、代理、场景、关键帧、ASR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FFmpeg、PySceneDetect/OpenCV、whisper.cpp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文档层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模板渲染、PDF 导出、封面与合并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offscreen BrowserWindow、printToPDF、pdf-lib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持久化层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业务元数据、产物清单、日志与用户文件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SQLite + 项目目录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2D7B72"/>
          <w:left w:val="single" w:sz="8" w:color="2D7B72"/>
          <w:bottom w:val="single" w:sz="8" w:color="2D7B72"/>
          <w:right w:val="single" w:sz="8" w:color="2D7B72"/>
          <w:insideH w:val="single" w:sz="8" w:color="2D7B72"/>
          <w:insideV w:val="single" w:sz="8" w:color="2D7B7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7B72"/>
                <w:sz w:val="21"/>
              </w:rPr>
              <w:t xml:space="preserve">边界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renderer 永远不直接访问文件系统、SQLite、FFmpeg 或 AI sidecar；所有特权操作经 preload 暴露的白名单 IPC 进入 main process。</w:t>
            </w:r>
          </w:p>
        </w:tc>
      </w:tr>
    </w:tbl>
    <w:p>
      <w:pPr>
        <w:spacing w:after="0"/>
      </w:pPr>
    </w:p>
    <w:p>
      <w:pPr>
        <w:pStyle w:val="Heading2"/>
      </w:pPr>
      <w:r>
        <w:t>2.2 建议的进程拓扑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Main process：窗口生命周期、IPC、任务编排、数据库、文件访问、PDF 导出。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Renderer process：纯 UI 与短生命周期状态；不启用 Node integration。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Utility/worker：可选地承载 CPU 较轻的索引、缩略图或校验任务。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FFmpeg/ffprobe child process：每个任务单独进程，解析 stderr 进度；取消时终止进程组。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Scene sidecar：Python 打包的可执行文件，通过 JSON Lines stdin/stdout 或本地命名管道通信。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ASR sidecar：whisper.cpp CLI/封装进程；输入临时 WAV，输出带时间戳 JSON/SRT。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PDF renderer：隐藏的、隔离的 BrowserWindow；加载本地模板数据，完成后销毁。</w:t>
      </w:r>
    </w:p>
    <w:p>
      <w:pPr>
        <w:pStyle w:val="Heading1"/>
      </w:pPr>
      <w:r>
        <w:t>3. 技术选型详解</w:t>
      </w:r>
    </w:p>
    <w:p>
      <w:pPr>
        <w:pStyle w:val="Heading2"/>
      </w:pPr>
      <w:r>
        <w:t>3.1 Electron 与前端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Electron 官方采用 main/renderer 多进程模型；主进程负责操作系统能力，renderer 负责 Web 内容。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启用 contextIsolation、sandbox，关闭 nodeIntegration；通过 contextBridge 暴露细粒度方法，不直接暴露 ipcRenderer。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React + TypeScript 适合高交互、多状态的场景/关键帧工作台；Vite 缩短开发反馈周期。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Ant Design 提供适合中文管理端的表格、表单、步骤条、树与状态反馈；视觉层再应用游学品牌 token。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应用状态分三类：服务器式持久状态由 repository/query hook 管理；向导草稿由局部 store 管理；瞬时 UI 状态保持组件内。</w:t>
      </w:r>
    </w:p>
    <w:p>
      <w:pPr>
        <w:pStyle w:val="Heading2"/>
      </w:pPr>
      <w:r>
        <w:t>3.2 FFmpeg / ffprobe</w:t>
      </w:r>
    </w:p>
    <w:p>
      <w:r>
        <w:rPr>
          <w:rFonts w:ascii="Calibri" w:hAnsi="Calibri" w:eastAsia="Microsoft YaHei"/>
          <w:i w:val="0"/>
          <w:color w:val="17211D"/>
          <w:sz w:val="22"/>
        </w:rPr>
        <w:t>FFmpeg 是媒体管线底座，统一承担元数据探测、代理压缩、按时间段提取音频、按时间戳导出静帧与必要的格式标准化。业务代码只构造经过验证的参数数组，不拼接 shell 字符串。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用途</w:t>
            </w:r>
          </w:p>
        </w:tc>
        <w:tc>
          <w:tcPr>
            <w:tcW w:type="dxa" w:w="76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建议策略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代理视频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保留宽高比，建议长边 960 或 1280；H.264/合理 CRF；音频可降采样；参数通过样例基准确定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音频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按场景起止时间导出单声道 16 kHz PCM WAV，供 ASR 使用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静帧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按候选 timestamp 精确导出 JPEG/PNG；保留原始时间戳与尺寸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进度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使用 -progress pipe 或解析稳定的进度输出，映射到统一 job event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安全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spawn(file, args[])；路径白名单/规范化；超时、退出码、stderr 均记录</w:t>
            </w:r>
          </w:p>
        </w:tc>
      </w:tr>
    </w:tbl>
    <w:p>
      <w:pPr>
        <w:spacing w:after="0"/>
      </w:pPr>
    </w:p>
    <w:p>
      <w:pPr>
        <w:pStyle w:val="Heading2"/>
      </w:pPr>
      <w:r>
        <w:t>3.3 场景检测与关键帧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MVP 以 PySceneDetect AdaptiveDetector/ContentDetector 为基线，使用代理视频降低成本。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检测结果持久化为 scene(startMs, endMs, detector, threshold, score)。参数写入分析指纹，便于缓存和重现。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每场景先采样 7-12 个候选点，再按清晰度（Laplacian）、曝光、运动模糊、时间覆盖与相似度去重选择 3-5 帧。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避免只取场景正中：对于讲解视频，起始/中段/结束的覆盖能保留“指向-细节-反应”等叙事变化。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一期不把深度视觉模型作为硬依赖；如基线对运镜场景效果不足，再评估 TransNetV2 等替代检测器。</w:t>
      </w:r>
    </w:p>
    <w:p>
      <w:pPr>
        <w:pStyle w:val="Heading2"/>
      </w:pPr>
      <w:r>
        <w:t>3.4 本地语音转写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whisper.cpp 提供 C/C++ 本地推理实现，适合离线桌面端；模型作为独立资源下载并校验哈希。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默认仅对用户已选场景提取音频与转写；缓存键包含音频指纹、模型、语言和参数。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输出保存原始 segments（start/end/text）和可编辑的 sceneDescription，避免用户编辑覆盖原始证据。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建议提供节能/均衡/高质量三个模型档位；首次使用明确显示下载体积与预计性能。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定义 AsrProvider 接口，未来可插入云端供应商，但默认实现不得依赖网络。</w:t>
      </w:r>
    </w:p>
    <w:p>
      <w:pPr>
        <w:pStyle w:val="Heading2"/>
      </w:pPr>
      <w:r>
        <w:t>3.5 SQLite 与文件存储</w:t>
      </w:r>
    </w:p>
    <w:p>
      <w:r>
        <w:rPr>
          <w:rFonts w:ascii="Calibri" w:hAnsi="Calibri" w:eastAsia="Microsoft YaHei"/>
          <w:i w:val="0"/>
          <w:color w:val="17211D"/>
          <w:sz w:val="22"/>
        </w:rPr>
        <w:t>SQLite 是进程内、无独立服务且单文件的事务数据库，适合单机桌面项目元数据。大体积媒体不写入数据库；数据库只保存路径、指纹、状态和结构化文本。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232"/>
        <w:gridCol w:w="3096"/>
        <w:gridCol w:w="4032"/>
      </w:tblGrid>
      <w:tr>
        <w:trPr>
          <w:tblHeader w:val="true"/>
        </w:trPr>
        <w:tc>
          <w:tcPr>
            <w:tcW w:type="dxa" w:w="22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存储对象</w:t>
            </w:r>
          </w:p>
        </w:tc>
        <w:tc>
          <w:tcPr>
            <w:tcW w:type="dxa" w:w="309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位置</w:t>
            </w:r>
          </w:p>
        </w:tc>
        <w:tc>
          <w:tcPr>
            <w:tcW w:type="dxa" w:w="40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策略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项目元数据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appData/catalog.sqlite 或项目内 project.sqlite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WAL、外键、迁移、定期备份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源视频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用户原位置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只读引用；保存规范化路径与指纹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代理/关键帧/音频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项目 cache/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可再生；按引用与 LRU 清理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转写与场景 JSON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SQLite + 可选 sidecar JSON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数据库为主；导出可回溯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片段/笔记 PDF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项目 exports/ 或用户指定目录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重要产物；删除需确认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日志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appData/logs/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轮转、脱敏、可导出诊断包</w:t>
            </w:r>
          </w:p>
        </w:tc>
      </w:tr>
    </w:tbl>
    <w:p>
      <w:pPr>
        <w:spacing w:after="0"/>
      </w:pPr>
    </w:p>
    <w:p>
      <w:pPr>
        <w:pStyle w:val="Heading2"/>
      </w:pPr>
      <w:r>
        <w:t>3.6 PDF 与模板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模板包包含 manifest.json、版本、封面/内容页 HTML/CSS、字体声明、缩略图和数据 schema。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预览与导出共用同一 React/HTML 渲染组件；预览只改变缩放，内容尺寸仍按 A4 页面计算。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使用隐藏 BrowserWindow 等待字体与图片加载完成，再调用 webContents.printToPDF。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游学片段以一次 printToPDF 生成多页；游学笔记用 pdf-lib copyPages 合并并插入封面。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输出记录 templateId/version 与 source fingerprints；模板升级不自动改变历史文件。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中文字体必须明确授权与嵌入策略；在 Windows/macOS 参考环境做 PDF 字体和分页回归。</w:t>
      </w:r>
    </w:p>
    <w:p>
      <w:pPr>
        <w:pStyle w:val="Heading1"/>
      </w:pPr>
      <w:r>
        <w:t>4. 媒体处理管线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936"/>
        <w:gridCol w:w="1656"/>
        <w:gridCol w:w="2592"/>
        <w:gridCol w:w="2520"/>
        <w:gridCol w:w="1656"/>
      </w:tblGrid>
      <w:tr>
        <w:trPr>
          <w:tblHeader w:val="true"/>
        </w:trPr>
        <w:tc>
          <w:tcPr>
            <w:tcW w:type="dxa" w:w="93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Step</w:t>
            </w:r>
          </w:p>
        </w:tc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输入</w:t>
            </w:r>
          </w:p>
        </w:tc>
        <w:tc>
          <w:tcPr>
            <w:tcW w:type="dxa" w:w="259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处理</w:t>
            </w:r>
          </w:p>
        </w:tc>
        <w:tc>
          <w:tcPr>
            <w:tcW w:type="dxa" w:w="252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输出/缓存键</w:t>
            </w:r>
          </w:p>
        </w:tc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失败恢复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P0 Probe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源视频路径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ffprobe 元数据、hash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video + sourceFingerprint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重新定位/重新读取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P1 Proxy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源视频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缩放与转码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proxy.mp4 + profileHash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复用已完成代理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P2 Detect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代理视频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场景检测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scenes.json + detectorHash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只重跑检测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P3 Frames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场景列表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候选采样、质量评分、去重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frames/ + framePolicyHash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按缺失场景补跑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P4 Select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用户操作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三态选择与排序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selected set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自动保存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P5 Audio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已选场景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分段提取 WAV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audio/{scene}.wav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仅补跑失败场景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P6 ASR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 WAV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whisper.cpp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segments + transcriptHash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换模型/重试/手填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P7 Render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场景内容 + 模板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HTML 渲染 / printToPDF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clip.pdf + renderHash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保留草稿，重导出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6"/>
              </w:rPr>
              <w:t>P8 Merge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1..N clip.pdf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封面 + copyPages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note.pdf + mergeManifest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重新定位或排除缺失</w:t>
            </w:r>
          </w:p>
        </w:tc>
      </w:tr>
    </w:tbl>
    <w:p>
      <w:pPr>
        <w:spacing w:after="0"/>
      </w:pPr>
    </w:p>
    <w:p>
      <w:pPr>
        <w:pStyle w:val="Heading2"/>
      </w:pPr>
      <w:r>
        <w:t>4.1 缓存与幂等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每一步的输入由上游指纹 + 当前算法/模型/模板版本构成；完全相同则复用产物。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任务先写 planned/started，再原子写入临时文件，成功后 rename 到最终路径并提交数据库事务。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同一视频同一步骤避免并发重复执行；媒体重任务默认全局并发 1，轻任务可并发 2-4。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取消不删除可复用的完整产物，只清理当前步骤的临时文件。</w:t>
      </w:r>
    </w:p>
    <w:p>
      <w:pPr>
        <w:pStyle w:val="Heading2"/>
      </w:pPr>
      <w:r>
        <w:t>4.2 选择后转写的编排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renderer 提交 selectionRevision 与 selectedSceneIds/selectedFrameIds。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main 在事务中校验场景/帧归属与至少一帧规则，保存新 revision。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orchestrator 为每个已选场景创建 AudioExtract 与 ASR 子任务；未选场景不创建。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任务事件通过节流后的 IPC 推送进度；renderer 断开不影响任务。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所有场景成功或进入可手填状态后，向导开放模板步骤。</w:t>
      </w:r>
    </w:p>
    <w:p>
      <w:pPr>
        <w:pStyle w:val="Heading1"/>
      </w:pPr>
      <w:r>
        <w:t>5. 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800"/>
        <w:gridCol w:w="2088"/>
        <w:gridCol w:w="5472"/>
      </w:tblGrid>
      <w:tr>
        <w:trPr>
          <w:tblHeader w:val="true"/>
        </w:trPr>
        <w:tc>
          <w:tcPr>
            <w:tcW w:type="dxa" w:w="180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实体</w:t>
            </w:r>
          </w:p>
        </w:tc>
        <w:tc>
          <w:tcPr>
            <w:tcW w:type="dxa" w:w="208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主键/关系</w:t>
            </w:r>
          </w:p>
        </w:tc>
        <w:tc>
          <w:tcPr>
            <w:tcW w:type="dxa" w:w="547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核心字段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Project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name, rootDir, createdAt, lastOpenedAt, schemaVersion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Video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projectId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sourcePath, sourceFingerprint, proxyPath, metadataJson, status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Scene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videoId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index, startMs, endMs, detectorJson, selectionState, title, 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Keyframe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sceneId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timestampMs, imagePath, qualityJson, selected, sortOrder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Transcript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sceneId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provider, model, language, rawText, segmentsJson, status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Template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 + version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type, path, schemaVersion, checksum, enabled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StudyClip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videoId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pdfPath, templateId/version, manifestJson, pageCount, status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StudyNote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title, coverMode, coverAssetPath, coverTemplate, pdfPath, status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StudyNoteItem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noteId + clipId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sortOrder, sourcePdfFingerprint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Job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id; parentJobId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type, entityId, status, step, progress, inputHash, heartbeatAt, errorJson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selectionState 可派生，但为快速查询可冗余保存并在事务内校验：0 帧=none，全部=all，其余=partial。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所有时间统一使用整数毫秒；显示层再格式化为 HH:MM:SS.mmm。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路径存储规范化绝对路径；跨设备迁移通过项目 manifest 和重新定位流程处理。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数据库迁移只向前执行；升级前自动备份 catalog.sqlite。</w:t>
      </w:r>
    </w:p>
    <w:p>
      <w:pPr>
        <w:pStyle w:val="Heading1"/>
      </w:pPr>
      <w:r>
        <w:t>6. IPC 与模块接口</w:t>
      </w:r>
    </w:p>
    <w:p>
      <w:pPr>
        <w:pStyle w:val="Heading2"/>
      </w:pPr>
      <w:r>
        <w:t>6.1 preload 白名单 API（示意）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800"/>
        <w:gridCol w:w="4680"/>
        <w:gridCol w:w="2880"/>
      </w:tblGrid>
      <w:tr>
        <w:trPr>
          <w:tblHeader w:val="true"/>
        </w:trPr>
        <w:tc>
          <w:tcPr>
            <w:tcW w:type="dxa" w:w="180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命名空间</w:t>
            </w:r>
          </w:p>
        </w:tc>
        <w:tc>
          <w:tcPr>
            <w:tcW w:type="dxa" w:w="46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只暴露的能力</w:t>
            </w:r>
          </w:p>
        </w:tc>
        <w:tc>
          <w:tcPr>
            <w:tcW w:type="dxa" w:w="28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禁止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projects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open/create/getRecent/reveal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任意路径读写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videos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pick/import/get/relocate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直接执行 shell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analysis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start/cancel/retry/get/onProgress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renderer 传入任意命令参数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selection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save/get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跨视频引用 scene/frame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transcripts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start/updateDescription/get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覆盖原始 segments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templates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list/getPreview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加载未签名远程脚本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exports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preview/createClip/createNote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静默覆盖文件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每个 IPC request/response 使用 Zod schema 校验并返回 Result&lt;T, AppError&gt;。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进度事件包含 jobId、sequence、step、progress、messageKey；renderer 根据 sequence 去重。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IPC 不传视频 buffer 或大图 base64；只传受控的 app-media:// URL 或缩略图路径令牌。</w:t>
      </w:r>
    </w:p>
    <w:p>
      <w:pPr>
        <w:pStyle w:val="Heading2"/>
      </w:pPr>
      <w:r>
        <w:t>6.2 可替换 provider 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088"/>
        <w:gridCol w:w="4824"/>
        <w:gridCol w:w="2448"/>
      </w:tblGrid>
      <w:tr>
        <w:trPr>
          <w:tblHeader w:val="true"/>
        </w:trPr>
        <w:tc>
          <w:tcPr>
            <w:tcW w:type="dxa" w:w="208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接口</w:t>
            </w:r>
          </w:p>
        </w:tc>
        <w:tc>
          <w:tcPr>
            <w:tcW w:type="dxa" w:w="482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核心方法</w:t>
            </w:r>
          </w:p>
        </w:tc>
        <w:tc>
          <w:tcPr>
            <w:tcW w:type="dxa" w:w="244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默认实现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SceneDetector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detect(proxyPath, options) → scenes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PySceneDetect sidecar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KeyframeSelector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select(scene, candidatePolicy) → frames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OpenCV quality + diversity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AsrProvider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transcribe(wavPath, options) → segments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whisper.cpp local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TemplateRenderer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preview/render(data, templateVersion)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Electron/Chromium HTML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PdfComposer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merge(cover, clipPaths, metadata)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pdf-lib</w:t>
            </w:r>
          </w:p>
        </w:tc>
      </w:tr>
    </w:tbl>
    <w:p>
      <w:pPr>
        <w:spacing w:after="0"/>
      </w:pPr>
    </w:p>
    <w:p>
      <w:pPr>
        <w:pStyle w:val="Heading1"/>
      </w:pPr>
      <w:r>
        <w:t>7. 安全与隐私设计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威胁/风险</w:t>
            </w:r>
          </w:p>
        </w:tc>
        <w:tc>
          <w:tcPr>
            <w:tcW w:type="dxa" w:w="64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控制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Renderer XSS 获得本机能力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contextIsolation=true、sandbox=true、nodeIntegration=false、CSP、contextBridge 最小 API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IPC 参数注入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schema 校验、路径规范化、实体归属校验、固定命令与参数白名单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命令注入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不使用 shell=true；spawn 可执行文件和 args 数组；拒绝未受信二进制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恶意/损坏媒体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隔离子进程、超时/内存限制、仅在项目临时目录写入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模板执行任意脚本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模板为受信本地包；禁远程资源；单独 session；严格 CSP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未成年人数据外泄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本地处理默认、诊断脱敏、云端 provider 显式授权、可审计出站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路径穿越/覆盖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resolve 后校验位于允许目录；临时文件 + 原子 rename；重名必须确认</w:t>
            </w:r>
          </w:p>
        </w:tc>
      </w:tr>
    </w:tbl>
    <w:p>
      <w:pPr>
        <w:spacing w:after="0"/>
      </w:pPr>
    </w:p>
    <w:p>
      <w:pPr>
        <w:pStyle w:val="Heading1"/>
      </w:pPr>
      <w:r>
        <w:t>8. 打包、更新与资源交付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建议 electron-builder/electron-forge 二选一；项目初始化后尽早验证 Windows/macOS 签名、原生模块和 sidecar 路径。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FFmpeg、scene sidecar、whisper.cpp 按 OS/arch 放入 resources/bin，并在启动时校验版本与 checksum。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ASR 模型不建议全部内置：首次按档位下载，支持断点续传、hash 校验、磁盘空间提示和删除。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better-sqlite3 属于原生模块，需要与 Electron ABI 匹配并在 CI 中重编译/验证。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自动更新只更新应用和小型模板；大型模型独立版本与下载通道。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生成 SBOM，跟踪 Electron/Chromium、FFmpeg、Python 包、模型与许可证；FFmpeg 编码器组合需法务确认。</w:t>
      </w:r>
    </w:p>
    <w:p>
      <w:pPr>
        <w:pStyle w:val="Heading1"/>
      </w:pPr>
      <w:r>
        <w:t>9. 可观测性与诊断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结构化日志字段：timestamp、level、module、jobId、videoId（hash）、step、durationMs、exitCode、errorCode。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绝不记录完整转写、媒体内容、学生姓名、完整源路径；路径只保留脱敏尾部或 hash。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任务指标：各步骤耗时、视频分钟/处理分钟比、重试率、取消率、失败码分布、PDF 导出成功率。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“导出诊断包”包含版本、OS、硬件摘要、任务 manifest、脱敏日志和二进制版本，不含源媒体和转写。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开发环境支持为单个 job 保存可重放命令 manifest；生产环境不保存密钥或上传凭证。</w:t>
      </w:r>
    </w:p>
    <w:p>
      <w:pPr>
        <w:pStyle w:val="Heading1"/>
      </w:pPr>
      <w:r>
        <w:t>10. 测试策略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层级</w:t>
            </w:r>
          </w:p>
        </w:tc>
        <w:tc>
          <w:tcPr>
            <w:tcW w:type="dxa" w:w="741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重点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单元测试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选择状态机、文件命名、路径校验、fingerprint、模板数据映射、错误转换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契约测试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IPC schema、sidecar JSONL 协议、provider 接口、模板 manifest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集成测试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FFmpeg 进度/取消、场景/关键帧产物、ASR 时间戳、SQLite 恢复、PDF 合并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视觉回归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1-5 图页面、长短中文、不同图片方向、字体、A4 分页、封面裁切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端到端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PRD 11 章全部验收场景 + 源文件丢失 + 磁盘不足 + 应用重启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性能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统一视频样例集：静态讲解、运镜、暗光、噪声、长视频；记录各步骤 RTF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安全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IPC fuzz、CSP、模板远程资源阻断、路径穿越、命令注入、诊断包脱敏</w:t>
            </w:r>
          </w:p>
        </w:tc>
      </w:tr>
    </w:tbl>
    <w:p>
      <w:pPr>
        <w:spacing w:after="0"/>
      </w:pPr>
    </w:p>
    <w:p>
      <w:pPr>
        <w:pStyle w:val="Heading1"/>
      </w:pPr>
      <w:r>
        <w:t>11. 交付分层与技术尖峰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944"/>
        <w:gridCol w:w="4392"/>
        <w:gridCol w:w="3024"/>
      </w:tblGrid>
      <w:tr>
        <w:trPr>
          <w:tblHeader w:val="true"/>
        </w:trPr>
        <w:tc>
          <w:tcPr>
            <w:tcW w:type="dxa" w:w="194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阶段</w:t>
            </w:r>
          </w:p>
        </w:tc>
        <w:tc>
          <w:tcPr>
            <w:tcW w:type="dxa" w:w="439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工程范围</w:t>
            </w:r>
          </w:p>
        </w:tc>
        <w:tc>
          <w:tcPr>
            <w:tcW w:type="dxa" w:w="302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退出条件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Spike A 媒体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ffprobe、代理、场景、关键帧、中文 ASR 基准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真实样例达到可接受质量/速度，确定默认参数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Spike B 文档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模板数据 → A4 预览 → printToPDF → pdf-lib 合并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中文字体、1-5 图、长文本与封面通过回归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Foundation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Electron 安全骨架、IPC、SQLite migration、job engine、日志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可创建/取消/恢复一个假的长任务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Vertical Slice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单视频从导入到片段 PDF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PRD 核心路径端到端通过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Management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列表详情、合并、封面、重新定位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单片段和多片段笔记均可生成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Hardening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失败恢复、性能、签名更新、许可证与诊断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Beta 验收清单关闭</w:t>
            </w:r>
          </w:p>
        </w:tc>
      </w:tr>
    </w:tbl>
    <w:p>
      <w:pPr>
        <w:spacing w:after="0"/>
      </w:pPr>
    </w:p>
    <w:p>
      <w:pPr>
        <w:pStyle w:val="Heading1"/>
      </w:pPr>
      <w:r>
        <w:t>12. 风险与缓解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3240"/>
        <w:gridCol w:w="1512"/>
        <w:gridCol w:w="4608"/>
      </w:tblGrid>
      <w:tr>
        <w:trPr>
          <w:tblHeader w:val="true"/>
        </w:trPr>
        <w:tc>
          <w:tcPr>
            <w:tcW w:type="dxa" w:w="324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风险</w:t>
            </w:r>
          </w:p>
        </w:tc>
        <w:tc>
          <w:tcPr>
            <w:tcW w:type="dxa" w:w="15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概率/影响</w:t>
            </w:r>
          </w:p>
        </w:tc>
        <w:tc>
          <w:tcPr>
            <w:tcW w:type="dxa" w:w="460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缓解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场景检测在运镜/弱切镜视频中过切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高/中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AdaptiveDetector 基线、代理参数固定、P1 手工合并/灵敏度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关键帧重复或模糊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中/高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多候选采样 + 清晰度/相似度评分 + 用户选择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中文 ASR 对噪声和专有名词不准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高/中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分场景、可回放编辑、模型档位、术语表后续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Python/原生模块增加打包复杂度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中/高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第一周完成三平台尖峰；sidecar 版本协议；Windows 优先决策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PDF 预览与导出不一致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中/高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同源渲染、固定 Chromium、字体等待、视觉回归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存储快速增长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高/中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代理规格、缓存统计、LRU 清理、输出与缓存分级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FFmpeg/模型许可证或分发问题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中/高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立项法务核验、SBOM、可替换二进制包</w:t>
            </w:r>
          </w:p>
        </w:tc>
      </w:tr>
    </w:tbl>
    <w:p>
      <w:pPr>
        <w:spacing w:after="0"/>
      </w:pPr>
    </w:p>
    <w:p>
      <w:pPr>
        <w:pStyle w:val="Heading1"/>
      </w:pPr>
      <w:r>
        <w:t>13. 架构决策记录（ADR）建议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ADR-001：Electron 安全基线与 IPC 边界。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ADR-002：Python sidecar vs 纯 Node/原生方案。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ADR-003：本地 whisper.cpp 与可插拔云 ASR。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ADR-004：项目内 SQLite vs 全局 catalog + 项目 manifest。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ADR-005：HTML/Chromium PDF 与其他 PDF 引擎。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ADR-006：首发操作系统与更新/签名策略。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ADR-007：FFmpeg build、编码器与许可证组合。</w:t>
      </w:r>
    </w:p>
    <w:p>
      <w:pPr>
        <w:pStyle w:val="Heading1"/>
      </w:pPr>
      <w:r>
        <w:t>14. 官方资料与实施参考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Electron Process Model：https://www.electronjs.org/docs/latest/tutorial/process-model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Electron Context Isolation：https://www.electronjs.org/docs/latest/tutorial/context-isolation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Electron webContents.printToPDF：https://www.electronjs.org/docs/latest/api/web-contents/#contentsprinttopdfoptions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FFmpeg Documentation：https://ffmpeg.org/ffmpeg-doc.html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PySceneDetect Documentation：https://www.scenedetect.com/docs/latest/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PySceneDetect API / save_images：https://www.scenedetect.com/docs/latest/api.html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whisper.cpp：https://github.com/ggml-org/whisper.cpp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SQLite About：https://www.sqlite.org/about.html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pdf-lib：https://pdf-lib.js.org/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D79A43"/>
          <w:left w:val="single" w:sz="8" w:color="D79A43"/>
          <w:bottom w:val="single" w:sz="8" w:color="D79A43"/>
          <w:right w:val="single" w:sz="8" w:color="D79A43"/>
          <w:insideH w:val="single" w:sz="8" w:color="D79A43"/>
          <w:insideV w:val="single" w:sz="8" w:color="D79A4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3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实施提醒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上列技术选型均需在 Spike 阶段用目标学校/机构的真实但已授权样例验证。尤其是中文 ASR、镜头切分、关键帧质量、PDF 字体与 Windows 打包，不能只依赖文档判断。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66"/>
        <w:sz w:val="18"/>
      </w:rPr>
      <w:t xml:space="preserve">第 </w:t>
    </w:r>
    <w:fldSimple w:instr="PAGE">
      <w:r>
        <w:rPr>
          <w:color w:val="5F6B66"/>
          <w:sz w:val="18"/>
        </w:rPr>
        <w:t>1</w:t>
      </w:r>
    </w:fldSimple>
    <w:r>
      <w:rPr>
        <w:rFonts w:ascii="Calibri" w:hAnsi="Calibri" w:eastAsia="Microsoft YaHei"/>
        <w:color w:val="5F6B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8DEDB"/>
      </w:pBdr>
    </w:pPr>
    <w:r>
      <w:rPr>
        <w:rFonts w:ascii="Calibri" w:hAnsi="Calibri" w:eastAsia="Microsoft YaHei"/>
        <w:b/>
        <w:color w:val="2D7B72"/>
        <w:sz w:val="18"/>
      </w:rPr>
      <w:t>游学管理桌面端 MVP｜技术架构设计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D7B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D7B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C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60" w:after="200"/>
      <w:ind w:left="259" w:right="259"/>
    </w:pPr>
    <w:rPr>
      <w:rFonts w:ascii="Calibri" w:hAnsi="Calibri" w:eastAsia="Microsoft YaHei"/>
      <w:b/>
      <w:color w:val="173C3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中小学游学管理桌面端 MVP - 技术架构设计</dc:title>
  <dc:subject>游学管理桌面端 MVP｜技术架构设计</dc:subject>
  <dc:creator>产品与技术方案工作组</dc:creator>
  <cp:keywords>游学, Electron, 视频分析, 关键帧, PDF,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