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05" w:rsidRPr="006F06D2" w:rsidRDefault="006F06D2" w:rsidP="006F06D2">
      <w:pPr>
        <w:spacing w:line="240" w:lineRule="auto"/>
        <w:jc w:val="center"/>
        <w:rPr>
          <w:b/>
          <w:color w:val="1F497D" w:themeColor="text2"/>
          <w:sz w:val="28"/>
        </w:rPr>
      </w:pPr>
      <w:r w:rsidRPr="006F06D2">
        <w:rPr>
          <w:b/>
          <w:color w:val="1F497D" w:themeColor="text2"/>
          <w:sz w:val="28"/>
        </w:rPr>
        <w:t>Higher Education Attrition Rate</w:t>
      </w:r>
      <w:r w:rsidR="003F27F7">
        <w:rPr>
          <w:b/>
          <w:color w:val="1F497D" w:themeColor="text2"/>
          <w:sz w:val="28"/>
        </w:rPr>
        <w:t xml:space="preserve"> (Dropo</w:t>
      </w:r>
      <w:r w:rsidR="002B63BD">
        <w:rPr>
          <w:b/>
          <w:color w:val="1F497D" w:themeColor="text2"/>
          <w:sz w:val="28"/>
        </w:rPr>
        <w:t>ut Rate)</w:t>
      </w:r>
      <w:r w:rsidRPr="006F06D2">
        <w:rPr>
          <w:b/>
          <w:color w:val="1F497D" w:themeColor="text2"/>
          <w:sz w:val="28"/>
        </w:rPr>
        <w:t xml:space="preserve"> Data, 2005-2013</w:t>
      </w:r>
    </w:p>
    <w:p w:rsidR="00386505" w:rsidRDefault="00386505" w:rsidP="00386505">
      <w:pPr>
        <w:spacing w:line="240" w:lineRule="auto"/>
      </w:pPr>
    </w:p>
    <w:p w:rsidR="00386505" w:rsidRDefault="00323DD9" w:rsidP="00386505">
      <w:pPr>
        <w:spacing w:line="240" w:lineRule="auto"/>
      </w:pPr>
      <w:r>
        <w:t>All d</w:t>
      </w:r>
      <w:r w:rsidR="00386505">
        <w:t>ata is for commencing domestic bachelor students at Tabl</w:t>
      </w:r>
      <w:r>
        <w:t xml:space="preserve">e </w:t>
      </w:r>
      <w:proofErr w:type="gramStart"/>
      <w:r>
        <w:t>A</w:t>
      </w:r>
      <w:proofErr w:type="gramEnd"/>
      <w:r>
        <w:t xml:space="preserve"> (public) universities only.</w:t>
      </w:r>
    </w:p>
    <w:p w:rsidR="002B63BD" w:rsidRDefault="002B63BD" w:rsidP="00386505">
      <w:pPr>
        <w:spacing w:line="240" w:lineRule="auto"/>
      </w:pPr>
    </w:p>
    <w:p w:rsidR="002B63BD" w:rsidRPr="002B63BD" w:rsidRDefault="002B63BD" w:rsidP="00386505">
      <w:pPr>
        <w:spacing w:line="240" w:lineRule="auto"/>
        <w:rPr>
          <w:b/>
          <w:sz w:val="24"/>
        </w:rPr>
      </w:pPr>
      <w:r w:rsidRPr="002B63BD">
        <w:rPr>
          <w:b/>
          <w:sz w:val="24"/>
        </w:rPr>
        <w:t xml:space="preserve">Definition of Attrition Rate: </w:t>
      </w:r>
    </w:p>
    <w:p w:rsidR="002B63BD" w:rsidRPr="002B63BD" w:rsidRDefault="002B63BD" w:rsidP="002B63BD">
      <w:r w:rsidRPr="002B63BD">
        <w:t>Attrition rate is the proportion of students who did not complete a course and left the following year. The formal definition is: Attrition rate for year(x) is the proportion of students who commenced a bachelor course in year(x) who neither complete nor return in year(x + 1).</w:t>
      </w:r>
      <w:r>
        <w:t xml:space="preserve"> For </w:t>
      </w:r>
      <w:r w:rsidRPr="002B63BD">
        <w:t>example:</w:t>
      </w:r>
    </w:p>
    <w:p w:rsidR="002B63BD" w:rsidRPr="002B63BD" w:rsidRDefault="002B63BD" w:rsidP="002B63BD">
      <w:pPr>
        <w:pStyle w:val="ListParagraph"/>
        <w:ind w:left="0"/>
        <w:rPr>
          <w:rFonts w:ascii="Calibri" w:hAnsi="Calibri" w:cs="Calibri"/>
        </w:rPr>
      </w:pPr>
      <w:proofErr w:type="spellStart"/>
      <w:proofErr w:type="gramStart"/>
      <w:r w:rsidRPr="002B63BD">
        <w:rPr>
          <w:rFonts w:ascii="Calibri" w:hAnsi="Calibri" w:cs="Calibri"/>
        </w:rPr>
        <w:t>Eg</w:t>
      </w:r>
      <w:proofErr w:type="spellEnd"/>
      <w:r w:rsidRPr="002B63BD">
        <w:rPr>
          <w:rFonts w:ascii="Calibri" w:hAnsi="Calibri" w:cs="Calibri"/>
        </w:rPr>
        <w:t>.</w:t>
      </w:r>
      <w:proofErr w:type="gramEnd"/>
      <w:r w:rsidRPr="002B63BD">
        <w:rPr>
          <w:rFonts w:ascii="Calibri" w:hAnsi="Calibri" w:cs="Calibri"/>
        </w:rPr>
        <w:t xml:space="preserve"> Attrition rate for 2009= 100 x </w:t>
      </w:r>
      <w:r w:rsidRPr="002B63BD">
        <w:rPr>
          <w:rFonts w:ascii="Calibri" w:hAnsi="Calibri" w:cs="Calibri"/>
          <w:u w:val="single"/>
        </w:rPr>
        <w:t>Students in 2009 who did not complete or return in 2010</w:t>
      </w:r>
    </w:p>
    <w:p w:rsidR="002B63BD" w:rsidRPr="002B63BD" w:rsidRDefault="002B63BD" w:rsidP="002B63BD">
      <w:pPr>
        <w:pStyle w:val="ListParagraph"/>
        <w:ind w:left="0"/>
        <w:rPr>
          <w:rFonts w:ascii="Calibri" w:hAnsi="Calibri" w:cs="Calibri"/>
        </w:rPr>
      </w:pPr>
      <w:r w:rsidRPr="002B63BD">
        <w:rPr>
          <w:rFonts w:ascii="Calibri" w:hAnsi="Calibri" w:cs="Calibri"/>
        </w:rPr>
        <w:t>                                           </w:t>
      </w:r>
      <w:r w:rsidRPr="002B63BD">
        <w:rPr>
          <w:rFonts w:ascii="Calibri" w:hAnsi="Calibri" w:cs="Calibri"/>
        </w:rPr>
        <w:tab/>
      </w:r>
      <w:r w:rsidRPr="002B63BD">
        <w:rPr>
          <w:rFonts w:ascii="Calibri" w:hAnsi="Calibri" w:cs="Calibri"/>
        </w:rPr>
        <w:tab/>
        <w:t xml:space="preserve">  Students in 2009</w:t>
      </w:r>
    </w:p>
    <w:p w:rsidR="002B63BD" w:rsidRDefault="002B63BD" w:rsidP="002B63BD"/>
    <w:p w:rsidR="002B63BD" w:rsidRPr="002B63BD" w:rsidRDefault="002B63BD" w:rsidP="002B63BD">
      <w:r w:rsidRPr="002B63BD">
        <w:t xml:space="preserve">Attrition rate is based on a match process using the students' </w:t>
      </w:r>
      <w:proofErr w:type="spellStart"/>
      <w:r w:rsidRPr="002B63BD">
        <w:t>StudentID</w:t>
      </w:r>
      <w:proofErr w:type="spellEnd"/>
      <w:r w:rsidRPr="002B63BD">
        <w:t xml:space="preserve">. This gives a "crude" attrition rate, which identifies students that neither complete a course nor are retained the following year at the same institution. Students who remained at the same institution, but changed course are not counted in the attrition group. It is only those students who changed institutions that are counted as </w:t>
      </w:r>
      <w:proofErr w:type="spellStart"/>
      <w:r w:rsidRPr="002B63BD">
        <w:t>attrited</w:t>
      </w:r>
      <w:proofErr w:type="spellEnd"/>
      <w:r w:rsidRPr="002B63BD">
        <w:t xml:space="preserve">. </w:t>
      </w:r>
    </w:p>
    <w:p w:rsidR="00323DD9" w:rsidRDefault="00323DD9" w:rsidP="00386505">
      <w:pPr>
        <w:spacing w:line="240" w:lineRule="auto"/>
      </w:pPr>
    </w:p>
    <w:p w:rsidR="002B63BD" w:rsidRDefault="002B63BD" w:rsidP="00386505">
      <w:pPr>
        <w:spacing w:line="240" w:lineRule="auto"/>
        <w:rPr>
          <w:b/>
          <w:sz w:val="24"/>
        </w:rPr>
      </w:pPr>
      <w:r>
        <w:rPr>
          <w:b/>
          <w:sz w:val="24"/>
        </w:rPr>
        <w:t>Data Sets:</w:t>
      </w:r>
    </w:p>
    <w:p w:rsidR="002B63BD" w:rsidRPr="002B63BD" w:rsidRDefault="002B63BD" w:rsidP="00386505">
      <w:pPr>
        <w:spacing w:line="240" w:lineRule="auto"/>
        <w:rPr>
          <w:b/>
          <w:sz w:val="24"/>
        </w:rPr>
      </w:pPr>
    </w:p>
    <w:p w:rsidR="00B82683" w:rsidRPr="002B63BD" w:rsidRDefault="00B82683" w:rsidP="00386505">
      <w:pPr>
        <w:spacing w:line="240" w:lineRule="auto"/>
        <w:rPr>
          <w:sz w:val="24"/>
          <w:u w:val="single"/>
        </w:rPr>
      </w:pPr>
      <w:r w:rsidRPr="002B63BD">
        <w:rPr>
          <w:sz w:val="24"/>
          <w:u w:val="single"/>
        </w:rPr>
        <w:t>HE</w:t>
      </w:r>
      <w:r w:rsidR="003F27F7">
        <w:rPr>
          <w:sz w:val="24"/>
          <w:u w:val="single"/>
        </w:rPr>
        <w:t xml:space="preserve"> A</w:t>
      </w:r>
      <w:r w:rsidRPr="002B63BD">
        <w:rPr>
          <w:sz w:val="24"/>
          <w:u w:val="single"/>
        </w:rPr>
        <w:t>ttrition</w:t>
      </w:r>
      <w:r w:rsidR="003F27F7">
        <w:rPr>
          <w:sz w:val="24"/>
          <w:u w:val="single"/>
        </w:rPr>
        <w:t xml:space="preserve"> D</w:t>
      </w:r>
      <w:r w:rsidRPr="002B63BD">
        <w:rPr>
          <w:sz w:val="24"/>
          <w:u w:val="single"/>
        </w:rPr>
        <w:t>ata</w:t>
      </w:r>
      <w:r w:rsidR="003F27F7">
        <w:rPr>
          <w:sz w:val="24"/>
          <w:u w:val="single"/>
        </w:rPr>
        <w:t xml:space="preserve"> </w:t>
      </w:r>
      <w:r w:rsidRPr="002B63BD">
        <w:rPr>
          <w:sz w:val="24"/>
          <w:u w:val="single"/>
        </w:rPr>
        <w:t>Main</w:t>
      </w:r>
      <w:r w:rsidR="00B32C4A">
        <w:rPr>
          <w:sz w:val="24"/>
          <w:u w:val="single"/>
        </w:rPr>
        <w:t>, 2005-2013</w:t>
      </w:r>
      <w:r w:rsidRPr="002B63BD">
        <w:rPr>
          <w:sz w:val="24"/>
          <w:u w:val="single"/>
        </w:rPr>
        <w:t>.csv</w:t>
      </w:r>
    </w:p>
    <w:p w:rsidR="00B82683" w:rsidRDefault="00B82683" w:rsidP="00386505">
      <w:pPr>
        <w:spacing w:line="240" w:lineRule="auto"/>
      </w:pPr>
    </w:p>
    <w:tbl>
      <w:tblPr>
        <w:tblStyle w:val="TableGrid"/>
        <w:tblW w:w="0" w:type="auto"/>
        <w:tblLook w:val="04A0" w:firstRow="1" w:lastRow="0" w:firstColumn="1" w:lastColumn="0" w:noHBand="0" w:noVBand="1"/>
      </w:tblPr>
      <w:tblGrid>
        <w:gridCol w:w="2518"/>
        <w:gridCol w:w="6724"/>
      </w:tblGrid>
      <w:tr w:rsidR="00B82683" w:rsidTr="00395CA2">
        <w:tc>
          <w:tcPr>
            <w:tcW w:w="2518" w:type="dxa"/>
            <w:shd w:val="clear" w:color="auto" w:fill="8DB3E2" w:themeFill="text2" w:themeFillTint="66"/>
          </w:tcPr>
          <w:p w:rsidR="00B82683" w:rsidRPr="002B1CC6" w:rsidRDefault="00B82683" w:rsidP="00386505">
            <w:pPr>
              <w:rPr>
                <w:b/>
              </w:rPr>
            </w:pPr>
            <w:r w:rsidRPr="002B1CC6">
              <w:rPr>
                <w:b/>
              </w:rPr>
              <w:t>Variable</w:t>
            </w:r>
          </w:p>
        </w:tc>
        <w:tc>
          <w:tcPr>
            <w:tcW w:w="6724" w:type="dxa"/>
            <w:shd w:val="clear" w:color="auto" w:fill="8DB3E2" w:themeFill="text2" w:themeFillTint="66"/>
          </w:tcPr>
          <w:p w:rsidR="00B82683" w:rsidRPr="002B1CC6" w:rsidRDefault="00B82683" w:rsidP="00386505">
            <w:pPr>
              <w:rPr>
                <w:b/>
              </w:rPr>
            </w:pPr>
            <w:r w:rsidRPr="002B1CC6">
              <w:rPr>
                <w:b/>
              </w:rPr>
              <w:t>Description</w:t>
            </w:r>
          </w:p>
        </w:tc>
      </w:tr>
      <w:tr w:rsidR="00B82683" w:rsidTr="00395CA2">
        <w:tc>
          <w:tcPr>
            <w:tcW w:w="2518" w:type="dxa"/>
          </w:tcPr>
          <w:p w:rsidR="00B82683" w:rsidRDefault="00B82683" w:rsidP="00386505">
            <w:proofErr w:type="spellStart"/>
            <w:r>
              <w:t>Reference_year</w:t>
            </w:r>
            <w:proofErr w:type="spellEnd"/>
          </w:p>
        </w:tc>
        <w:tc>
          <w:tcPr>
            <w:tcW w:w="6724" w:type="dxa"/>
          </w:tcPr>
          <w:p w:rsidR="00B82683" w:rsidRDefault="00B82683" w:rsidP="008A656E">
            <w:r>
              <w:t xml:space="preserve">Year that the </w:t>
            </w:r>
            <w:r w:rsidR="008A656E">
              <w:t>attrition rate</w:t>
            </w:r>
            <w:r>
              <w:t xml:space="preserve"> relates to </w:t>
            </w:r>
          </w:p>
        </w:tc>
      </w:tr>
      <w:tr w:rsidR="00B82683" w:rsidTr="00395CA2">
        <w:tc>
          <w:tcPr>
            <w:tcW w:w="2518" w:type="dxa"/>
          </w:tcPr>
          <w:p w:rsidR="00B82683" w:rsidRDefault="008A656E" w:rsidP="00386505">
            <w:proofErr w:type="spellStart"/>
            <w:r>
              <w:t>attrition_rate</w:t>
            </w:r>
            <w:proofErr w:type="spellEnd"/>
          </w:p>
        </w:tc>
        <w:tc>
          <w:tcPr>
            <w:tcW w:w="6724" w:type="dxa"/>
          </w:tcPr>
          <w:p w:rsidR="00B82683" w:rsidRDefault="008A656E" w:rsidP="00386505">
            <w:r>
              <w:t>Overall attrition rate</w:t>
            </w:r>
          </w:p>
        </w:tc>
      </w:tr>
      <w:tr w:rsidR="00B82683" w:rsidTr="00395CA2">
        <w:tc>
          <w:tcPr>
            <w:tcW w:w="2518" w:type="dxa"/>
          </w:tcPr>
          <w:p w:rsidR="00B82683" w:rsidRDefault="008A656E" w:rsidP="00386505">
            <w:proofErr w:type="spellStart"/>
            <w:r>
              <w:t>nesbattrition</w:t>
            </w:r>
            <w:proofErr w:type="spellEnd"/>
          </w:p>
        </w:tc>
        <w:tc>
          <w:tcPr>
            <w:tcW w:w="6724" w:type="dxa"/>
          </w:tcPr>
          <w:p w:rsidR="00B82683" w:rsidRDefault="008A656E" w:rsidP="00386505">
            <w:r>
              <w:t>Attrition rate for students from a non-English speaking background</w:t>
            </w:r>
          </w:p>
        </w:tc>
      </w:tr>
      <w:tr w:rsidR="00B82683" w:rsidTr="00395CA2">
        <w:tc>
          <w:tcPr>
            <w:tcW w:w="2518" w:type="dxa"/>
          </w:tcPr>
          <w:p w:rsidR="00B82683" w:rsidRDefault="008A656E" w:rsidP="00386505">
            <w:proofErr w:type="spellStart"/>
            <w:r>
              <w:t>disattrition</w:t>
            </w:r>
            <w:proofErr w:type="spellEnd"/>
          </w:p>
        </w:tc>
        <w:tc>
          <w:tcPr>
            <w:tcW w:w="6724" w:type="dxa"/>
          </w:tcPr>
          <w:p w:rsidR="008A656E" w:rsidRDefault="008A656E" w:rsidP="008A656E">
            <w:r>
              <w:t>Attrition rate for students</w:t>
            </w:r>
            <w:r w:rsidR="001E3C27">
              <w:t xml:space="preserve"> with a disability. ‘Disability’</w:t>
            </w:r>
            <w:r>
              <w:t xml:space="preserve"> includes students with an impairment in</w:t>
            </w:r>
            <w:r w:rsidR="001E3C27">
              <w:t xml:space="preserve"> one or more of</w:t>
            </w:r>
            <w:r>
              <w:t xml:space="preserve"> the following areas: hearing,</w:t>
            </w:r>
            <w:r w:rsidRPr="008A656E">
              <w:t xml:space="preserve"> learning</w:t>
            </w:r>
            <w:r>
              <w:t xml:space="preserve">, </w:t>
            </w:r>
            <w:r w:rsidRPr="008A656E">
              <w:t>mobility</w:t>
            </w:r>
            <w:r>
              <w:t xml:space="preserve">, </w:t>
            </w:r>
            <w:r w:rsidRPr="008A656E">
              <w:t xml:space="preserve">vision, </w:t>
            </w:r>
            <w:r>
              <w:t>medical and</w:t>
            </w:r>
            <w:r w:rsidRPr="008A656E">
              <w:t xml:space="preserve"> other</w:t>
            </w:r>
          </w:p>
        </w:tc>
      </w:tr>
      <w:tr w:rsidR="00B82683" w:rsidTr="00395CA2">
        <w:tc>
          <w:tcPr>
            <w:tcW w:w="2518" w:type="dxa"/>
          </w:tcPr>
          <w:p w:rsidR="00B82683" w:rsidRDefault="008A656E" w:rsidP="00386505">
            <w:proofErr w:type="spellStart"/>
            <w:r>
              <w:t>seslow2006attrition</w:t>
            </w:r>
            <w:proofErr w:type="spellEnd"/>
          </w:p>
        </w:tc>
        <w:tc>
          <w:tcPr>
            <w:tcW w:w="6724" w:type="dxa"/>
          </w:tcPr>
          <w:p w:rsidR="00B82683" w:rsidRDefault="003E4B14" w:rsidP="001E3C27">
            <w:r>
              <w:t>Attrition rate for s</w:t>
            </w:r>
            <w:r w:rsidR="008A656E">
              <w:t>tudent</w:t>
            </w:r>
            <w:r>
              <w:t xml:space="preserve">s </w:t>
            </w:r>
            <w:r w:rsidR="008A656E">
              <w:t>from a low socio-economic background</w:t>
            </w:r>
            <w:r>
              <w:t xml:space="preserve">. </w:t>
            </w:r>
            <w:r w:rsidR="001E3C27">
              <w:t>Low socio-economic status</w:t>
            </w:r>
            <w:r>
              <w:t xml:space="preserve"> is based on students’ postcode of permanent home residence mapped against</w:t>
            </w:r>
            <w:r w:rsidR="008A656E">
              <w:t xml:space="preserve"> the </w:t>
            </w:r>
            <w:r w:rsidR="008A656E" w:rsidRPr="003E4B14">
              <w:t xml:space="preserve">2006 </w:t>
            </w:r>
            <w:r w:rsidRPr="00B66C54">
              <w:rPr>
                <w:lang w:eastAsia="en-AU"/>
              </w:rPr>
              <w:t>Australian Bureau of Statistics'</w:t>
            </w:r>
            <w:r>
              <w:rPr>
                <w:lang w:eastAsia="en-AU"/>
              </w:rPr>
              <w:t xml:space="preserve"> </w:t>
            </w:r>
            <w:r w:rsidRPr="00B66C54">
              <w:rPr>
                <w:lang w:eastAsia="en-AU"/>
              </w:rPr>
              <w:t>Socio-Economic Indexes for Areas</w:t>
            </w:r>
            <w:r w:rsidRPr="003E4B14">
              <w:t xml:space="preserve"> </w:t>
            </w:r>
            <w:r w:rsidR="008A656E" w:rsidRPr="003E4B14">
              <w:t>(</w:t>
            </w:r>
            <w:proofErr w:type="spellStart"/>
            <w:r w:rsidR="008A656E" w:rsidRPr="003E4B14">
              <w:t>SEIFA</w:t>
            </w:r>
            <w:proofErr w:type="spellEnd"/>
            <w:r w:rsidR="008A656E" w:rsidRPr="003E4B14">
              <w:t xml:space="preserve">) Index of Education and Occupation by postal area, with the postal areas containing the bottom 25% of the population aged 15-64 on the </w:t>
            </w:r>
            <w:proofErr w:type="spellStart"/>
            <w:r w:rsidR="008A656E" w:rsidRPr="003E4B14">
              <w:t>SEIFA</w:t>
            </w:r>
            <w:proofErr w:type="spellEnd"/>
            <w:r w:rsidR="008A656E" w:rsidRPr="003E4B14">
              <w:t xml:space="preserve"> file being classified as </w:t>
            </w:r>
            <w:r w:rsidR="00F7325E">
              <w:t>low socio-economic</w:t>
            </w:r>
          </w:p>
        </w:tc>
      </w:tr>
      <w:tr w:rsidR="00B82683" w:rsidTr="00395CA2">
        <w:tc>
          <w:tcPr>
            <w:tcW w:w="2518" w:type="dxa"/>
          </w:tcPr>
          <w:p w:rsidR="00B82683" w:rsidRDefault="008A656E" w:rsidP="00386505">
            <w:proofErr w:type="spellStart"/>
            <w:r>
              <w:t>seslow2011attrition</w:t>
            </w:r>
            <w:proofErr w:type="spellEnd"/>
          </w:p>
        </w:tc>
        <w:tc>
          <w:tcPr>
            <w:tcW w:w="6724" w:type="dxa"/>
          </w:tcPr>
          <w:p w:rsidR="00B82683" w:rsidRDefault="003E4B14" w:rsidP="00386505">
            <w:r>
              <w:t xml:space="preserve">Attrition rate for students from a low socio-economic background. </w:t>
            </w:r>
            <w:r w:rsidR="001E3C27">
              <w:t>Low socio-economic status</w:t>
            </w:r>
            <w:r>
              <w:t xml:space="preserve"> is based on students’ postcode of permanent home residence mapped against the 2011 </w:t>
            </w:r>
            <w:r w:rsidRPr="00B66C54">
              <w:rPr>
                <w:lang w:eastAsia="en-AU"/>
              </w:rPr>
              <w:t xml:space="preserve">Australian Bureau of </w:t>
            </w:r>
            <w:r w:rsidRPr="00B66C54">
              <w:rPr>
                <w:lang w:eastAsia="en-AU"/>
              </w:rPr>
              <w:lastRenderedPageBreak/>
              <w:t>Statistics'</w:t>
            </w:r>
            <w:r w:rsidRPr="003E4B14">
              <w:t xml:space="preserve"> </w:t>
            </w:r>
            <w:r w:rsidRPr="00B66C54">
              <w:rPr>
                <w:lang w:eastAsia="en-AU"/>
              </w:rPr>
              <w:t>Socio-Economic Indexes for Areas</w:t>
            </w:r>
            <w:r w:rsidRPr="003E4B14">
              <w:t xml:space="preserve"> (</w:t>
            </w:r>
            <w:proofErr w:type="spellStart"/>
            <w:r w:rsidRPr="003E4B14">
              <w:t>SEIFA</w:t>
            </w:r>
            <w:proofErr w:type="spellEnd"/>
            <w:r w:rsidRPr="003E4B14">
              <w:t xml:space="preserve">) Index of Education and Occupation by postal area, with the postal areas containing the bottom 25% of the population aged 15-64 on the </w:t>
            </w:r>
            <w:proofErr w:type="spellStart"/>
            <w:r w:rsidRPr="003E4B14">
              <w:t>SEIFA</w:t>
            </w:r>
            <w:proofErr w:type="spellEnd"/>
            <w:r w:rsidRPr="003E4B14">
              <w:t xml:space="preserve"> file being classified as </w:t>
            </w:r>
            <w:r w:rsidR="00F7325E">
              <w:t>low socio-economic</w:t>
            </w:r>
          </w:p>
        </w:tc>
      </w:tr>
      <w:tr w:rsidR="00B82683" w:rsidTr="00395CA2">
        <w:tc>
          <w:tcPr>
            <w:tcW w:w="2518" w:type="dxa"/>
          </w:tcPr>
          <w:p w:rsidR="00B82683" w:rsidRDefault="003E4B14" w:rsidP="00386505">
            <w:proofErr w:type="spellStart"/>
            <w:r>
              <w:lastRenderedPageBreak/>
              <w:t>indigenousattrition</w:t>
            </w:r>
            <w:proofErr w:type="spellEnd"/>
          </w:p>
        </w:tc>
        <w:tc>
          <w:tcPr>
            <w:tcW w:w="6724" w:type="dxa"/>
          </w:tcPr>
          <w:p w:rsidR="00B82683" w:rsidRPr="008E2DF8" w:rsidRDefault="003E4B14" w:rsidP="00386505">
            <w:pPr>
              <w:rPr>
                <w:b/>
                <w:bCs/>
              </w:rPr>
            </w:pPr>
            <w:r>
              <w:t xml:space="preserve">Attrition rate for </w:t>
            </w:r>
            <w:r w:rsidR="008E2DF8" w:rsidRPr="008E2DF8">
              <w:rPr>
                <w:bCs/>
              </w:rPr>
              <w:t xml:space="preserve">Aboriginal and Torres Strait Islander </w:t>
            </w:r>
            <w:r w:rsidRPr="008E2DF8">
              <w:t>students</w:t>
            </w:r>
          </w:p>
        </w:tc>
      </w:tr>
      <w:tr w:rsidR="003E4B14" w:rsidTr="00395CA2">
        <w:tc>
          <w:tcPr>
            <w:tcW w:w="2518" w:type="dxa"/>
          </w:tcPr>
          <w:p w:rsidR="003E4B14" w:rsidRDefault="003E4B14" w:rsidP="00386505">
            <w:proofErr w:type="spellStart"/>
            <w:r>
              <w:t>modeinternalatt</w:t>
            </w:r>
            <w:proofErr w:type="spellEnd"/>
          </w:p>
        </w:tc>
        <w:tc>
          <w:tcPr>
            <w:tcW w:w="6724" w:type="dxa"/>
          </w:tcPr>
          <w:p w:rsidR="003E4B14" w:rsidRDefault="003E4B14" w:rsidP="00386505">
            <w:r>
              <w:t xml:space="preserve">Attrition rate for students studying by an internal mode of attendance. </w:t>
            </w:r>
            <w:r w:rsidR="00F7325E">
              <w:t>Includes classroom based study</w:t>
            </w:r>
          </w:p>
        </w:tc>
      </w:tr>
      <w:tr w:rsidR="003E4B14" w:rsidTr="00395CA2">
        <w:tc>
          <w:tcPr>
            <w:tcW w:w="2518" w:type="dxa"/>
          </w:tcPr>
          <w:p w:rsidR="003E4B14" w:rsidRDefault="003E4B14" w:rsidP="00386505">
            <w:proofErr w:type="spellStart"/>
            <w:r>
              <w:t>modeexternalatt</w:t>
            </w:r>
            <w:proofErr w:type="spellEnd"/>
          </w:p>
        </w:tc>
        <w:tc>
          <w:tcPr>
            <w:tcW w:w="6724" w:type="dxa"/>
          </w:tcPr>
          <w:p w:rsidR="003E4B14" w:rsidRDefault="00F7325E" w:rsidP="00F7325E">
            <w:r>
              <w:t>Attrition rate for students studying by an external mode of attendance. Includes electronic based, online and correspondence study</w:t>
            </w:r>
          </w:p>
        </w:tc>
      </w:tr>
      <w:tr w:rsidR="003E4B14" w:rsidTr="00395CA2">
        <w:tc>
          <w:tcPr>
            <w:tcW w:w="2518" w:type="dxa"/>
          </w:tcPr>
          <w:p w:rsidR="003E4B14" w:rsidRDefault="003E4B14" w:rsidP="00386505">
            <w:proofErr w:type="spellStart"/>
            <w:r>
              <w:t>modemultiatt</w:t>
            </w:r>
            <w:proofErr w:type="spellEnd"/>
          </w:p>
        </w:tc>
        <w:tc>
          <w:tcPr>
            <w:tcW w:w="6724" w:type="dxa"/>
          </w:tcPr>
          <w:p w:rsidR="003E4B14" w:rsidRDefault="00F7325E" w:rsidP="00386505">
            <w:r>
              <w:t>Attrition rate for students studying by a mixture of internal and external study</w:t>
            </w:r>
          </w:p>
        </w:tc>
      </w:tr>
      <w:tr w:rsidR="00F7325E" w:rsidTr="00395CA2">
        <w:tc>
          <w:tcPr>
            <w:tcW w:w="2518" w:type="dxa"/>
          </w:tcPr>
          <w:p w:rsidR="00F7325E" w:rsidRDefault="00F7325E" w:rsidP="00386505">
            <w:proofErr w:type="spellStart"/>
            <w:r>
              <w:t>typeftatt</w:t>
            </w:r>
            <w:proofErr w:type="spellEnd"/>
          </w:p>
        </w:tc>
        <w:tc>
          <w:tcPr>
            <w:tcW w:w="6724" w:type="dxa"/>
          </w:tcPr>
          <w:p w:rsidR="00F7325E" w:rsidRDefault="00F7325E" w:rsidP="00697489">
            <w:r>
              <w:t>Attrition rate for students studying full-time</w:t>
            </w:r>
          </w:p>
        </w:tc>
      </w:tr>
      <w:tr w:rsidR="00F7325E" w:rsidTr="00395CA2">
        <w:tc>
          <w:tcPr>
            <w:tcW w:w="2518" w:type="dxa"/>
          </w:tcPr>
          <w:p w:rsidR="00F7325E" w:rsidRDefault="00F7325E" w:rsidP="00386505">
            <w:proofErr w:type="spellStart"/>
            <w:r>
              <w:t>typeptatt</w:t>
            </w:r>
            <w:proofErr w:type="spellEnd"/>
          </w:p>
        </w:tc>
        <w:tc>
          <w:tcPr>
            <w:tcW w:w="6724" w:type="dxa"/>
          </w:tcPr>
          <w:p w:rsidR="00F7325E" w:rsidRDefault="00F7325E" w:rsidP="00697489">
            <w:r>
              <w:t>Attrition rate for students studying part-time</w:t>
            </w:r>
          </w:p>
        </w:tc>
      </w:tr>
      <w:tr w:rsidR="00F7325E" w:rsidTr="00395CA2">
        <w:tc>
          <w:tcPr>
            <w:tcW w:w="2518" w:type="dxa"/>
          </w:tcPr>
          <w:p w:rsidR="00F7325E" w:rsidRDefault="00F7325E" w:rsidP="00386505">
            <w:proofErr w:type="spellStart"/>
            <w:r>
              <w:t>genderfemaleatt</w:t>
            </w:r>
            <w:proofErr w:type="spellEnd"/>
          </w:p>
        </w:tc>
        <w:tc>
          <w:tcPr>
            <w:tcW w:w="6724" w:type="dxa"/>
          </w:tcPr>
          <w:p w:rsidR="00F7325E" w:rsidRDefault="00F7325E" w:rsidP="00F7325E">
            <w:r>
              <w:t>Attrition rate for female students</w:t>
            </w:r>
          </w:p>
        </w:tc>
      </w:tr>
      <w:tr w:rsidR="00F7325E" w:rsidTr="00395CA2">
        <w:tc>
          <w:tcPr>
            <w:tcW w:w="2518" w:type="dxa"/>
          </w:tcPr>
          <w:p w:rsidR="00F7325E" w:rsidRDefault="00F7325E" w:rsidP="00386505">
            <w:proofErr w:type="spellStart"/>
            <w:r>
              <w:t>gendermaleatt</w:t>
            </w:r>
            <w:proofErr w:type="spellEnd"/>
          </w:p>
        </w:tc>
        <w:tc>
          <w:tcPr>
            <w:tcW w:w="6724" w:type="dxa"/>
          </w:tcPr>
          <w:p w:rsidR="00F7325E" w:rsidRDefault="00F7325E" w:rsidP="00386505">
            <w:r>
              <w:t>Attrition rate for male students</w:t>
            </w:r>
          </w:p>
        </w:tc>
      </w:tr>
      <w:tr w:rsidR="00F7325E" w:rsidTr="00395CA2">
        <w:tc>
          <w:tcPr>
            <w:tcW w:w="2518" w:type="dxa"/>
          </w:tcPr>
          <w:p w:rsidR="00F7325E" w:rsidRDefault="00F7325E" w:rsidP="00386505">
            <w:proofErr w:type="spellStart"/>
            <w:r>
              <w:t>ageunder25att</w:t>
            </w:r>
            <w:proofErr w:type="spellEnd"/>
          </w:p>
        </w:tc>
        <w:tc>
          <w:tcPr>
            <w:tcW w:w="6724" w:type="dxa"/>
          </w:tcPr>
          <w:p w:rsidR="00F7325E" w:rsidRDefault="00F7325E" w:rsidP="00386505">
            <w:r>
              <w:t>Attrition rate for students aged under 25</w:t>
            </w:r>
          </w:p>
        </w:tc>
      </w:tr>
      <w:tr w:rsidR="00F7325E" w:rsidTr="00395CA2">
        <w:tc>
          <w:tcPr>
            <w:tcW w:w="2518" w:type="dxa"/>
          </w:tcPr>
          <w:p w:rsidR="00F7325E" w:rsidRDefault="00F7325E" w:rsidP="00386505">
            <w:proofErr w:type="spellStart"/>
            <w:r>
              <w:t>age25to39att</w:t>
            </w:r>
            <w:proofErr w:type="spellEnd"/>
          </w:p>
        </w:tc>
        <w:tc>
          <w:tcPr>
            <w:tcW w:w="6724" w:type="dxa"/>
          </w:tcPr>
          <w:p w:rsidR="00F7325E" w:rsidRDefault="00F7325E" w:rsidP="00F7325E">
            <w:r>
              <w:t>Attrition rate for students aged 25 to 39</w:t>
            </w:r>
          </w:p>
        </w:tc>
      </w:tr>
      <w:tr w:rsidR="00F7325E" w:rsidTr="00395CA2">
        <w:tc>
          <w:tcPr>
            <w:tcW w:w="2518" w:type="dxa"/>
          </w:tcPr>
          <w:p w:rsidR="00F7325E" w:rsidRDefault="00F7325E" w:rsidP="00386505">
            <w:proofErr w:type="spellStart"/>
            <w:r>
              <w:t>agegt39att</w:t>
            </w:r>
            <w:proofErr w:type="spellEnd"/>
          </w:p>
        </w:tc>
        <w:tc>
          <w:tcPr>
            <w:tcW w:w="6724" w:type="dxa"/>
          </w:tcPr>
          <w:p w:rsidR="00F7325E" w:rsidRDefault="00F7325E" w:rsidP="00F7325E">
            <w:r>
              <w:t>Attrition rate for students aged greater than 39</w:t>
            </w:r>
          </w:p>
        </w:tc>
      </w:tr>
      <w:tr w:rsidR="00F7325E" w:rsidTr="00395CA2">
        <w:tc>
          <w:tcPr>
            <w:tcW w:w="2518" w:type="dxa"/>
          </w:tcPr>
          <w:p w:rsidR="00F7325E" w:rsidRDefault="00F7325E" w:rsidP="00386505">
            <w:proofErr w:type="spellStart"/>
            <w:r>
              <w:t>boahigheredatt</w:t>
            </w:r>
            <w:proofErr w:type="spellEnd"/>
          </w:p>
        </w:tc>
        <w:tc>
          <w:tcPr>
            <w:tcW w:w="6724" w:type="dxa"/>
          </w:tcPr>
          <w:p w:rsidR="00F7325E" w:rsidRDefault="00F7325E" w:rsidP="00386505">
            <w:r>
              <w:t>Attrition rate for students who were admitted to their course on the basis of a prior higher education course (complete or incomplete)</w:t>
            </w:r>
          </w:p>
        </w:tc>
      </w:tr>
      <w:tr w:rsidR="00F7325E" w:rsidTr="00395CA2">
        <w:tc>
          <w:tcPr>
            <w:tcW w:w="2518" w:type="dxa"/>
          </w:tcPr>
          <w:p w:rsidR="00F7325E" w:rsidRDefault="00F7325E" w:rsidP="00386505">
            <w:proofErr w:type="spellStart"/>
            <w:r>
              <w:t>boasecondaryatt</w:t>
            </w:r>
            <w:proofErr w:type="spellEnd"/>
          </w:p>
        </w:tc>
        <w:tc>
          <w:tcPr>
            <w:tcW w:w="6724" w:type="dxa"/>
          </w:tcPr>
          <w:p w:rsidR="00F7325E" w:rsidRDefault="00F7325E" w:rsidP="00F7325E">
            <w:r>
              <w:t>Attrition rate for students who were admitted to their course on the basis of secondary education (undertaken at school, VET or other Higher Education Provider)</w:t>
            </w:r>
          </w:p>
        </w:tc>
      </w:tr>
      <w:tr w:rsidR="00F7325E" w:rsidTr="00395CA2">
        <w:tc>
          <w:tcPr>
            <w:tcW w:w="2518" w:type="dxa"/>
          </w:tcPr>
          <w:p w:rsidR="00F7325E" w:rsidRDefault="00F7325E" w:rsidP="00386505">
            <w:proofErr w:type="spellStart"/>
            <w:r>
              <w:t>boavetatt</w:t>
            </w:r>
            <w:proofErr w:type="spellEnd"/>
          </w:p>
        </w:tc>
        <w:tc>
          <w:tcPr>
            <w:tcW w:w="6724" w:type="dxa"/>
          </w:tcPr>
          <w:p w:rsidR="00F7325E" w:rsidRDefault="00F7325E" w:rsidP="00F7325E">
            <w:r>
              <w:t>Attrition rate for students who were admitted to their course on the basis of a prior VET course</w:t>
            </w:r>
            <w:r w:rsidR="001E3C27">
              <w:t xml:space="preserve"> </w:t>
            </w:r>
            <w:r>
              <w:t>(complete or incomplete)</w:t>
            </w:r>
          </w:p>
        </w:tc>
      </w:tr>
      <w:tr w:rsidR="00F7325E" w:rsidTr="00395CA2">
        <w:tc>
          <w:tcPr>
            <w:tcW w:w="2518" w:type="dxa"/>
          </w:tcPr>
          <w:p w:rsidR="00F7325E" w:rsidRDefault="00F7325E" w:rsidP="00386505">
            <w:proofErr w:type="spellStart"/>
            <w:r>
              <w:t>boamatureatt</w:t>
            </w:r>
            <w:proofErr w:type="spellEnd"/>
          </w:p>
        </w:tc>
        <w:tc>
          <w:tcPr>
            <w:tcW w:w="6724" w:type="dxa"/>
          </w:tcPr>
          <w:p w:rsidR="00F7325E" w:rsidRDefault="00F7325E" w:rsidP="00F7325E">
            <w:r>
              <w:t>Attrition rate for students who were admitted to their course on the basis of mature age entry provisions</w:t>
            </w:r>
          </w:p>
        </w:tc>
      </w:tr>
      <w:tr w:rsidR="00F7325E" w:rsidTr="00395CA2">
        <w:tc>
          <w:tcPr>
            <w:tcW w:w="2518" w:type="dxa"/>
          </w:tcPr>
          <w:p w:rsidR="00F7325E" w:rsidRDefault="00F7325E" w:rsidP="00386505">
            <w:proofErr w:type="spellStart"/>
            <w:r>
              <w:t>boaproffatt</w:t>
            </w:r>
            <w:proofErr w:type="spellEnd"/>
          </w:p>
        </w:tc>
        <w:tc>
          <w:tcPr>
            <w:tcW w:w="6724" w:type="dxa"/>
          </w:tcPr>
          <w:p w:rsidR="00F7325E" w:rsidRDefault="00F7325E" w:rsidP="0033688B">
            <w:r>
              <w:t>Attrition rate for students who were admitted to their course on the basis</w:t>
            </w:r>
            <w:r w:rsidR="0033688B">
              <w:t xml:space="preserve"> of</w:t>
            </w:r>
            <w:r>
              <w:t xml:space="preserve"> </w:t>
            </w:r>
            <w:r w:rsidR="0033688B">
              <w:t>p</w:t>
            </w:r>
            <w:r w:rsidR="0033688B" w:rsidRPr="0033688B">
              <w:t xml:space="preserve">rofessional </w:t>
            </w:r>
            <w:r w:rsidR="0033688B">
              <w:t>qualification</w:t>
            </w:r>
          </w:p>
        </w:tc>
      </w:tr>
      <w:tr w:rsidR="00F7325E" w:rsidTr="00395CA2">
        <w:tc>
          <w:tcPr>
            <w:tcW w:w="2518" w:type="dxa"/>
          </w:tcPr>
          <w:p w:rsidR="00F7325E" w:rsidRDefault="00F7325E" w:rsidP="00386505">
            <w:proofErr w:type="spellStart"/>
            <w:r>
              <w:t>boaotheratt</w:t>
            </w:r>
            <w:proofErr w:type="spellEnd"/>
          </w:p>
        </w:tc>
        <w:tc>
          <w:tcPr>
            <w:tcW w:w="6724" w:type="dxa"/>
          </w:tcPr>
          <w:p w:rsidR="00F7325E" w:rsidRDefault="00DA603E" w:rsidP="00DA603E">
            <w:r>
              <w:t xml:space="preserve">Attrition rate for students who were admitted to their course on the basis of ‘other’ entry provisions. For example, interviews, principal recommendation, tests, portfolio submission etc. </w:t>
            </w:r>
          </w:p>
        </w:tc>
      </w:tr>
      <w:tr w:rsidR="00F7325E" w:rsidTr="00395CA2">
        <w:tc>
          <w:tcPr>
            <w:tcW w:w="2518" w:type="dxa"/>
          </w:tcPr>
          <w:p w:rsidR="00F7325E" w:rsidRDefault="00DA603E" w:rsidP="00386505">
            <w:proofErr w:type="spellStart"/>
            <w:r>
              <w:t>atarunder70att</w:t>
            </w:r>
            <w:proofErr w:type="spellEnd"/>
          </w:p>
        </w:tc>
        <w:tc>
          <w:tcPr>
            <w:tcW w:w="6724" w:type="dxa"/>
          </w:tcPr>
          <w:p w:rsidR="00F7325E" w:rsidRDefault="00DA603E" w:rsidP="00386505">
            <w:r>
              <w:t>Attrition rate for students with an Australian Tertiary Admission Rank (</w:t>
            </w:r>
            <w:proofErr w:type="spellStart"/>
            <w:r>
              <w:t>ATAR</w:t>
            </w:r>
            <w:proofErr w:type="spellEnd"/>
            <w:r>
              <w:t xml:space="preserve">) </w:t>
            </w:r>
            <w:proofErr w:type="gramStart"/>
            <w:r>
              <w:t>under</w:t>
            </w:r>
            <w:proofErr w:type="gramEnd"/>
            <w:r>
              <w:t xml:space="preserve"> 70</w:t>
            </w:r>
            <w:r w:rsidR="001E3C27">
              <w:t>. Includes students admitted to higher education on the basis of secondary education only.</w:t>
            </w:r>
          </w:p>
        </w:tc>
      </w:tr>
      <w:tr w:rsidR="00F7325E" w:rsidTr="00395CA2">
        <w:tc>
          <w:tcPr>
            <w:tcW w:w="2518" w:type="dxa"/>
          </w:tcPr>
          <w:p w:rsidR="00F7325E" w:rsidRDefault="00DA603E" w:rsidP="00386505">
            <w:proofErr w:type="spellStart"/>
            <w:r>
              <w:t>atar70to89att</w:t>
            </w:r>
            <w:proofErr w:type="spellEnd"/>
          </w:p>
        </w:tc>
        <w:tc>
          <w:tcPr>
            <w:tcW w:w="6724" w:type="dxa"/>
          </w:tcPr>
          <w:p w:rsidR="00F7325E" w:rsidRDefault="00DA603E" w:rsidP="00DA603E">
            <w:r>
              <w:t>Attrition rate for students with an Australian Tertiary Admission Rank (</w:t>
            </w:r>
            <w:proofErr w:type="spellStart"/>
            <w:r>
              <w:t>ATAR</w:t>
            </w:r>
            <w:proofErr w:type="spellEnd"/>
            <w:r>
              <w:t>) between 70 and 89</w:t>
            </w:r>
            <w:r w:rsidR="001E3C27">
              <w:t>. Includes students admitted to higher education on the basis of secondary education only</w:t>
            </w:r>
          </w:p>
        </w:tc>
      </w:tr>
      <w:tr w:rsidR="00F7325E" w:rsidTr="00395CA2">
        <w:tc>
          <w:tcPr>
            <w:tcW w:w="2518" w:type="dxa"/>
          </w:tcPr>
          <w:p w:rsidR="00F7325E" w:rsidRDefault="00DA603E" w:rsidP="00386505">
            <w:proofErr w:type="spellStart"/>
            <w:r>
              <w:t>atargt89</w:t>
            </w:r>
            <w:proofErr w:type="spellEnd"/>
          </w:p>
        </w:tc>
        <w:tc>
          <w:tcPr>
            <w:tcW w:w="6724" w:type="dxa"/>
          </w:tcPr>
          <w:p w:rsidR="00F7325E" w:rsidRDefault="00DA603E" w:rsidP="00DA603E">
            <w:r>
              <w:t>Attrition rate for students with an Australian Tertiary Admission Rank (</w:t>
            </w:r>
            <w:proofErr w:type="spellStart"/>
            <w:r>
              <w:t>ATAR</w:t>
            </w:r>
            <w:proofErr w:type="spellEnd"/>
            <w:r>
              <w:t>) of 90 or above</w:t>
            </w:r>
            <w:r w:rsidR="001E3C27">
              <w:t>. Includes students admitted to higher education on the basis of secondary education only</w:t>
            </w:r>
          </w:p>
        </w:tc>
      </w:tr>
      <w:tr w:rsidR="00F7325E" w:rsidTr="00395CA2">
        <w:tc>
          <w:tcPr>
            <w:tcW w:w="2518" w:type="dxa"/>
          </w:tcPr>
          <w:p w:rsidR="00F7325E" w:rsidRDefault="00DA603E" w:rsidP="00386505">
            <w:proofErr w:type="spellStart"/>
            <w:r>
              <w:t>bfoescienceatt</w:t>
            </w:r>
            <w:proofErr w:type="spellEnd"/>
          </w:p>
        </w:tc>
        <w:tc>
          <w:tcPr>
            <w:tcW w:w="6724" w:type="dxa"/>
          </w:tcPr>
          <w:p w:rsidR="00F7325E" w:rsidRDefault="00395CA2" w:rsidP="00395CA2">
            <w:r>
              <w:t>Attrition rate for students studying</w:t>
            </w:r>
            <w:r w:rsidR="001E3C27">
              <w:t xml:space="preserve"> in</w:t>
            </w:r>
            <w:r>
              <w:t xml:space="preserve"> the broad field of education of </w:t>
            </w:r>
            <w:r w:rsidR="00DA603E">
              <w:t>Natural</w:t>
            </w:r>
            <w:r>
              <w:t xml:space="preserve"> and Physical S</w:t>
            </w:r>
            <w:r w:rsidR="00DA603E">
              <w:t xml:space="preserve">ciences </w:t>
            </w:r>
          </w:p>
        </w:tc>
      </w:tr>
      <w:tr w:rsidR="00F7325E" w:rsidTr="00395CA2">
        <w:tc>
          <w:tcPr>
            <w:tcW w:w="2518" w:type="dxa"/>
          </w:tcPr>
          <w:p w:rsidR="00F7325E" w:rsidRDefault="00DA603E" w:rsidP="00386505">
            <w:proofErr w:type="spellStart"/>
            <w:r>
              <w:t>bfoeITatt</w:t>
            </w:r>
            <w:proofErr w:type="spellEnd"/>
          </w:p>
        </w:tc>
        <w:tc>
          <w:tcPr>
            <w:tcW w:w="6724" w:type="dxa"/>
          </w:tcPr>
          <w:p w:rsidR="00F7325E" w:rsidRDefault="00395CA2" w:rsidP="00386505">
            <w:r>
              <w:t xml:space="preserve">Attrition rate for students studying </w:t>
            </w:r>
            <w:r w:rsidR="001E3C27">
              <w:t xml:space="preserve">in </w:t>
            </w:r>
            <w:r>
              <w:t xml:space="preserve">the broad field of education of </w:t>
            </w:r>
            <w:r w:rsidR="00DA603E">
              <w:t xml:space="preserve">Information Technology </w:t>
            </w:r>
          </w:p>
        </w:tc>
      </w:tr>
      <w:tr w:rsidR="00DA603E" w:rsidTr="00395CA2">
        <w:tc>
          <w:tcPr>
            <w:tcW w:w="2518" w:type="dxa"/>
          </w:tcPr>
          <w:p w:rsidR="00DA603E" w:rsidRDefault="00DA603E" w:rsidP="00386505">
            <w:proofErr w:type="spellStart"/>
            <w:r>
              <w:t>bfoeengineeratt</w:t>
            </w:r>
            <w:proofErr w:type="spellEnd"/>
          </w:p>
        </w:tc>
        <w:tc>
          <w:tcPr>
            <w:tcW w:w="6724" w:type="dxa"/>
          </w:tcPr>
          <w:p w:rsidR="00DA603E" w:rsidRDefault="00395CA2" w:rsidP="00395CA2">
            <w:r>
              <w:t>Attrition rate for students studying</w:t>
            </w:r>
            <w:r w:rsidR="001E3C27">
              <w:t xml:space="preserve"> in</w:t>
            </w:r>
            <w:r>
              <w:t xml:space="preserve"> the broad field of education of Engineering and Related Technologies</w:t>
            </w:r>
          </w:p>
        </w:tc>
      </w:tr>
      <w:tr w:rsidR="00DA603E" w:rsidTr="00395CA2">
        <w:tc>
          <w:tcPr>
            <w:tcW w:w="2518" w:type="dxa"/>
          </w:tcPr>
          <w:p w:rsidR="00DA603E" w:rsidRDefault="00DA603E" w:rsidP="00386505">
            <w:proofErr w:type="spellStart"/>
            <w:r>
              <w:t>bfoearchatt</w:t>
            </w:r>
            <w:proofErr w:type="spellEnd"/>
          </w:p>
        </w:tc>
        <w:tc>
          <w:tcPr>
            <w:tcW w:w="6724" w:type="dxa"/>
          </w:tcPr>
          <w:p w:rsidR="00DA603E" w:rsidRDefault="00395CA2" w:rsidP="00395CA2">
            <w:r>
              <w:t xml:space="preserve">Attrition rate for students studying </w:t>
            </w:r>
            <w:r w:rsidR="001E3C27">
              <w:t xml:space="preserve"> in </w:t>
            </w:r>
            <w:r>
              <w:t xml:space="preserve">the broad field of education of </w:t>
            </w:r>
            <w:r w:rsidR="00DA603E">
              <w:t xml:space="preserve">Architecture </w:t>
            </w:r>
            <w:r>
              <w:t>and Building</w:t>
            </w:r>
          </w:p>
        </w:tc>
      </w:tr>
      <w:tr w:rsidR="00DA603E" w:rsidTr="00395CA2">
        <w:tc>
          <w:tcPr>
            <w:tcW w:w="2518" w:type="dxa"/>
          </w:tcPr>
          <w:p w:rsidR="00DA603E" w:rsidRDefault="00DA603E" w:rsidP="00386505">
            <w:proofErr w:type="spellStart"/>
            <w:r>
              <w:t>bfoeagricatt</w:t>
            </w:r>
            <w:proofErr w:type="spellEnd"/>
          </w:p>
        </w:tc>
        <w:tc>
          <w:tcPr>
            <w:tcW w:w="6724" w:type="dxa"/>
          </w:tcPr>
          <w:p w:rsidR="00DA603E" w:rsidRDefault="00395CA2" w:rsidP="00395CA2">
            <w:r>
              <w:t>Attrition rate for students studying</w:t>
            </w:r>
            <w:r w:rsidR="001E3C27">
              <w:t xml:space="preserve"> in</w:t>
            </w:r>
            <w:r>
              <w:t xml:space="preserve"> the broad field of education of </w:t>
            </w:r>
            <w:r w:rsidR="00DA603E">
              <w:lastRenderedPageBreak/>
              <w:t>Agriculture</w:t>
            </w:r>
            <w:r>
              <w:t>, Environmental and Related Studies</w:t>
            </w:r>
          </w:p>
        </w:tc>
      </w:tr>
      <w:tr w:rsidR="00DA603E" w:rsidTr="00395CA2">
        <w:tc>
          <w:tcPr>
            <w:tcW w:w="2518" w:type="dxa"/>
          </w:tcPr>
          <w:p w:rsidR="00DA603E" w:rsidRDefault="00DA603E" w:rsidP="00386505">
            <w:proofErr w:type="spellStart"/>
            <w:r>
              <w:lastRenderedPageBreak/>
              <w:t>bfoehealthatt</w:t>
            </w:r>
            <w:proofErr w:type="spellEnd"/>
          </w:p>
        </w:tc>
        <w:tc>
          <w:tcPr>
            <w:tcW w:w="6724" w:type="dxa"/>
          </w:tcPr>
          <w:p w:rsidR="00DA603E" w:rsidRDefault="00395CA2" w:rsidP="00395CA2">
            <w:r>
              <w:t xml:space="preserve">Attrition rate for students studying </w:t>
            </w:r>
            <w:r w:rsidR="001E3C27">
              <w:t xml:space="preserve"> in </w:t>
            </w:r>
            <w:r>
              <w:t xml:space="preserve">the broad field of education of </w:t>
            </w:r>
            <w:r w:rsidR="00DA603E">
              <w:t xml:space="preserve">Health </w:t>
            </w:r>
          </w:p>
        </w:tc>
      </w:tr>
      <w:tr w:rsidR="00DA603E" w:rsidTr="00395CA2">
        <w:tc>
          <w:tcPr>
            <w:tcW w:w="2518" w:type="dxa"/>
          </w:tcPr>
          <w:p w:rsidR="00DA603E" w:rsidRDefault="00DA603E" w:rsidP="00386505">
            <w:proofErr w:type="spellStart"/>
            <w:r>
              <w:t>bfoeeducatt</w:t>
            </w:r>
            <w:proofErr w:type="spellEnd"/>
          </w:p>
        </w:tc>
        <w:tc>
          <w:tcPr>
            <w:tcW w:w="6724" w:type="dxa"/>
          </w:tcPr>
          <w:p w:rsidR="00DA603E" w:rsidRDefault="00395CA2" w:rsidP="00395CA2">
            <w:r>
              <w:t>Attrition rate for students studying</w:t>
            </w:r>
            <w:r w:rsidR="001E3C27">
              <w:t xml:space="preserve"> in </w:t>
            </w:r>
            <w:r>
              <w:t xml:space="preserve"> the broad field of education of </w:t>
            </w:r>
            <w:r w:rsidR="00DA603E">
              <w:t xml:space="preserve">Education </w:t>
            </w:r>
          </w:p>
        </w:tc>
      </w:tr>
      <w:tr w:rsidR="00DA603E" w:rsidTr="00395CA2">
        <w:tc>
          <w:tcPr>
            <w:tcW w:w="2518" w:type="dxa"/>
          </w:tcPr>
          <w:p w:rsidR="00DA603E" w:rsidRDefault="00DA603E" w:rsidP="00386505">
            <w:proofErr w:type="spellStart"/>
            <w:r>
              <w:t>bfoemanageatt</w:t>
            </w:r>
            <w:proofErr w:type="spellEnd"/>
          </w:p>
        </w:tc>
        <w:tc>
          <w:tcPr>
            <w:tcW w:w="6724" w:type="dxa"/>
          </w:tcPr>
          <w:p w:rsidR="00DA603E" w:rsidRDefault="00395CA2" w:rsidP="00DA603E">
            <w:r>
              <w:t xml:space="preserve">Attrition rate for students studying </w:t>
            </w:r>
            <w:r w:rsidR="001E3C27">
              <w:t xml:space="preserve">in </w:t>
            </w:r>
            <w:r>
              <w:t xml:space="preserve">the broad field of education of </w:t>
            </w:r>
            <w:r w:rsidR="00DA603E">
              <w:t xml:space="preserve">Management and </w:t>
            </w:r>
            <w:r>
              <w:t>Commerce</w:t>
            </w:r>
          </w:p>
          <w:p w:rsidR="00DA603E" w:rsidRDefault="00DA603E" w:rsidP="00386505"/>
        </w:tc>
      </w:tr>
      <w:tr w:rsidR="00DA603E" w:rsidTr="00395CA2">
        <w:tc>
          <w:tcPr>
            <w:tcW w:w="2518" w:type="dxa"/>
          </w:tcPr>
          <w:p w:rsidR="00DA603E" w:rsidRDefault="00DA603E" w:rsidP="00386505">
            <w:proofErr w:type="spellStart"/>
            <w:r>
              <w:t>bfoesocietyatt</w:t>
            </w:r>
            <w:proofErr w:type="spellEnd"/>
          </w:p>
        </w:tc>
        <w:tc>
          <w:tcPr>
            <w:tcW w:w="6724" w:type="dxa"/>
          </w:tcPr>
          <w:p w:rsidR="00DA603E" w:rsidRDefault="00395CA2" w:rsidP="00395CA2">
            <w:r>
              <w:t xml:space="preserve">Attrition rate for students studying </w:t>
            </w:r>
            <w:r w:rsidR="001E3C27">
              <w:t xml:space="preserve">in </w:t>
            </w:r>
            <w:r>
              <w:t>the broad field of education of Society and C</w:t>
            </w:r>
            <w:r w:rsidR="00DA603E">
              <w:t xml:space="preserve">ulture </w:t>
            </w:r>
          </w:p>
        </w:tc>
      </w:tr>
      <w:tr w:rsidR="00DA603E" w:rsidTr="00395CA2">
        <w:tc>
          <w:tcPr>
            <w:tcW w:w="2518" w:type="dxa"/>
          </w:tcPr>
          <w:p w:rsidR="00DA603E" w:rsidRDefault="00DA603E" w:rsidP="00386505">
            <w:proofErr w:type="spellStart"/>
            <w:r>
              <w:t>bfoeartsatt</w:t>
            </w:r>
            <w:proofErr w:type="spellEnd"/>
          </w:p>
        </w:tc>
        <w:tc>
          <w:tcPr>
            <w:tcW w:w="6724" w:type="dxa"/>
          </w:tcPr>
          <w:p w:rsidR="00DA603E" w:rsidRDefault="00395CA2" w:rsidP="00395CA2">
            <w:r>
              <w:t>Attrition rate for students studying</w:t>
            </w:r>
            <w:r w:rsidR="001E3C27">
              <w:t xml:space="preserve"> in</w:t>
            </w:r>
            <w:r>
              <w:t xml:space="preserve"> the broad field of education of Creative A</w:t>
            </w:r>
            <w:r w:rsidR="00DA603E">
              <w:t>rts</w:t>
            </w:r>
          </w:p>
        </w:tc>
      </w:tr>
    </w:tbl>
    <w:p w:rsidR="00DB3213" w:rsidRDefault="00DB3213" w:rsidP="00386505">
      <w:pPr>
        <w:spacing w:line="240" w:lineRule="auto"/>
      </w:pPr>
    </w:p>
    <w:p w:rsidR="00395CA2" w:rsidRDefault="00395CA2" w:rsidP="00386505">
      <w:pPr>
        <w:spacing w:line="240" w:lineRule="auto"/>
      </w:pPr>
    </w:p>
    <w:p w:rsidR="00395CA2" w:rsidRPr="002B63BD" w:rsidRDefault="00395CA2" w:rsidP="00395CA2">
      <w:pPr>
        <w:spacing w:line="240" w:lineRule="auto"/>
        <w:rPr>
          <w:sz w:val="24"/>
          <w:u w:val="single"/>
        </w:rPr>
      </w:pPr>
      <w:proofErr w:type="spellStart"/>
      <w:r w:rsidRPr="002B63BD">
        <w:rPr>
          <w:sz w:val="24"/>
          <w:u w:val="single"/>
        </w:rPr>
        <w:t>SA3</w:t>
      </w:r>
      <w:proofErr w:type="spellEnd"/>
      <w:r w:rsidR="003F27F7">
        <w:rPr>
          <w:sz w:val="24"/>
          <w:u w:val="single"/>
        </w:rPr>
        <w:t xml:space="preserve"> </w:t>
      </w:r>
      <w:r w:rsidRPr="002B63BD">
        <w:rPr>
          <w:sz w:val="24"/>
          <w:u w:val="single"/>
        </w:rPr>
        <w:t>HE</w:t>
      </w:r>
      <w:r w:rsidR="003F27F7">
        <w:rPr>
          <w:sz w:val="24"/>
          <w:u w:val="single"/>
        </w:rPr>
        <w:t xml:space="preserve"> A</w:t>
      </w:r>
      <w:r w:rsidRPr="002B63BD">
        <w:rPr>
          <w:sz w:val="24"/>
          <w:u w:val="single"/>
        </w:rPr>
        <w:t>ttrition</w:t>
      </w:r>
      <w:r w:rsidR="003F27F7">
        <w:rPr>
          <w:sz w:val="24"/>
          <w:u w:val="single"/>
        </w:rPr>
        <w:t xml:space="preserve"> D</w:t>
      </w:r>
      <w:r w:rsidRPr="002B63BD">
        <w:rPr>
          <w:sz w:val="24"/>
          <w:u w:val="single"/>
        </w:rPr>
        <w:t>ata</w:t>
      </w:r>
      <w:r w:rsidR="00B32C4A">
        <w:rPr>
          <w:sz w:val="24"/>
          <w:u w:val="single"/>
        </w:rPr>
        <w:t>, 2005-2013</w:t>
      </w:r>
      <w:r w:rsidRPr="002B63BD">
        <w:rPr>
          <w:sz w:val="24"/>
          <w:u w:val="single"/>
        </w:rPr>
        <w:t>.csv</w:t>
      </w:r>
      <w:r w:rsidR="001E3C27" w:rsidRPr="001E3C27">
        <w:rPr>
          <w:sz w:val="24"/>
        </w:rPr>
        <w:t xml:space="preserve"> (Geographical data)</w:t>
      </w:r>
    </w:p>
    <w:tbl>
      <w:tblPr>
        <w:tblStyle w:val="TableGrid"/>
        <w:tblW w:w="0" w:type="auto"/>
        <w:tblLook w:val="04A0" w:firstRow="1" w:lastRow="0" w:firstColumn="1" w:lastColumn="0" w:noHBand="0" w:noVBand="1"/>
      </w:tblPr>
      <w:tblGrid>
        <w:gridCol w:w="2518"/>
        <w:gridCol w:w="6724"/>
      </w:tblGrid>
      <w:tr w:rsidR="00395CA2" w:rsidRPr="002B1CC6" w:rsidTr="00AA4CEB">
        <w:tc>
          <w:tcPr>
            <w:tcW w:w="2518" w:type="dxa"/>
            <w:shd w:val="clear" w:color="auto" w:fill="8DB3E2" w:themeFill="text2" w:themeFillTint="66"/>
          </w:tcPr>
          <w:p w:rsidR="00395CA2" w:rsidRPr="002B1CC6" w:rsidRDefault="00395CA2" w:rsidP="00697489">
            <w:pPr>
              <w:rPr>
                <w:b/>
              </w:rPr>
            </w:pPr>
            <w:r w:rsidRPr="002B1CC6">
              <w:rPr>
                <w:b/>
              </w:rPr>
              <w:t>Variable</w:t>
            </w:r>
          </w:p>
        </w:tc>
        <w:tc>
          <w:tcPr>
            <w:tcW w:w="6724" w:type="dxa"/>
            <w:shd w:val="clear" w:color="auto" w:fill="8DB3E2" w:themeFill="text2" w:themeFillTint="66"/>
          </w:tcPr>
          <w:p w:rsidR="00395CA2" w:rsidRPr="002B1CC6" w:rsidRDefault="00395CA2" w:rsidP="00697489">
            <w:pPr>
              <w:rPr>
                <w:b/>
              </w:rPr>
            </w:pPr>
            <w:r w:rsidRPr="002B1CC6">
              <w:rPr>
                <w:b/>
              </w:rPr>
              <w:t>Description</w:t>
            </w:r>
          </w:p>
        </w:tc>
      </w:tr>
      <w:tr w:rsidR="00395CA2" w:rsidTr="00AA4CEB">
        <w:tc>
          <w:tcPr>
            <w:tcW w:w="2518" w:type="dxa"/>
          </w:tcPr>
          <w:p w:rsidR="00395CA2" w:rsidRDefault="00395CA2" w:rsidP="00697489">
            <w:proofErr w:type="spellStart"/>
            <w:r>
              <w:t>SA3code</w:t>
            </w:r>
            <w:proofErr w:type="spellEnd"/>
          </w:p>
        </w:tc>
        <w:tc>
          <w:tcPr>
            <w:tcW w:w="6724" w:type="dxa"/>
          </w:tcPr>
          <w:p w:rsidR="00395CA2" w:rsidRDefault="00395CA2" w:rsidP="00395CA2">
            <w:r>
              <w:rPr>
                <w:lang w:eastAsia="en-AU"/>
              </w:rPr>
              <w:t xml:space="preserve">Statistical Area Level 3 code from the </w:t>
            </w:r>
            <w:r w:rsidRPr="00B66C54">
              <w:rPr>
                <w:lang w:eastAsia="en-AU"/>
              </w:rPr>
              <w:t>Australian Bureau of Statistics'</w:t>
            </w:r>
            <w:r>
              <w:rPr>
                <w:lang w:eastAsia="en-AU"/>
              </w:rPr>
              <w:t xml:space="preserve"> Australian Statistics Geography Standard (</w:t>
            </w:r>
            <w:proofErr w:type="spellStart"/>
            <w:r>
              <w:rPr>
                <w:lang w:eastAsia="en-AU"/>
              </w:rPr>
              <w:t>ASGS</w:t>
            </w:r>
            <w:proofErr w:type="spellEnd"/>
            <w:r>
              <w:rPr>
                <w:lang w:eastAsia="en-AU"/>
              </w:rPr>
              <w:t>) 2011</w:t>
            </w:r>
          </w:p>
        </w:tc>
      </w:tr>
      <w:tr w:rsidR="00395CA2" w:rsidTr="00AA4CEB">
        <w:tc>
          <w:tcPr>
            <w:tcW w:w="2518" w:type="dxa"/>
          </w:tcPr>
          <w:p w:rsidR="00395CA2" w:rsidRDefault="00395CA2" w:rsidP="00697489">
            <w:proofErr w:type="spellStart"/>
            <w:r>
              <w:t>SA3name</w:t>
            </w:r>
            <w:proofErr w:type="spellEnd"/>
          </w:p>
        </w:tc>
        <w:tc>
          <w:tcPr>
            <w:tcW w:w="6724" w:type="dxa"/>
          </w:tcPr>
          <w:p w:rsidR="00395CA2" w:rsidRDefault="00395CA2" w:rsidP="00395CA2">
            <w:r>
              <w:rPr>
                <w:lang w:eastAsia="en-AU"/>
              </w:rPr>
              <w:t xml:space="preserve">Statistical Area Level 3 name  from the </w:t>
            </w:r>
            <w:r w:rsidRPr="00B66C54">
              <w:rPr>
                <w:lang w:eastAsia="en-AU"/>
              </w:rPr>
              <w:t>Australian Bureau of Statistics'</w:t>
            </w:r>
            <w:r>
              <w:rPr>
                <w:lang w:eastAsia="en-AU"/>
              </w:rPr>
              <w:t xml:space="preserve"> Australian Statistics Geography Standard (</w:t>
            </w:r>
            <w:proofErr w:type="spellStart"/>
            <w:r>
              <w:rPr>
                <w:lang w:eastAsia="en-AU"/>
              </w:rPr>
              <w:t>ASGS</w:t>
            </w:r>
            <w:proofErr w:type="spellEnd"/>
            <w:r>
              <w:rPr>
                <w:lang w:eastAsia="en-AU"/>
              </w:rPr>
              <w:t>) 2011</w:t>
            </w:r>
          </w:p>
        </w:tc>
      </w:tr>
      <w:tr w:rsidR="00395CA2" w:rsidTr="00AA4CEB">
        <w:tc>
          <w:tcPr>
            <w:tcW w:w="2518" w:type="dxa"/>
          </w:tcPr>
          <w:p w:rsidR="00395CA2" w:rsidRDefault="00395CA2" w:rsidP="00697489">
            <w:r>
              <w:t>2005 to 2013</w:t>
            </w:r>
          </w:p>
        </w:tc>
        <w:tc>
          <w:tcPr>
            <w:tcW w:w="6724" w:type="dxa"/>
          </w:tcPr>
          <w:p w:rsidR="00395CA2" w:rsidRDefault="00395CA2" w:rsidP="00395CA2">
            <w:r>
              <w:t>Attrition rate for the year indicated</w:t>
            </w:r>
          </w:p>
        </w:tc>
      </w:tr>
    </w:tbl>
    <w:p w:rsidR="002B63BD" w:rsidRDefault="002B63BD" w:rsidP="00395CA2">
      <w:pPr>
        <w:spacing w:line="240" w:lineRule="auto"/>
        <w:rPr>
          <w:b/>
          <w:sz w:val="24"/>
        </w:rPr>
      </w:pPr>
    </w:p>
    <w:p w:rsidR="00395CA2" w:rsidRPr="002B63BD" w:rsidRDefault="001E3C27" w:rsidP="00395CA2">
      <w:pPr>
        <w:spacing w:line="240" w:lineRule="auto"/>
        <w:rPr>
          <w:sz w:val="24"/>
          <w:u w:val="single"/>
        </w:rPr>
      </w:pPr>
      <w:proofErr w:type="spellStart"/>
      <w:r>
        <w:rPr>
          <w:sz w:val="24"/>
          <w:u w:val="single"/>
        </w:rPr>
        <w:t>LGA</w:t>
      </w:r>
      <w:proofErr w:type="spellEnd"/>
      <w:r w:rsidR="003F27F7">
        <w:rPr>
          <w:sz w:val="24"/>
          <w:u w:val="single"/>
        </w:rPr>
        <w:t xml:space="preserve"> </w:t>
      </w:r>
      <w:r w:rsidR="00395CA2" w:rsidRPr="002B63BD">
        <w:rPr>
          <w:sz w:val="24"/>
          <w:u w:val="single"/>
        </w:rPr>
        <w:t>HE</w:t>
      </w:r>
      <w:r w:rsidR="003F27F7">
        <w:rPr>
          <w:sz w:val="24"/>
          <w:u w:val="single"/>
        </w:rPr>
        <w:t xml:space="preserve"> A</w:t>
      </w:r>
      <w:r w:rsidR="00395CA2" w:rsidRPr="002B63BD">
        <w:rPr>
          <w:sz w:val="24"/>
          <w:u w:val="single"/>
        </w:rPr>
        <w:t>ttrition</w:t>
      </w:r>
      <w:r w:rsidR="003F27F7">
        <w:rPr>
          <w:sz w:val="24"/>
          <w:u w:val="single"/>
        </w:rPr>
        <w:t xml:space="preserve"> D</w:t>
      </w:r>
      <w:r w:rsidR="00395CA2" w:rsidRPr="002B63BD">
        <w:rPr>
          <w:sz w:val="24"/>
          <w:u w:val="single"/>
        </w:rPr>
        <w:t>ata</w:t>
      </w:r>
      <w:r w:rsidR="00B32C4A">
        <w:rPr>
          <w:sz w:val="24"/>
          <w:u w:val="single"/>
        </w:rPr>
        <w:t>, 2005-</w:t>
      </w:r>
      <w:proofErr w:type="gramStart"/>
      <w:r w:rsidR="00B32C4A">
        <w:rPr>
          <w:sz w:val="24"/>
          <w:u w:val="single"/>
        </w:rPr>
        <w:t>2013</w:t>
      </w:r>
      <w:r w:rsidR="00395CA2" w:rsidRPr="002B63BD">
        <w:rPr>
          <w:sz w:val="24"/>
          <w:u w:val="single"/>
        </w:rPr>
        <w:t>.csv</w:t>
      </w:r>
      <w:r>
        <w:rPr>
          <w:sz w:val="24"/>
          <w:u w:val="single"/>
        </w:rPr>
        <w:t xml:space="preserve"> </w:t>
      </w:r>
      <w:r w:rsidRPr="001E3C27">
        <w:rPr>
          <w:sz w:val="24"/>
        </w:rPr>
        <w:t xml:space="preserve"> (</w:t>
      </w:r>
      <w:proofErr w:type="gramEnd"/>
      <w:r w:rsidRPr="001E3C27">
        <w:rPr>
          <w:sz w:val="24"/>
        </w:rPr>
        <w:t>Geographical data)</w:t>
      </w:r>
    </w:p>
    <w:tbl>
      <w:tblPr>
        <w:tblStyle w:val="TableGrid"/>
        <w:tblW w:w="0" w:type="auto"/>
        <w:tblLook w:val="04A0" w:firstRow="1" w:lastRow="0" w:firstColumn="1" w:lastColumn="0" w:noHBand="0" w:noVBand="1"/>
      </w:tblPr>
      <w:tblGrid>
        <w:gridCol w:w="2518"/>
        <w:gridCol w:w="6724"/>
      </w:tblGrid>
      <w:tr w:rsidR="00395CA2" w:rsidRPr="002B1CC6" w:rsidTr="002B009C">
        <w:tc>
          <w:tcPr>
            <w:tcW w:w="2518" w:type="dxa"/>
            <w:shd w:val="clear" w:color="auto" w:fill="8DB3E2" w:themeFill="text2" w:themeFillTint="66"/>
          </w:tcPr>
          <w:p w:rsidR="00395CA2" w:rsidRPr="002B1CC6" w:rsidRDefault="00395CA2" w:rsidP="00697489">
            <w:pPr>
              <w:rPr>
                <w:b/>
              </w:rPr>
            </w:pPr>
            <w:r w:rsidRPr="002B1CC6">
              <w:rPr>
                <w:b/>
              </w:rPr>
              <w:t>Variable</w:t>
            </w:r>
          </w:p>
        </w:tc>
        <w:tc>
          <w:tcPr>
            <w:tcW w:w="6724" w:type="dxa"/>
            <w:shd w:val="clear" w:color="auto" w:fill="8DB3E2" w:themeFill="text2" w:themeFillTint="66"/>
          </w:tcPr>
          <w:p w:rsidR="00395CA2" w:rsidRPr="002B1CC6" w:rsidRDefault="00395CA2" w:rsidP="00697489">
            <w:pPr>
              <w:rPr>
                <w:b/>
              </w:rPr>
            </w:pPr>
            <w:r w:rsidRPr="002B1CC6">
              <w:rPr>
                <w:b/>
              </w:rPr>
              <w:t>Description</w:t>
            </w:r>
          </w:p>
        </w:tc>
      </w:tr>
      <w:tr w:rsidR="00395CA2" w:rsidTr="00AA4CEB">
        <w:tc>
          <w:tcPr>
            <w:tcW w:w="2518" w:type="dxa"/>
          </w:tcPr>
          <w:p w:rsidR="00395CA2" w:rsidRDefault="002B63BD" w:rsidP="00697489">
            <w:proofErr w:type="spellStart"/>
            <w:r>
              <w:t>LGA</w:t>
            </w:r>
            <w:r w:rsidR="00395CA2">
              <w:t>code</w:t>
            </w:r>
            <w:proofErr w:type="spellEnd"/>
          </w:p>
        </w:tc>
        <w:tc>
          <w:tcPr>
            <w:tcW w:w="6724" w:type="dxa"/>
          </w:tcPr>
          <w:p w:rsidR="00395CA2" w:rsidRDefault="002B63BD" w:rsidP="002B63BD">
            <w:r>
              <w:rPr>
                <w:lang w:eastAsia="en-AU"/>
              </w:rPr>
              <w:t>Local Governmen</w:t>
            </w:r>
            <w:bookmarkStart w:id="0" w:name="_GoBack"/>
            <w:bookmarkEnd w:id="0"/>
            <w:r>
              <w:rPr>
                <w:lang w:eastAsia="en-AU"/>
              </w:rPr>
              <w:t>t Area (</w:t>
            </w:r>
            <w:proofErr w:type="spellStart"/>
            <w:r>
              <w:rPr>
                <w:lang w:eastAsia="en-AU"/>
              </w:rPr>
              <w:t>LGA</w:t>
            </w:r>
            <w:proofErr w:type="spellEnd"/>
            <w:r>
              <w:rPr>
                <w:lang w:eastAsia="en-AU"/>
              </w:rPr>
              <w:t>)</w:t>
            </w:r>
            <w:r w:rsidR="00395CA2">
              <w:rPr>
                <w:lang w:eastAsia="en-AU"/>
              </w:rPr>
              <w:t xml:space="preserve"> code </w:t>
            </w:r>
            <w:r>
              <w:rPr>
                <w:lang w:eastAsia="en-AU"/>
              </w:rPr>
              <w:t>using 2015 boundaries from</w:t>
            </w:r>
            <w:r w:rsidR="00395CA2">
              <w:rPr>
                <w:lang w:eastAsia="en-AU"/>
              </w:rPr>
              <w:t xml:space="preserve"> the </w:t>
            </w:r>
            <w:r>
              <w:rPr>
                <w:lang w:eastAsia="en-AU"/>
              </w:rPr>
              <w:t>Australian Bureau of Statistics  definition (latest available boundaries)</w:t>
            </w:r>
          </w:p>
        </w:tc>
      </w:tr>
      <w:tr w:rsidR="00395CA2" w:rsidTr="00AA4CEB">
        <w:tc>
          <w:tcPr>
            <w:tcW w:w="2518" w:type="dxa"/>
          </w:tcPr>
          <w:p w:rsidR="00395CA2" w:rsidRDefault="002B63BD" w:rsidP="00697489">
            <w:proofErr w:type="spellStart"/>
            <w:r>
              <w:t>LGA</w:t>
            </w:r>
            <w:r w:rsidR="00395CA2">
              <w:t>name</w:t>
            </w:r>
            <w:proofErr w:type="spellEnd"/>
          </w:p>
        </w:tc>
        <w:tc>
          <w:tcPr>
            <w:tcW w:w="6724" w:type="dxa"/>
          </w:tcPr>
          <w:p w:rsidR="00395CA2" w:rsidRDefault="002B63BD" w:rsidP="00697489">
            <w:r>
              <w:rPr>
                <w:lang w:eastAsia="en-AU"/>
              </w:rPr>
              <w:t>Local Government Area (</w:t>
            </w:r>
            <w:proofErr w:type="spellStart"/>
            <w:r>
              <w:rPr>
                <w:lang w:eastAsia="en-AU"/>
              </w:rPr>
              <w:t>LGA</w:t>
            </w:r>
            <w:proofErr w:type="spellEnd"/>
            <w:r>
              <w:rPr>
                <w:lang w:eastAsia="en-AU"/>
              </w:rPr>
              <w:t>) name using 2015 boundaries from the Australian Bureau of Statistics  definition (latest available boundaries)</w:t>
            </w:r>
          </w:p>
        </w:tc>
      </w:tr>
      <w:tr w:rsidR="00395CA2" w:rsidTr="00AA4CEB">
        <w:tc>
          <w:tcPr>
            <w:tcW w:w="2518" w:type="dxa"/>
          </w:tcPr>
          <w:p w:rsidR="00395CA2" w:rsidRDefault="00395CA2" w:rsidP="00697489">
            <w:r>
              <w:t>2005 to 2013</w:t>
            </w:r>
          </w:p>
        </w:tc>
        <w:tc>
          <w:tcPr>
            <w:tcW w:w="6724" w:type="dxa"/>
          </w:tcPr>
          <w:p w:rsidR="00395CA2" w:rsidRDefault="00395CA2" w:rsidP="00697489">
            <w:r>
              <w:t>Attrition rate for the year indicated</w:t>
            </w:r>
          </w:p>
        </w:tc>
      </w:tr>
    </w:tbl>
    <w:p w:rsidR="00395CA2" w:rsidRDefault="00395CA2" w:rsidP="00386505">
      <w:pPr>
        <w:spacing w:line="240" w:lineRule="auto"/>
      </w:pPr>
    </w:p>
    <w:p w:rsidR="007522E2" w:rsidRDefault="007522E2" w:rsidP="002B63BD">
      <w:pPr>
        <w:spacing w:line="240" w:lineRule="auto"/>
        <w:rPr>
          <w:b/>
          <w:sz w:val="24"/>
        </w:rPr>
      </w:pPr>
    </w:p>
    <w:p w:rsidR="002B63BD" w:rsidRDefault="007522E2" w:rsidP="002B63BD">
      <w:pPr>
        <w:spacing w:line="240" w:lineRule="auto"/>
        <w:rPr>
          <w:sz w:val="24"/>
        </w:rPr>
      </w:pPr>
      <w:r>
        <w:rPr>
          <w:b/>
          <w:sz w:val="24"/>
        </w:rPr>
        <w:t>Data note</w:t>
      </w:r>
      <w:r w:rsidR="002B63BD">
        <w:rPr>
          <w:b/>
          <w:sz w:val="24"/>
        </w:rPr>
        <w:t xml:space="preserve"> </w:t>
      </w:r>
      <w:r w:rsidR="002B63BD" w:rsidRPr="00395CA2">
        <w:rPr>
          <w:sz w:val="24"/>
        </w:rPr>
        <w:t>‘-</w:t>
      </w:r>
      <w:proofErr w:type="gramStart"/>
      <w:r w:rsidR="002B63BD" w:rsidRPr="00395CA2">
        <w:rPr>
          <w:sz w:val="24"/>
        </w:rPr>
        <w:t>‘</w:t>
      </w:r>
      <w:r w:rsidR="002B63BD">
        <w:rPr>
          <w:sz w:val="24"/>
        </w:rPr>
        <w:t xml:space="preserve"> indicates</w:t>
      </w:r>
      <w:proofErr w:type="gramEnd"/>
      <w:r w:rsidR="002B63BD">
        <w:rPr>
          <w:sz w:val="24"/>
        </w:rPr>
        <w:t xml:space="preserve"> that the attrition rate cannot be published due to insufficient data (less than 5 students) within the cell. </w:t>
      </w:r>
    </w:p>
    <w:p w:rsidR="002B63BD" w:rsidRDefault="002B63BD" w:rsidP="00386505">
      <w:pPr>
        <w:spacing w:line="240" w:lineRule="auto"/>
      </w:pPr>
    </w:p>
    <w:sectPr w:rsidR="002B63BD" w:rsidSect="002B1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5ECA2C4F"/>
    <w:multiLevelType w:val="multilevel"/>
    <w:tmpl w:val="2E32AD8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2d946c3c-3616-4e51-808c-5920cbf733d7"/>
  </w:docVars>
  <w:rsids>
    <w:rsidRoot w:val="005547AB"/>
    <w:rsid w:val="00187D06"/>
    <w:rsid w:val="001E3C27"/>
    <w:rsid w:val="002B009C"/>
    <w:rsid w:val="002B1CC6"/>
    <w:rsid w:val="002B63BD"/>
    <w:rsid w:val="00323DD9"/>
    <w:rsid w:val="0033688B"/>
    <w:rsid w:val="00386505"/>
    <w:rsid w:val="00395CA2"/>
    <w:rsid w:val="003E4B14"/>
    <w:rsid w:val="003F27F7"/>
    <w:rsid w:val="005547AB"/>
    <w:rsid w:val="006F06D2"/>
    <w:rsid w:val="007522E2"/>
    <w:rsid w:val="0076096C"/>
    <w:rsid w:val="007E021F"/>
    <w:rsid w:val="008A656E"/>
    <w:rsid w:val="008E2DF8"/>
    <w:rsid w:val="00AA4CEB"/>
    <w:rsid w:val="00B32C4A"/>
    <w:rsid w:val="00B82683"/>
    <w:rsid w:val="00DA603E"/>
    <w:rsid w:val="00DB3213"/>
    <w:rsid w:val="00E26D8D"/>
    <w:rsid w:val="00F732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commendation Char,L Char,List Paragraph1 Char,List Paragraph11 Char"/>
    <w:basedOn w:val="DefaultParagraphFont"/>
    <w:link w:val="ListParagraph"/>
    <w:uiPriority w:val="34"/>
    <w:locked/>
    <w:rsid w:val="002B63BD"/>
    <w:rPr>
      <w:rFonts w:ascii="Arial" w:hAnsi="Arial" w:cs="Arial"/>
    </w:rPr>
  </w:style>
  <w:style w:type="paragraph" w:styleId="ListParagraph">
    <w:name w:val="List Paragraph"/>
    <w:aliases w:val="Recommendation,L,List Paragraph1,List Paragraph11"/>
    <w:basedOn w:val="Normal"/>
    <w:link w:val="ListParagraphChar"/>
    <w:uiPriority w:val="34"/>
    <w:qFormat/>
    <w:rsid w:val="002B63BD"/>
    <w:pPr>
      <w:spacing w:after="0" w:line="240" w:lineRule="auto"/>
      <w:ind w:left="720"/>
      <w:contextualSpacing/>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commendation Char,L Char,List Paragraph1 Char,List Paragraph11 Char"/>
    <w:basedOn w:val="DefaultParagraphFont"/>
    <w:link w:val="ListParagraph"/>
    <w:uiPriority w:val="34"/>
    <w:locked/>
    <w:rsid w:val="002B63BD"/>
    <w:rPr>
      <w:rFonts w:ascii="Arial" w:hAnsi="Arial" w:cs="Arial"/>
    </w:rPr>
  </w:style>
  <w:style w:type="paragraph" w:styleId="ListParagraph">
    <w:name w:val="List Paragraph"/>
    <w:aliases w:val="Recommendation,L,List Paragraph1,List Paragraph11"/>
    <w:basedOn w:val="Normal"/>
    <w:link w:val="ListParagraphChar"/>
    <w:uiPriority w:val="34"/>
    <w:qFormat/>
    <w:rsid w:val="002B63BD"/>
    <w:pPr>
      <w:spacing w:after="0" w:line="240" w:lineRule="auto"/>
      <w:ind w:left="720"/>
      <w:contextualSpacing/>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523728">
      <w:bodyDiv w:val="1"/>
      <w:marLeft w:val="0"/>
      <w:marRight w:val="0"/>
      <w:marTop w:val="0"/>
      <w:marBottom w:val="0"/>
      <w:divBdr>
        <w:top w:val="none" w:sz="0" w:space="0" w:color="auto"/>
        <w:left w:val="none" w:sz="0" w:space="0" w:color="auto"/>
        <w:bottom w:val="none" w:sz="0" w:space="0" w:color="auto"/>
        <w:right w:val="none" w:sz="0" w:space="0" w:color="auto"/>
      </w:divBdr>
      <w:divsChild>
        <w:div w:id="632710363">
          <w:marLeft w:val="0"/>
          <w:marRight w:val="0"/>
          <w:marTop w:val="0"/>
          <w:marBottom w:val="0"/>
          <w:divBdr>
            <w:top w:val="none" w:sz="0" w:space="0" w:color="auto"/>
            <w:left w:val="none" w:sz="0" w:space="0" w:color="auto"/>
            <w:bottom w:val="none" w:sz="0" w:space="0" w:color="auto"/>
            <w:right w:val="none" w:sz="0" w:space="0" w:color="auto"/>
          </w:divBdr>
          <w:divsChild>
            <w:div w:id="2097362632">
              <w:marLeft w:val="0"/>
              <w:marRight w:val="0"/>
              <w:marTop w:val="0"/>
              <w:marBottom w:val="0"/>
              <w:divBdr>
                <w:top w:val="none" w:sz="0" w:space="0" w:color="auto"/>
                <w:left w:val="none" w:sz="0" w:space="0" w:color="auto"/>
                <w:bottom w:val="none" w:sz="0" w:space="0" w:color="auto"/>
                <w:right w:val="none" w:sz="0" w:space="0" w:color="auto"/>
              </w:divBdr>
              <w:divsChild>
                <w:div w:id="442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5EE920E0.dotm</Template>
  <TotalTime>9</TotalTime>
  <Pages>3</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Sainsbury</dc:creator>
  <cp:lastModifiedBy>Claire Sainsbury</cp:lastModifiedBy>
  <cp:revision>11</cp:revision>
  <cp:lastPrinted>2016-07-11T01:01:00Z</cp:lastPrinted>
  <dcterms:created xsi:type="dcterms:W3CDTF">2016-07-11T04:34:00Z</dcterms:created>
  <dcterms:modified xsi:type="dcterms:W3CDTF">2016-07-17T23:03:00Z</dcterms:modified>
</cp:coreProperties>
</file>