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660" w:rsidRPr="00483B3A" w:rsidRDefault="00D20660"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CF727B" w:rsidRDefault="00CF727B"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32"/>
        </w:rPr>
      </w:pPr>
      <w:r w:rsidRPr="00ED0D85">
        <w:rPr>
          <w:b/>
          <w:sz w:val="32"/>
        </w:rPr>
        <w:t>FISCO E FINANZA</w:t>
      </w:r>
    </w:p>
    <w:p w:rsidR="00483B3A" w:rsidRPr="00483B3A" w:rsidRDefault="00483B3A"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333947" w:rsidRDefault="00333947" w:rsidP="006A689D">
      <w:pPr>
        <w:pStyle w:val="Titolo1"/>
        <w:rPr>
          <w:rFonts w:asciiTheme="minorHAnsi" w:hAnsiTheme="minorHAnsi"/>
          <w:sz w:val="20"/>
        </w:rPr>
      </w:pPr>
    </w:p>
    <w:p w:rsidR="00BF42F1" w:rsidRDefault="00BF42F1" w:rsidP="00BF42F1"/>
    <w:p w:rsidR="00BF42F1" w:rsidRDefault="00BF42F1" w:rsidP="00BF42F1"/>
    <w:p w:rsidR="00C363F9" w:rsidRDefault="00C363F9" w:rsidP="00BF42F1"/>
    <w:p w:rsidR="00C363F9" w:rsidRPr="00BF42F1" w:rsidRDefault="00C363F9" w:rsidP="00BF42F1"/>
    <w:p w:rsidR="00CF727B" w:rsidRPr="006A689D" w:rsidRDefault="00E30AC6" w:rsidP="006A689D">
      <w:pPr>
        <w:pStyle w:val="Titolo1"/>
      </w:pPr>
      <w:r w:rsidRPr="006A689D">
        <w:t>Sempre più</w:t>
      </w:r>
      <w:r w:rsidR="00B10254" w:rsidRPr="006A689D">
        <w:t xml:space="preserve"> indebitati…</w:t>
      </w:r>
    </w:p>
    <w:p w:rsidR="006A689D" w:rsidRDefault="006A689D" w:rsidP="00154A40">
      <w:pPr>
        <w:spacing w:after="0" w:line="240" w:lineRule="auto"/>
        <w:jc w:val="both"/>
        <w:rPr>
          <w:sz w:val="24"/>
          <w:szCs w:val="24"/>
        </w:rPr>
      </w:pPr>
    </w:p>
    <w:p w:rsidR="006A689D" w:rsidRDefault="006A689D" w:rsidP="00154A40">
      <w:pPr>
        <w:spacing w:after="0" w:line="240" w:lineRule="auto"/>
        <w:jc w:val="both"/>
        <w:rPr>
          <w:sz w:val="24"/>
          <w:szCs w:val="24"/>
        </w:rPr>
      </w:pPr>
    </w:p>
    <w:p w:rsidR="00CF727B" w:rsidRPr="006A689D" w:rsidRDefault="00CF727B" w:rsidP="00154A40">
      <w:pPr>
        <w:spacing w:after="0" w:line="240" w:lineRule="auto"/>
        <w:jc w:val="both"/>
        <w:rPr>
          <w:i/>
          <w:sz w:val="24"/>
          <w:szCs w:val="24"/>
        </w:rPr>
      </w:pPr>
      <w:r w:rsidRPr="006A689D">
        <w:rPr>
          <w:i/>
          <w:sz w:val="24"/>
          <w:szCs w:val="24"/>
        </w:rPr>
        <w:t xml:space="preserve">Le ricette di austerità adottate in Europa per rimettere in ordine innanzitutto i conti pubblici dei paesi della </w:t>
      </w:r>
      <w:r w:rsidR="006D1F8B">
        <w:rPr>
          <w:i/>
          <w:sz w:val="24"/>
          <w:szCs w:val="24"/>
        </w:rPr>
        <w:t xml:space="preserve">cosiddetta </w:t>
      </w:r>
      <w:r w:rsidRPr="006A689D">
        <w:rPr>
          <w:i/>
          <w:sz w:val="24"/>
          <w:szCs w:val="24"/>
        </w:rPr>
        <w:t xml:space="preserve">“periferia” (Grecia, Spagna, Italia, Portogallo) non danno i frutti sperati. L’andamento del rapporto debito/Pil, uno degli indicatori guida su cui si fondano queste misure, anziché ridursi e rientrare nei limiti imposti dal Trattato di Maastricht (60%), fa registrare un aumento proprio </w:t>
      </w:r>
      <w:r w:rsidR="006D1F8B">
        <w:rPr>
          <w:i/>
          <w:sz w:val="24"/>
          <w:szCs w:val="24"/>
        </w:rPr>
        <w:t>quando e dove</w:t>
      </w:r>
      <w:r w:rsidRPr="006A689D">
        <w:rPr>
          <w:i/>
          <w:sz w:val="24"/>
          <w:szCs w:val="24"/>
        </w:rPr>
        <w:t xml:space="preserve"> avrebbe </w:t>
      </w:r>
      <w:r w:rsidR="00D76739">
        <w:rPr>
          <w:i/>
          <w:sz w:val="24"/>
          <w:szCs w:val="24"/>
        </w:rPr>
        <w:t>dovuto</w:t>
      </w:r>
      <w:r w:rsidRPr="006A689D">
        <w:rPr>
          <w:i/>
          <w:sz w:val="24"/>
          <w:szCs w:val="24"/>
        </w:rPr>
        <w:t xml:space="preserve"> ridursi. Ed è così che in Italia, dal 2007 al 2016, il rapporto debito/Pil passa dal 99,8 al 132,6%. Senz’altro una buona ricetta… per un fallimento annunciato.</w:t>
      </w:r>
    </w:p>
    <w:p w:rsidR="00CF727B" w:rsidRPr="006A689D" w:rsidRDefault="00CF727B" w:rsidP="00CF727B">
      <w:pPr>
        <w:spacing w:after="0" w:line="240" w:lineRule="auto"/>
        <w:rPr>
          <w:sz w:val="24"/>
          <w:szCs w:val="24"/>
        </w:rPr>
      </w:pPr>
    </w:p>
    <w:p w:rsidR="0076473A" w:rsidRPr="006A689D" w:rsidRDefault="0076473A" w:rsidP="00CF727B">
      <w:pPr>
        <w:spacing w:after="0" w:line="240" w:lineRule="auto"/>
        <w:rPr>
          <w:sz w:val="24"/>
          <w:szCs w:val="24"/>
        </w:rPr>
      </w:pPr>
    </w:p>
    <w:p w:rsidR="00CF727B" w:rsidRPr="0008613C" w:rsidRDefault="0008613C" w:rsidP="0008613C">
      <w:pPr>
        <w:pStyle w:val="Titolo1"/>
      </w:pPr>
      <w:r w:rsidRPr="0008613C">
        <w:t>…</w:t>
      </w:r>
      <w:r w:rsidR="00B10254" w:rsidRPr="0008613C">
        <w:t>senza essere spendaccioni</w:t>
      </w:r>
    </w:p>
    <w:p w:rsidR="006A689D" w:rsidRDefault="006A689D" w:rsidP="00154A40">
      <w:pPr>
        <w:spacing w:after="0" w:line="240" w:lineRule="auto"/>
        <w:jc w:val="both"/>
        <w:rPr>
          <w:sz w:val="24"/>
          <w:szCs w:val="24"/>
        </w:rPr>
      </w:pPr>
    </w:p>
    <w:p w:rsidR="006A689D" w:rsidRDefault="006A689D" w:rsidP="00154A40">
      <w:pPr>
        <w:spacing w:after="0" w:line="240" w:lineRule="auto"/>
        <w:jc w:val="both"/>
        <w:rPr>
          <w:sz w:val="24"/>
          <w:szCs w:val="24"/>
        </w:rPr>
      </w:pPr>
    </w:p>
    <w:p w:rsidR="00CF727B" w:rsidRPr="006A689D" w:rsidRDefault="00CF727B" w:rsidP="00154A40">
      <w:pPr>
        <w:spacing w:after="0" w:line="240" w:lineRule="auto"/>
        <w:jc w:val="both"/>
        <w:rPr>
          <w:i/>
          <w:sz w:val="24"/>
          <w:szCs w:val="24"/>
        </w:rPr>
      </w:pPr>
      <w:r w:rsidRPr="006A689D">
        <w:rPr>
          <w:i/>
          <w:sz w:val="24"/>
          <w:szCs w:val="24"/>
        </w:rPr>
        <w:t xml:space="preserve">L’Italia ha la cattiva fama di essere un paese “spendaccione” e dalle finanze pubbliche disastrate. Ma basta dare uno sguardo al dato sul rapporto deficit/Pil per capire come nel 2016 l’Italia abbia fatto registrare un livello di </w:t>
      </w:r>
      <w:r w:rsidR="00D76739">
        <w:rPr>
          <w:i/>
          <w:sz w:val="24"/>
          <w:szCs w:val="24"/>
        </w:rPr>
        <w:t>deficit</w:t>
      </w:r>
      <w:r w:rsidRPr="006A689D">
        <w:rPr>
          <w:i/>
          <w:sz w:val="24"/>
          <w:szCs w:val="24"/>
        </w:rPr>
        <w:t xml:space="preserve"> (</w:t>
      </w:r>
      <w:r w:rsidR="00D76739">
        <w:rPr>
          <w:i/>
          <w:sz w:val="24"/>
          <w:szCs w:val="24"/>
        </w:rPr>
        <w:t>l’indebitamento netto che comprende</w:t>
      </w:r>
      <w:r w:rsidRPr="006A689D">
        <w:rPr>
          <w:i/>
          <w:sz w:val="24"/>
          <w:szCs w:val="24"/>
        </w:rPr>
        <w:t xml:space="preserve"> </w:t>
      </w:r>
      <w:r w:rsidR="00D76739">
        <w:rPr>
          <w:i/>
          <w:sz w:val="24"/>
          <w:szCs w:val="24"/>
        </w:rPr>
        <w:t xml:space="preserve">anche </w:t>
      </w:r>
      <w:r w:rsidRPr="006A689D">
        <w:rPr>
          <w:i/>
          <w:sz w:val="24"/>
          <w:szCs w:val="24"/>
        </w:rPr>
        <w:t>la spesa per interessi) pari a -2,4%: un livello inferiore rispetto a quello di molti altri paesi europei più o meno “periferici” come, rispettivamente, Spagna e Francia.</w:t>
      </w:r>
    </w:p>
    <w:p w:rsidR="00CF727B" w:rsidRPr="006A689D" w:rsidRDefault="00CF727B" w:rsidP="00CF727B">
      <w:pPr>
        <w:spacing w:after="0" w:line="240" w:lineRule="auto"/>
        <w:rPr>
          <w:sz w:val="24"/>
          <w:szCs w:val="24"/>
        </w:rPr>
      </w:pPr>
    </w:p>
    <w:p w:rsidR="0076473A" w:rsidRPr="006A689D" w:rsidRDefault="0076473A" w:rsidP="00CF727B">
      <w:pPr>
        <w:spacing w:after="0" w:line="240" w:lineRule="auto"/>
        <w:rPr>
          <w:sz w:val="24"/>
          <w:szCs w:val="24"/>
        </w:rPr>
      </w:pPr>
    </w:p>
    <w:p w:rsidR="00CF727B" w:rsidRPr="006A689D" w:rsidRDefault="00B10254" w:rsidP="006A689D">
      <w:pPr>
        <w:pStyle w:val="Titolo1"/>
      </w:pPr>
      <w:r w:rsidRPr="006A689D">
        <w:t>Maledetti interessi</w:t>
      </w:r>
    </w:p>
    <w:p w:rsidR="006A689D" w:rsidRDefault="006A689D" w:rsidP="00154A40">
      <w:pPr>
        <w:spacing w:after="0" w:line="240" w:lineRule="auto"/>
        <w:jc w:val="both"/>
        <w:rPr>
          <w:sz w:val="24"/>
          <w:szCs w:val="24"/>
        </w:rPr>
      </w:pPr>
    </w:p>
    <w:p w:rsidR="006A689D" w:rsidRDefault="006A689D" w:rsidP="00154A40">
      <w:pPr>
        <w:spacing w:after="0" w:line="240" w:lineRule="auto"/>
        <w:jc w:val="both"/>
        <w:rPr>
          <w:sz w:val="24"/>
          <w:szCs w:val="24"/>
        </w:rPr>
      </w:pPr>
    </w:p>
    <w:p w:rsidR="0074532B" w:rsidRPr="006A689D" w:rsidRDefault="00CF727B" w:rsidP="00154A40">
      <w:pPr>
        <w:spacing w:after="0" w:line="240" w:lineRule="auto"/>
        <w:jc w:val="both"/>
        <w:rPr>
          <w:i/>
          <w:sz w:val="24"/>
          <w:szCs w:val="24"/>
        </w:rPr>
      </w:pPr>
      <w:r w:rsidRPr="006A689D">
        <w:rPr>
          <w:i/>
          <w:sz w:val="24"/>
          <w:szCs w:val="24"/>
        </w:rPr>
        <w:t xml:space="preserve">Se si guarda al dato del saldo primario – cioè la differenza tra entrate e uscite di un paese, esclusa la spesa per interessi – l’Italia risulta addirittura uno dei paesi più virtuosi del continente, con un avanzo primario pari all’1,5%, molto superiore alla media europea (0,4%). Altri grandi paesi </w:t>
      </w:r>
      <w:r w:rsidR="007D13E6">
        <w:rPr>
          <w:i/>
          <w:sz w:val="24"/>
          <w:szCs w:val="24"/>
        </w:rPr>
        <w:t>dell’Unione</w:t>
      </w:r>
      <w:r w:rsidRPr="006A689D">
        <w:rPr>
          <w:i/>
          <w:sz w:val="24"/>
          <w:szCs w:val="24"/>
        </w:rPr>
        <w:t xml:space="preserve"> (Francia, Spagna, Regno Unito) fanno registrare invece avanzi primari molto peggiori. Questo significa che sul deficit italiano </w:t>
      </w:r>
      <w:r w:rsidR="007D13E6">
        <w:rPr>
          <w:i/>
          <w:sz w:val="24"/>
          <w:szCs w:val="24"/>
        </w:rPr>
        <w:t>grava in larga misura</w:t>
      </w:r>
      <w:r w:rsidRPr="006A689D">
        <w:rPr>
          <w:i/>
          <w:sz w:val="24"/>
          <w:szCs w:val="24"/>
        </w:rPr>
        <w:t xml:space="preserve"> la </w:t>
      </w:r>
      <w:r w:rsidR="007D13E6">
        <w:rPr>
          <w:i/>
          <w:sz w:val="24"/>
          <w:szCs w:val="24"/>
        </w:rPr>
        <w:t xml:space="preserve">cospicua </w:t>
      </w:r>
      <w:r w:rsidRPr="006A689D">
        <w:rPr>
          <w:i/>
          <w:sz w:val="24"/>
          <w:szCs w:val="24"/>
        </w:rPr>
        <w:t>spesa per interessi che il</w:t>
      </w:r>
      <w:r w:rsidR="007D13E6">
        <w:rPr>
          <w:i/>
          <w:sz w:val="24"/>
          <w:szCs w:val="24"/>
        </w:rPr>
        <w:t xml:space="preserve"> nostro</w:t>
      </w:r>
      <w:r w:rsidRPr="006A689D">
        <w:rPr>
          <w:i/>
          <w:sz w:val="24"/>
          <w:szCs w:val="24"/>
        </w:rPr>
        <w:t xml:space="preserve"> paese si trova a </w:t>
      </w:r>
      <w:r w:rsidR="007D13E6">
        <w:rPr>
          <w:i/>
          <w:sz w:val="24"/>
          <w:szCs w:val="24"/>
        </w:rPr>
        <w:t xml:space="preserve">dover </w:t>
      </w:r>
      <w:r w:rsidRPr="006A689D">
        <w:rPr>
          <w:i/>
          <w:sz w:val="24"/>
          <w:szCs w:val="24"/>
        </w:rPr>
        <w:t>sostenere ogni anno.</w:t>
      </w:r>
    </w:p>
    <w:p w:rsidR="00CF727B" w:rsidRPr="006A689D" w:rsidRDefault="00CF727B" w:rsidP="00CF727B">
      <w:pPr>
        <w:spacing w:after="0" w:line="240" w:lineRule="auto"/>
        <w:jc w:val="both"/>
        <w:rPr>
          <w:sz w:val="24"/>
          <w:szCs w:val="24"/>
        </w:rPr>
      </w:pPr>
    </w:p>
    <w:p w:rsidR="0076473A" w:rsidRPr="006A689D" w:rsidRDefault="0076473A" w:rsidP="00CF727B">
      <w:pPr>
        <w:spacing w:after="0" w:line="240" w:lineRule="auto"/>
        <w:jc w:val="both"/>
        <w:rPr>
          <w:sz w:val="24"/>
          <w:szCs w:val="24"/>
        </w:rPr>
      </w:pPr>
    </w:p>
    <w:p w:rsidR="00CF727B" w:rsidRPr="006A689D" w:rsidRDefault="00154A40" w:rsidP="006A689D">
      <w:pPr>
        <w:pStyle w:val="Titolo1"/>
      </w:pPr>
      <w:r w:rsidRPr="006A689D">
        <w:lastRenderedPageBreak/>
        <w:t xml:space="preserve">Il made in </w:t>
      </w:r>
      <w:proofErr w:type="spellStart"/>
      <w:r w:rsidRPr="006A689D">
        <w:t>Italy</w:t>
      </w:r>
      <w:proofErr w:type="spellEnd"/>
      <w:r w:rsidR="00FF4B06" w:rsidRPr="006A689D">
        <w:t xml:space="preserve"> </w:t>
      </w:r>
      <w:r w:rsidR="00D76D8B">
        <w:t xml:space="preserve">è </w:t>
      </w:r>
      <w:r w:rsidR="00FF4B06" w:rsidRPr="006A689D">
        <w:t>fuori moda</w:t>
      </w:r>
    </w:p>
    <w:p w:rsidR="006A689D" w:rsidRDefault="006A689D" w:rsidP="00CF727B">
      <w:pPr>
        <w:spacing w:after="0" w:line="240" w:lineRule="auto"/>
        <w:jc w:val="both"/>
        <w:rPr>
          <w:sz w:val="24"/>
          <w:szCs w:val="24"/>
        </w:rPr>
      </w:pPr>
    </w:p>
    <w:p w:rsidR="006A689D" w:rsidRDefault="006A689D" w:rsidP="00CF727B">
      <w:pPr>
        <w:spacing w:after="0" w:line="240" w:lineRule="auto"/>
        <w:jc w:val="both"/>
        <w:rPr>
          <w:sz w:val="24"/>
          <w:szCs w:val="24"/>
        </w:rPr>
      </w:pPr>
    </w:p>
    <w:p w:rsidR="00CF727B" w:rsidRPr="006A689D" w:rsidRDefault="00CF727B" w:rsidP="00CF727B">
      <w:pPr>
        <w:spacing w:after="0" w:line="240" w:lineRule="auto"/>
        <w:jc w:val="both"/>
        <w:rPr>
          <w:i/>
          <w:sz w:val="24"/>
          <w:szCs w:val="24"/>
        </w:rPr>
      </w:pPr>
      <w:r w:rsidRPr="006A689D">
        <w:rPr>
          <w:i/>
          <w:sz w:val="24"/>
          <w:szCs w:val="24"/>
        </w:rPr>
        <w:t>Molte delle politiche economiche e monetarie perseguite in Europa hanno lo scopo di rendere le economie europee più “competitive”, in base al principio secondo cui dalla crisi si esce incrementando le esportazioni, cioè diventando tutti un po’ più tedeschi. Nonostante questi “buoni” propositi, la quota di mercato delle esportazioni italiane nel mondo si riduce nettamente rispetto ai livelli pre-crisi: assistiamo infatti alla riduzione delle esportazioni sia dei beni (dal 3,6 nel 2007 al 2,9% nel 2016) sia dei servizi (dal 3,4 nel 2007 al 2,1% nel 2016).</w:t>
      </w:r>
    </w:p>
    <w:p w:rsidR="00154A40" w:rsidRPr="006A689D" w:rsidRDefault="00154A40" w:rsidP="00154A40">
      <w:pPr>
        <w:pStyle w:val="grafico"/>
        <w:spacing w:before="0" w:beforeAutospacing="0" w:after="0" w:afterAutospacing="0"/>
        <w:jc w:val="both"/>
        <w:rPr>
          <w:rFonts w:asciiTheme="minorHAnsi" w:hAnsiTheme="minorHAnsi"/>
        </w:rPr>
      </w:pPr>
    </w:p>
    <w:p w:rsidR="0076473A" w:rsidRPr="006A689D" w:rsidRDefault="0076473A" w:rsidP="00154A40">
      <w:pPr>
        <w:pStyle w:val="grafico"/>
        <w:spacing w:before="0" w:beforeAutospacing="0" w:after="0" w:afterAutospacing="0"/>
        <w:jc w:val="both"/>
        <w:rPr>
          <w:rFonts w:asciiTheme="minorHAnsi" w:hAnsiTheme="minorHAnsi"/>
        </w:rPr>
      </w:pPr>
    </w:p>
    <w:p w:rsidR="00154A40" w:rsidRPr="006A689D" w:rsidRDefault="00275D8A" w:rsidP="006A689D">
      <w:pPr>
        <w:pStyle w:val="Titolo1"/>
      </w:pPr>
      <w:r w:rsidRPr="006A689D">
        <w:t>Sempre i</w:t>
      </w:r>
      <w:r w:rsidR="00154A40" w:rsidRPr="006A689D">
        <w:t>n attesa di crescere</w:t>
      </w:r>
    </w:p>
    <w:p w:rsidR="006A689D" w:rsidRDefault="006A689D" w:rsidP="00CD4A13">
      <w:pPr>
        <w:pStyle w:val="grafico"/>
        <w:spacing w:before="0" w:beforeAutospacing="0" w:after="0" w:afterAutospacing="0"/>
        <w:jc w:val="both"/>
        <w:rPr>
          <w:rFonts w:asciiTheme="minorHAnsi" w:hAnsiTheme="minorHAnsi"/>
        </w:rPr>
      </w:pPr>
    </w:p>
    <w:p w:rsidR="006A689D" w:rsidRDefault="006A689D" w:rsidP="00CD4A13">
      <w:pPr>
        <w:pStyle w:val="grafico"/>
        <w:spacing w:before="0" w:beforeAutospacing="0" w:after="0" w:afterAutospacing="0"/>
        <w:jc w:val="both"/>
        <w:rPr>
          <w:rFonts w:asciiTheme="minorHAnsi" w:hAnsiTheme="minorHAnsi"/>
        </w:rPr>
      </w:pPr>
    </w:p>
    <w:p w:rsidR="00154A40" w:rsidRPr="006A689D" w:rsidRDefault="00154A40" w:rsidP="00CD4A13">
      <w:pPr>
        <w:pStyle w:val="grafico"/>
        <w:spacing w:before="0" w:beforeAutospacing="0" w:after="0" w:afterAutospacing="0"/>
        <w:jc w:val="both"/>
        <w:rPr>
          <w:rFonts w:asciiTheme="minorHAnsi" w:hAnsiTheme="minorHAnsi"/>
          <w:i/>
        </w:rPr>
      </w:pPr>
      <w:r w:rsidRPr="006A689D">
        <w:rPr>
          <w:rFonts w:asciiTheme="minorHAnsi" w:hAnsiTheme="minorHAnsi"/>
          <w:i/>
        </w:rPr>
        <w:t>L’andamento del Pil</w:t>
      </w:r>
      <w:r w:rsidR="006E5858" w:rsidRPr="006A689D">
        <w:rPr>
          <w:rFonts w:asciiTheme="minorHAnsi" w:hAnsiTheme="minorHAnsi"/>
          <w:i/>
        </w:rPr>
        <w:t xml:space="preserve"> </w:t>
      </w:r>
      <w:r w:rsidR="002C39CC" w:rsidRPr="006A689D">
        <w:rPr>
          <w:rFonts w:asciiTheme="minorHAnsi" w:hAnsiTheme="minorHAnsi"/>
          <w:i/>
        </w:rPr>
        <w:t>del nostro paese</w:t>
      </w:r>
      <w:r w:rsidRPr="006A689D">
        <w:rPr>
          <w:rFonts w:asciiTheme="minorHAnsi" w:hAnsiTheme="minorHAnsi"/>
          <w:i/>
        </w:rPr>
        <w:t xml:space="preserve"> </w:t>
      </w:r>
      <w:r w:rsidR="006E5858" w:rsidRPr="006A689D">
        <w:rPr>
          <w:rFonts w:asciiTheme="minorHAnsi" w:hAnsiTheme="minorHAnsi"/>
          <w:i/>
        </w:rPr>
        <w:t xml:space="preserve">rivela l’incapacità di uscire dalla crisi del 2007-2008 </w:t>
      </w:r>
      <w:r w:rsidR="009E4919">
        <w:rPr>
          <w:rFonts w:asciiTheme="minorHAnsi" w:hAnsiTheme="minorHAnsi"/>
          <w:i/>
        </w:rPr>
        <w:t>e di attestarsi</w:t>
      </w:r>
      <w:r w:rsidR="006E5858" w:rsidRPr="006A689D">
        <w:rPr>
          <w:rFonts w:asciiTheme="minorHAnsi" w:hAnsiTheme="minorHAnsi"/>
          <w:i/>
        </w:rPr>
        <w:t xml:space="preserve"> su un </w:t>
      </w:r>
      <w:r w:rsidR="009E4919">
        <w:rPr>
          <w:rFonts w:asciiTheme="minorHAnsi" w:hAnsiTheme="minorHAnsi"/>
          <w:i/>
        </w:rPr>
        <w:t xml:space="preserve">vero </w:t>
      </w:r>
      <w:r w:rsidR="006E5858" w:rsidRPr="006A689D">
        <w:rPr>
          <w:rFonts w:asciiTheme="minorHAnsi" w:hAnsiTheme="minorHAnsi"/>
          <w:i/>
        </w:rPr>
        <w:t xml:space="preserve">sentiero di crescita. </w:t>
      </w:r>
      <w:r w:rsidR="002C39CC" w:rsidRPr="006A689D">
        <w:rPr>
          <w:rFonts w:asciiTheme="minorHAnsi" w:hAnsiTheme="minorHAnsi"/>
          <w:i/>
        </w:rPr>
        <w:t xml:space="preserve">Al di là </w:t>
      </w:r>
      <w:r w:rsidR="00CD4A13" w:rsidRPr="006A689D">
        <w:rPr>
          <w:rFonts w:asciiTheme="minorHAnsi" w:hAnsiTheme="minorHAnsi"/>
          <w:i/>
        </w:rPr>
        <w:t xml:space="preserve">della </w:t>
      </w:r>
      <w:r w:rsidR="00B91F0A" w:rsidRPr="006A689D">
        <w:rPr>
          <w:rFonts w:asciiTheme="minorHAnsi" w:hAnsiTheme="minorHAnsi"/>
          <w:i/>
        </w:rPr>
        <w:t>instabilità</w:t>
      </w:r>
      <w:r w:rsidR="002C39CC" w:rsidRPr="006A689D">
        <w:rPr>
          <w:rFonts w:asciiTheme="minorHAnsi" w:hAnsiTheme="minorHAnsi"/>
          <w:i/>
        </w:rPr>
        <w:t xml:space="preserve"> che caratterizza </w:t>
      </w:r>
      <w:r w:rsidR="00CD4A13" w:rsidRPr="006A689D">
        <w:rPr>
          <w:rFonts w:asciiTheme="minorHAnsi" w:hAnsiTheme="minorHAnsi"/>
          <w:i/>
        </w:rPr>
        <w:t>questo</w:t>
      </w:r>
      <w:r w:rsidR="002C39CC" w:rsidRPr="006A689D">
        <w:rPr>
          <w:rFonts w:asciiTheme="minorHAnsi" w:hAnsiTheme="minorHAnsi"/>
          <w:i/>
        </w:rPr>
        <w:t xml:space="preserve"> andamento, sono due i dati che risaltano agli occhi: da un lato, la perdita di valore del Pil italiano rispetto al 2007, dall’altro </w:t>
      </w:r>
      <w:r w:rsidR="00CD4A13" w:rsidRPr="006A689D">
        <w:rPr>
          <w:rFonts w:asciiTheme="minorHAnsi" w:hAnsiTheme="minorHAnsi"/>
          <w:i/>
        </w:rPr>
        <w:t>il ruolo giocato</w:t>
      </w:r>
      <w:r w:rsidR="002C39CC" w:rsidRPr="006A689D">
        <w:rPr>
          <w:rFonts w:asciiTheme="minorHAnsi" w:hAnsiTheme="minorHAnsi"/>
          <w:i/>
        </w:rPr>
        <w:t xml:space="preserve"> </w:t>
      </w:r>
      <w:r w:rsidR="00CD4A13" w:rsidRPr="006A689D">
        <w:rPr>
          <w:rFonts w:asciiTheme="minorHAnsi" w:hAnsiTheme="minorHAnsi"/>
          <w:i/>
        </w:rPr>
        <w:t xml:space="preserve">in </w:t>
      </w:r>
      <w:r w:rsidR="0034468A" w:rsidRPr="006A689D">
        <w:rPr>
          <w:rFonts w:asciiTheme="minorHAnsi" w:hAnsiTheme="minorHAnsi"/>
          <w:i/>
        </w:rPr>
        <w:t xml:space="preserve">questo risultato negativo </w:t>
      </w:r>
      <w:r w:rsidR="00CD4A13" w:rsidRPr="006A689D">
        <w:rPr>
          <w:rFonts w:asciiTheme="minorHAnsi" w:hAnsiTheme="minorHAnsi"/>
          <w:i/>
        </w:rPr>
        <w:t>da</w:t>
      </w:r>
      <w:r w:rsidR="002C39CC" w:rsidRPr="006A689D">
        <w:rPr>
          <w:rFonts w:asciiTheme="minorHAnsi" w:hAnsiTheme="minorHAnsi"/>
          <w:i/>
        </w:rPr>
        <w:t xml:space="preserve">lla componente </w:t>
      </w:r>
      <w:r w:rsidR="00CD4A13" w:rsidRPr="006A689D">
        <w:rPr>
          <w:rFonts w:asciiTheme="minorHAnsi" w:hAnsiTheme="minorHAnsi"/>
          <w:i/>
        </w:rPr>
        <w:t>della</w:t>
      </w:r>
      <w:r w:rsidR="002C39CC" w:rsidRPr="006A689D">
        <w:rPr>
          <w:rFonts w:asciiTheme="minorHAnsi" w:hAnsiTheme="minorHAnsi"/>
          <w:i/>
        </w:rPr>
        <w:t xml:space="preserve"> domanda </w:t>
      </w:r>
      <w:r w:rsidR="00CD4A13" w:rsidRPr="006A689D">
        <w:rPr>
          <w:rFonts w:asciiTheme="minorHAnsi" w:hAnsiTheme="minorHAnsi"/>
          <w:i/>
        </w:rPr>
        <w:t xml:space="preserve">interna. </w:t>
      </w:r>
      <w:r w:rsidR="009E4919">
        <w:rPr>
          <w:rFonts w:asciiTheme="minorHAnsi" w:hAnsiTheme="minorHAnsi"/>
          <w:i/>
        </w:rPr>
        <w:t>Insomma, l</w:t>
      </w:r>
      <w:r w:rsidR="002C39CC" w:rsidRPr="006A689D">
        <w:rPr>
          <w:rFonts w:asciiTheme="minorHAnsi" w:hAnsiTheme="minorHAnsi"/>
          <w:i/>
        </w:rPr>
        <w:t xml:space="preserve">’assenza di </w:t>
      </w:r>
      <w:r w:rsidR="009E4919">
        <w:rPr>
          <w:rFonts w:asciiTheme="minorHAnsi" w:hAnsiTheme="minorHAnsi"/>
          <w:i/>
        </w:rPr>
        <w:t>reali</w:t>
      </w:r>
      <w:r w:rsidR="00CD4A13" w:rsidRPr="006A689D">
        <w:rPr>
          <w:rFonts w:asciiTheme="minorHAnsi" w:hAnsiTheme="minorHAnsi"/>
          <w:i/>
        </w:rPr>
        <w:t xml:space="preserve"> </w:t>
      </w:r>
      <w:r w:rsidR="002C39CC" w:rsidRPr="006A689D">
        <w:rPr>
          <w:rFonts w:asciiTheme="minorHAnsi" w:hAnsiTheme="minorHAnsi"/>
          <w:i/>
        </w:rPr>
        <w:t>politiche di sostegno e stimolo alla domanda</w:t>
      </w:r>
      <w:r w:rsidR="00A57A74" w:rsidRPr="006A689D">
        <w:rPr>
          <w:rFonts w:asciiTheme="minorHAnsi" w:hAnsiTheme="minorHAnsi"/>
          <w:i/>
        </w:rPr>
        <w:t xml:space="preserve"> aggregata </w:t>
      </w:r>
      <w:r w:rsidR="009E4919">
        <w:rPr>
          <w:rFonts w:asciiTheme="minorHAnsi" w:hAnsiTheme="minorHAnsi"/>
          <w:i/>
        </w:rPr>
        <w:t xml:space="preserve">pesa </w:t>
      </w:r>
      <w:r w:rsidR="00CD4A13" w:rsidRPr="006A689D">
        <w:rPr>
          <w:rFonts w:asciiTheme="minorHAnsi" w:hAnsiTheme="minorHAnsi"/>
          <w:i/>
        </w:rPr>
        <w:t>come un macigno sulla crisi del paese e sulle sue prospettive di ripresa.</w:t>
      </w:r>
    </w:p>
    <w:p w:rsidR="00CA358E" w:rsidRPr="006A689D" w:rsidRDefault="00CA358E" w:rsidP="00CA358E">
      <w:pPr>
        <w:pStyle w:val="grafico"/>
        <w:spacing w:before="0" w:beforeAutospacing="0" w:after="0" w:afterAutospacing="0"/>
        <w:jc w:val="both"/>
        <w:rPr>
          <w:rFonts w:asciiTheme="minorHAnsi" w:hAnsiTheme="minorHAnsi"/>
        </w:rPr>
      </w:pPr>
    </w:p>
    <w:p w:rsidR="0076473A" w:rsidRPr="006A689D" w:rsidRDefault="0076473A" w:rsidP="00CA358E">
      <w:pPr>
        <w:pStyle w:val="grafico"/>
        <w:spacing w:before="0" w:beforeAutospacing="0" w:after="0" w:afterAutospacing="0"/>
        <w:jc w:val="both"/>
        <w:rPr>
          <w:rFonts w:asciiTheme="minorHAnsi" w:hAnsiTheme="minorHAnsi"/>
        </w:rPr>
      </w:pPr>
    </w:p>
    <w:p w:rsidR="00CA358E" w:rsidRPr="006A689D" w:rsidRDefault="008B3CFE" w:rsidP="006A689D">
      <w:pPr>
        <w:pStyle w:val="Titolo1"/>
      </w:pPr>
      <w:r w:rsidRPr="006A689D">
        <w:t>Più sei ricco, meno paghi</w:t>
      </w:r>
    </w:p>
    <w:p w:rsidR="006A689D" w:rsidRDefault="006A689D" w:rsidP="00CA358E">
      <w:pPr>
        <w:pStyle w:val="grafico"/>
        <w:spacing w:before="0" w:beforeAutospacing="0" w:after="0" w:afterAutospacing="0"/>
        <w:jc w:val="both"/>
        <w:rPr>
          <w:rFonts w:asciiTheme="minorHAnsi" w:hAnsiTheme="minorHAnsi"/>
        </w:rPr>
      </w:pPr>
    </w:p>
    <w:p w:rsidR="006A689D" w:rsidRDefault="006A689D" w:rsidP="00CA358E">
      <w:pPr>
        <w:pStyle w:val="grafico"/>
        <w:spacing w:before="0" w:beforeAutospacing="0" w:after="0" w:afterAutospacing="0"/>
        <w:jc w:val="both"/>
        <w:rPr>
          <w:rFonts w:asciiTheme="minorHAnsi" w:hAnsiTheme="minorHAnsi"/>
        </w:rPr>
      </w:pPr>
    </w:p>
    <w:p w:rsidR="00CA358E" w:rsidRPr="006A689D" w:rsidRDefault="00CA358E" w:rsidP="00CA358E">
      <w:pPr>
        <w:pStyle w:val="grafico"/>
        <w:spacing w:before="0" w:beforeAutospacing="0" w:after="0" w:afterAutospacing="0"/>
        <w:jc w:val="both"/>
        <w:rPr>
          <w:rFonts w:asciiTheme="minorHAnsi" w:hAnsiTheme="minorHAnsi"/>
          <w:i/>
        </w:rPr>
      </w:pPr>
      <w:r w:rsidRPr="006A689D">
        <w:rPr>
          <w:rFonts w:asciiTheme="minorHAnsi" w:hAnsiTheme="minorHAnsi"/>
          <w:i/>
        </w:rPr>
        <w:t xml:space="preserve">Di fronte a una crisi </w:t>
      </w:r>
      <w:r w:rsidR="00022EA0" w:rsidRPr="006A689D">
        <w:rPr>
          <w:rFonts w:asciiTheme="minorHAnsi" w:hAnsiTheme="minorHAnsi"/>
          <w:i/>
        </w:rPr>
        <w:t>ormai decennale</w:t>
      </w:r>
      <w:r w:rsidRPr="006A689D">
        <w:rPr>
          <w:rFonts w:asciiTheme="minorHAnsi" w:hAnsiTheme="minorHAnsi"/>
          <w:i/>
        </w:rPr>
        <w:t xml:space="preserve">, chi dovrebbe sostenerne </w:t>
      </w:r>
      <w:r w:rsidR="00275D8A" w:rsidRPr="006A689D">
        <w:rPr>
          <w:rFonts w:asciiTheme="minorHAnsi" w:hAnsiTheme="minorHAnsi"/>
          <w:i/>
        </w:rPr>
        <w:t>di più</w:t>
      </w:r>
      <w:r w:rsidRPr="006A689D">
        <w:rPr>
          <w:rFonts w:asciiTheme="minorHAnsi" w:hAnsiTheme="minorHAnsi"/>
          <w:i/>
        </w:rPr>
        <w:t xml:space="preserve"> il peso? La risposta non è scontata: in barba a qualsiasi principio di giustizia economica e progressività fiscale – come quello sancito dall’articolo 53 della Costituzione (“Tutti sono tenuti a concorrere alle spese pubbliche in ragione della loro capacità contributiva”) –, pressoché ovunque in Europa l’aliquota marginale più alta per la tassazione dei redditi delle persone fisiche ha subito </w:t>
      </w:r>
      <w:r w:rsidR="00022EA0" w:rsidRPr="006A689D">
        <w:rPr>
          <w:rFonts w:asciiTheme="minorHAnsi" w:hAnsiTheme="minorHAnsi"/>
          <w:i/>
        </w:rPr>
        <w:t xml:space="preserve">negli ultimi </w:t>
      </w:r>
      <w:r w:rsidR="002C39CC" w:rsidRPr="006A689D">
        <w:rPr>
          <w:rFonts w:asciiTheme="minorHAnsi" w:hAnsiTheme="minorHAnsi"/>
          <w:i/>
        </w:rPr>
        <w:t>dieci</w:t>
      </w:r>
      <w:r w:rsidR="00022EA0" w:rsidRPr="006A689D">
        <w:rPr>
          <w:rFonts w:asciiTheme="minorHAnsi" w:hAnsiTheme="minorHAnsi"/>
          <w:i/>
        </w:rPr>
        <w:t xml:space="preserve"> anni </w:t>
      </w:r>
      <w:r w:rsidRPr="006A689D">
        <w:rPr>
          <w:rFonts w:asciiTheme="minorHAnsi" w:hAnsiTheme="minorHAnsi"/>
          <w:i/>
        </w:rPr>
        <w:t xml:space="preserve">una netta diminuzione: dal 47 al 39,3% la media europea, dal 51 al 48,9% in Italia. A quanto pare, non </w:t>
      </w:r>
      <w:r w:rsidR="00275D8A" w:rsidRPr="006A689D">
        <w:rPr>
          <w:rFonts w:asciiTheme="minorHAnsi" w:hAnsiTheme="minorHAnsi"/>
          <w:i/>
        </w:rPr>
        <w:t>solo</w:t>
      </w:r>
      <w:r w:rsidRPr="006A689D">
        <w:rPr>
          <w:rFonts w:asciiTheme="minorHAnsi" w:hAnsiTheme="minorHAnsi"/>
          <w:i/>
        </w:rPr>
        <w:t xml:space="preserve"> la crisi non viene pagata da chi ha di più, ma chi ha di più </w:t>
      </w:r>
      <w:r w:rsidR="00275D8A" w:rsidRPr="006A689D">
        <w:rPr>
          <w:rFonts w:asciiTheme="minorHAnsi" w:hAnsiTheme="minorHAnsi"/>
          <w:i/>
        </w:rPr>
        <w:t>è</w:t>
      </w:r>
      <w:r w:rsidRPr="006A689D">
        <w:rPr>
          <w:rFonts w:asciiTheme="minorHAnsi" w:hAnsiTheme="minorHAnsi"/>
          <w:i/>
        </w:rPr>
        <w:t xml:space="preserve"> ulteriormente avvantaggiato.</w:t>
      </w:r>
    </w:p>
    <w:p w:rsidR="00CA358E" w:rsidRPr="006A689D" w:rsidRDefault="00CA358E" w:rsidP="00CA358E">
      <w:pPr>
        <w:pStyle w:val="grafico"/>
        <w:spacing w:before="0" w:beforeAutospacing="0" w:after="0" w:afterAutospacing="0"/>
        <w:jc w:val="both"/>
        <w:rPr>
          <w:rFonts w:asciiTheme="minorHAnsi" w:hAnsiTheme="minorHAnsi"/>
        </w:rPr>
      </w:pPr>
    </w:p>
    <w:p w:rsidR="0076473A" w:rsidRPr="006A689D" w:rsidRDefault="0076473A" w:rsidP="00CA358E">
      <w:pPr>
        <w:pStyle w:val="grafico"/>
        <w:spacing w:before="0" w:beforeAutospacing="0" w:after="0" w:afterAutospacing="0"/>
        <w:jc w:val="both"/>
        <w:rPr>
          <w:rFonts w:asciiTheme="minorHAnsi" w:hAnsiTheme="minorHAnsi"/>
        </w:rPr>
      </w:pPr>
    </w:p>
    <w:p w:rsidR="00CA358E" w:rsidRPr="0008613C" w:rsidRDefault="00347ADB" w:rsidP="0008613C">
      <w:pPr>
        <w:pStyle w:val="Titolo1"/>
      </w:pPr>
      <w:r w:rsidRPr="0008613C">
        <w:t>La gara al ribasso delle tasse alle imprese</w:t>
      </w:r>
    </w:p>
    <w:p w:rsidR="0008613C" w:rsidRDefault="0008613C" w:rsidP="00CA358E">
      <w:pPr>
        <w:pStyle w:val="grafico"/>
        <w:spacing w:before="0" w:beforeAutospacing="0" w:after="0" w:afterAutospacing="0"/>
        <w:jc w:val="both"/>
        <w:rPr>
          <w:rFonts w:asciiTheme="minorHAnsi" w:hAnsiTheme="minorHAnsi"/>
        </w:rPr>
      </w:pPr>
    </w:p>
    <w:p w:rsidR="0008613C" w:rsidRDefault="0008613C" w:rsidP="00CA358E">
      <w:pPr>
        <w:pStyle w:val="grafico"/>
        <w:spacing w:before="0" w:beforeAutospacing="0" w:after="0" w:afterAutospacing="0"/>
        <w:jc w:val="both"/>
        <w:rPr>
          <w:rFonts w:asciiTheme="minorHAnsi" w:hAnsiTheme="minorHAnsi"/>
        </w:rPr>
      </w:pPr>
    </w:p>
    <w:p w:rsidR="00CA358E" w:rsidRPr="0008613C" w:rsidRDefault="006A689D" w:rsidP="00CA358E">
      <w:pPr>
        <w:pStyle w:val="grafico"/>
        <w:spacing w:before="0" w:beforeAutospacing="0" w:after="0" w:afterAutospacing="0"/>
        <w:jc w:val="both"/>
        <w:rPr>
          <w:rFonts w:asciiTheme="minorHAnsi" w:hAnsiTheme="minorHAnsi"/>
          <w:i/>
        </w:rPr>
      </w:pPr>
      <w:r w:rsidRPr="0008613C">
        <w:rPr>
          <w:rFonts w:asciiTheme="minorHAnsi" w:hAnsiTheme="minorHAnsi"/>
          <w:i/>
        </w:rPr>
        <w:t>Insieme alle persone ricche, sempre meno tassate</w:t>
      </w:r>
      <w:r w:rsidR="00CA358E" w:rsidRPr="0008613C">
        <w:rPr>
          <w:rFonts w:asciiTheme="minorHAnsi" w:hAnsiTheme="minorHAnsi"/>
          <w:i/>
        </w:rPr>
        <w:t xml:space="preserve">, anche gli imprenditori </w:t>
      </w:r>
      <w:r w:rsidR="005739FD" w:rsidRPr="0008613C">
        <w:rPr>
          <w:rFonts w:asciiTheme="minorHAnsi" w:hAnsiTheme="minorHAnsi"/>
          <w:i/>
        </w:rPr>
        <w:t xml:space="preserve">europei – grazie al mercato comune e alla concorrenza fiscale – </w:t>
      </w:r>
      <w:r w:rsidR="00CA358E" w:rsidRPr="0008613C">
        <w:rPr>
          <w:rFonts w:asciiTheme="minorHAnsi" w:hAnsiTheme="minorHAnsi"/>
          <w:i/>
        </w:rPr>
        <w:t xml:space="preserve">riescono </w:t>
      </w:r>
      <w:r w:rsidR="005739FD" w:rsidRPr="0008613C">
        <w:rPr>
          <w:rFonts w:asciiTheme="minorHAnsi" w:hAnsiTheme="minorHAnsi"/>
          <w:i/>
        </w:rPr>
        <w:t>a spuntare trattamenti fiscali sempre più favorevoli</w:t>
      </w:r>
      <w:r w:rsidR="00CA358E" w:rsidRPr="0008613C">
        <w:rPr>
          <w:rFonts w:asciiTheme="minorHAnsi" w:hAnsiTheme="minorHAnsi"/>
          <w:i/>
        </w:rPr>
        <w:t xml:space="preserve">. La </w:t>
      </w:r>
      <w:r w:rsidR="005739FD" w:rsidRPr="0008613C">
        <w:rPr>
          <w:rFonts w:asciiTheme="minorHAnsi" w:hAnsiTheme="minorHAnsi"/>
          <w:i/>
        </w:rPr>
        <w:t>forte</w:t>
      </w:r>
      <w:r w:rsidR="00CA358E" w:rsidRPr="0008613C">
        <w:rPr>
          <w:rFonts w:asciiTheme="minorHAnsi" w:hAnsiTheme="minorHAnsi"/>
          <w:i/>
        </w:rPr>
        <w:t xml:space="preserve"> diminuzione della tassazione </w:t>
      </w:r>
      <w:r w:rsidR="004A7626">
        <w:rPr>
          <w:rFonts w:asciiTheme="minorHAnsi" w:hAnsiTheme="minorHAnsi"/>
          <w:i/>
        </w:rPr>
        <w:t xml:space="preserve">media </w:t>
      </w:r>
      <w:r w:rsidR="00CA358E" w:rsidRPr="0008613C">
        <w:rPr>
          <w:rFonts w:asciiTheme="minorHAnsi" w:hAnsiTheme="minorHAnsi"/>
          <w:i/>
        </w:rPr>
        <w:t>dei redditi d’impresa fra il 1996 e il 2</w:t>
      </w:r>
      <w:r w:rsidR="005739FD" w:rsidRPr="0008613C">
        <w:rPr>
          <w:rFonts w:asciiTheme="minorHAnsi" w:hAnsiTheme="minorHAnsi"/>
          <w:i/>
        </w:rPr>
        <w:t xml:space="preserve">015 – ad esempio, in Italia </w:t>
      </w:r>
      <w:r w:rsidR="00CA358E" w:rsidRPr="0008613C">
        <w:rPr>
          <w:rFonts w:asciiTheme="minorHAnsi" w:hAnsiTheme="minorHAnsi"/>
          <w:i/>
        </w:rPr>
        <w:t xml:space="preserve">dal 53,2 </w:t>
      </w:r>
      <w:r w:rsidR="004A7626">
        <w:rPr>
          <w:rFonts w:asciiTheme="minorHAnsi" w:hAnsiTheme="minorHAnsi"/>
          <w:i/>
        </w:rPr>
        <w:t xml:space="preserve">si passa </w:t>
      </w:r>
      <w:r w:rsidR="00CA358E" w:rsidRPr="0008613C">
        <w:rPr>
          <w:rFonts w:asciiTheme="minorHAnsi" w:hAnsiTheme="minorHAnsi"/>
          <w:i/>
        </w:rPr>
        <w:t>al 31,4%</w:t>
      </w:r>
      <w:r w:rsidR="005739FD" w:rsidRPr="0008613C">
        <w:rPr>
          <w:rFonts w:asciiTheme="minorHAnsi" w:hAnsiTheme="minorHAnsi"/>
          <w:i/>
        </w:rPr>
        <w:t xml:space="preserve">, in Germania dal 56,7 al 30,2% </w:t>
      </w:r>
      <w:r w:rsidR="00CA358E" w:rsidRPr="0008613C">
        <w:rPr>
          <w:rFonts w:asciiTheme="minorHAnsi" w:hAnsiTheme="minorHAnsi"/>
          <w:i/>
        </w:rPr>
        <w:t xml:space="preserve">– mostra come </w:t>
      </w:r>
      <w:r w:rsidR="005739FD" w:rsidRPr="0008613C">
        <w:rPr>
          <w:rFonts w:asciiTheme="minorHAnsi" w:hAnsiTheme="minorHAnsi"/>
          <w:i/>
        </w:rPr>
        <w:t>in</w:t>
      </w:r>
      <w:r w:rsidR="00022EA0" w:rsidRPr="0008613C">
        <w:rPr>
          <w:rFonts w:asciiTheme="minorHAnsi" w:hAnsiTheme="minorHAnsi"/>
          <w:i/>
        </w:rPr>
        <w:t xml:space="preserve"> tutta</w:t>
      </w:r>
      <w:r w:rsidR="005739FD" w:rsidRPr="0008613C">
        <w:rPr>
          <w:rFonts w:asciiTheme="minorHAnsi" w:hAnsiTheme="minorHAnsi"/>
          <w:i/>
        </w:rPr>
        <w:t xml:space="preserve"> Europa si sia avviata</w:t>
      </w:r>
      <w:r w:rsidR="00CA358E" w:rsidRPr="0008613C">
        <w:rPr>
          <w:rFonts w:asciiTheme="minorHAnsi" w:hAnsiTheme="minorHAnsi"/>
          <w:i/>
        </w:rPr>
        <w:t xml:space="preserve"> una gara al ribasso sulla tassazione delle imprese. Non solo dunque maggiore flessibilità sul mercato del lavoro (leggasi meno diritti per i lavoratori), ma anche meno tasse per le imprese con l’illusione di scongiurare il rischio delle delocalizzazioni</w:t>
      </w:r>
      <w:r w:rsidR="005739FD" w:rsidRPr="0008613C">
        <w:rPr>
          <w:rFonts w:asciiTheme="minorHAnsi" w:hAnsiTheme="minorHAnsi"/>
          <w:i/>
        </w:rPr>
        <w:t xml:space="preserve"> e attrarre occupazione</w:t>
      </w:r>
      <w:r w:rsidR="00CA358E" w:rsidRPr="0008613C">
        <w:rPr>
          <w:rFonts w:asciiTheme="minorHAnsi" w:hAnsiTheme="minorHAnsi"/>
          <w:i/>
        </w:rPr>
        <w:t>.</w:t>
      </w:r>
    </w:p>
    <w:p w:rsidR="00CA358E" w:rsidRPr="006A689D" w:rsidRDefault="00CA358E" w:rsidP="00CA358E">
      <w:pPr>
        <w:pStyle w:val="grafico"/>
        <w:spacing w:before="0" w:beforeAutospacing="0" w:after="0" w:afterAutospacing="0"/>
        <w:jc w:val="both"/>
        <w:rPr>
          <w:rFonts w:asciiTheme="minorHAnsi" w:hAnsiTheme="minorHAnsi"/>
        </w:rPr>
      </w:pPr>
    </w:p>
    <w:p w:rsidR="0076473A" w:rsidRPr="006A689D" w:rsidRDefault="0076473A" w:rsidP="00CA358E">
      <w:pPr>
        <w:pStyle w:val="grafico"/>
        <w:spacing w:before="0" w:beforeAutospacing="0" w:after="0" w:afterAutospacing="0"/>
        <w:jc w:val="both"/>
        <w:rPr>
          <w:rFonts w:asciiTheme="minorHAnsi" w:hAnsiTheme="minorHAnsi"/>
        </w:rPr>
      </w:pPr>
    </w:p>
    <w:p w:rsidR="00CA358E" w:rsidRPr="0008613C" w:rsidRDefault="005065C5" w:rsidP="0008613C">
      <w:pPr>
        <w:pStyle w:val="Titolo1"/>
      </w:pPr>
      <w:r w:rsidRPr="0008613C">
        <w:t>La grande fetta invisibile dell’economia italiana</w:t>
      </w:r>
    </w:p>
    <w:p w:rsidR="0008613C" w:rsidRDefault="0008613C" w:rsidP="00CA358E">
      <w:pPr>
        <w:pStyle w:val="grafico"/>
        <w:spacing w:before="0" w:beforeAutospacing="0" w:after="0" w:afterAutospacing="0"/>
        <w:jc w:val="both"/>
        <w:rPr>
          <w:rFonts w:asciiTheme="minorHAnsi" w:hAnsiTheme="minorHAnsi"/>
        </w:rPr>
      </w:pPr>
    </w:p>
    <w:p w:rsidR="0008613C" w:rsidRDefault="0008613C" w:rsidP="00CA358E">
      <w:pPr>
        <w:pStyle w:val="grafico"/>
        <w:spacing w:before="0" w:beforeAutospacing="0" w:after="0" w:afterAutospacing="0"/>
        <w:jc w:val="both"/>
        <w:rPr>
          <w:rFonts w:asciiTheme="minorHAnsi" w:hAnsiTheme="minorHAnsi"/>
        </w:rPr>
      </w:pPr>
    </w:p>
    <w:p w:rsidR="00CA358E" w:rsidRPr="0008613C" w:rsidRDefault="00CA358E" w:rsidP="00CA358E">
      <w:pPr>
        <w:pStyle w:val="grafico"/>
        <w:spacing w:before="0" w:beforeAutospacing="0" w:after="0" w:afterAutospacing="0"/>
        <w:jc w:val="both"/>
        <w:rPr>
          <w:rFonts w:asciiTheme="minorHAnsi" w:hAnsiTheme="minorHAnsi"/>
          <w:i/>
        </w:rPr>
      </w:pPr>
      <w:r w:rsidRPr="0008613C">
        <w:rPr>
          <w:rFonts w:asciiTheme="minorHAnsi" w:hAnsiTheme="minorHAnsi"/>
          <w:i/>
        </w:rPr>
        <w:t>207,5 mil</w:t>
      </w:r>
      <w:r w:rsidR="00F36D1E" w:rsidRPr="0008613C">
        <w:rPr>
          <w:rFonts w:asciiTheme="minorHAnsi" w:hAnsiTheme="minorHAnsi"/>
          <w:i/>
        </w:rPr>
        <w:t>iardi di euro, il 12,6% del Pil</w:t>
      </w:r>
      <w:r w:rsidRPr="0008613C">
        <w:rPr>
          <w:rFonts w:asciiTheme="minorHAnsi" w:hAnsiTheme="minorHAnsi"/>
          <w:i/>
        </w:rPr>
        <w:t>: a tanto ammonta nel 2015 la stima dell’economia non osservata</w:t>
      </w:r>
      <w:r w:rsidR="00F36D1E" w:rsidRPr="0008613C">
        <w:rPr>
          <w:rFonts w:asciiTheme="minorHAnsi" w:hAnsiTheme="minorHAnsi"/>
          <w:i/>
        </w:rPr>
        <w:t xml:space="preserve"> in Italia</w:t>
      </w:r>
      <w:r w:rsidR="0034468A" w:rsidRPr="0008613C">
        <w:rPr>
          <w:rFonts w:asciiTheme="minorHAnsi" w:hAnsiTheme="minorHAnsi"/>
          <w:i/>
        </w:rPr>
        <w:t xml:space="preserve"> </w:t>
      </w:r>
      <w:r w:rsidR="00BC0D21" w:rsidRPr="0008613C">
        <w:rPr>
          <w:rFonts w:asciiTheme="minorHAnsi" w:hAnsiTheme="minorHAnsi"/>
          <w:i/>
        </w:rPr>
        <w:t>deriva</w:t>
      </w:r>
      <w:r w:rsidR="0034468A" w:rsidRPr="0008613C">
        <w:rPr>
          <w:rFonts w:asciiTheme="minorHAnsi" w:hAnsiTheme="minorHAnsi"/>
          <w:i/>
        </w:rPr>
        <w:t>nte</w:t>
      </w:r>
      <w:r w:rsidR="00BC0D21" w:rsidRPr="0008613C">
        <w:rPr>
          <w:rFonts w:asciiTheme="minorHAnsi" w:hAnsiTheme="minorHAnsi"/>
          <w:i/>
        </w:rPr>
        <w:t xml:space="preserve"> dalla</w:t>
      </w:r>
      <w:r w:rsidRPr="0008613C">
        <w:rPr>
          <w:rFonts w:asciiTheme="minorHAnsi" w:hAnsiTheme="minorHAnsi"/>
          <w:i/>
        </w:rPr>
        <w:t xml:space="preserve"> somma tra i</w:t>
      </w:r>
      <w:r w:rsidR="00F36D1E" w:rsidRPr="0008613C">
        <w:rPr>
          <w:rFonts w:asciiTheme="minorHAnsi" w:hAnsiTheme="minorHAnsi"/>
          <w:i/>
        </w:rPr>
        <w:t>l volume dell’economia sommersa (</w:t>
      </w:r>
      <w:r w:rsidR="0034468A" w:rsidRPr="0008613C">
        <w:rPr>
          <w:rFonts w:asciiTheme="minorHAnsi" w:hAnsiTheme="minorHAnsi"/>
          <w:i/>
        </w:rPr>
        <w:t xml:space="preserve">a sua volta </w:t>
      </w:r>
      <w:r w:rsidRPr="0008613C">
        <w:rPr>
          <w:rFonts w:asciiTheme="minorHAnsi" w:hAnsiTheme="minorHAnsi"/>
          <w:i/>
        </w:rPr>
        <w:t>costituit</w:t>
      </w:r>
      <w:r w:rsidR="00F36D1E" w:rsidRPr="0008613C">
        <w:rPr>
          <w:rFonts w:asciiTheme="minorHAnsi" w:hAnsiTheme="minorHAnsi"/>
          <w:i/>
        </w:rPr>
        <w:t>a in grandissima parte da sotto-</w:t>
      </w:r>
      <w:r w:rsidRPr="0008613C">
        <w:rPr>
          <w:rFonts w:asciiTheme="minorHAnsi" w:hAnsiTheme="minorHAnsi"/>
          <w:i/>
        </w:rPr>
        <w:t>dichiarazione e lavoro irregolare</w:t>
      </w:r>
      <w:r w:rsidR="00F36D1E" w:rsidRPr="0008613C">
        <w:rPr>
          <w:rFonts w:asciiTheme="minorHAnsi" w:hAnsiTheme="minorHAnsi"/>
          <w:i/>
        </w:rPr>
        <w:t>)</w:t>
      </w:r>
      <w:r w:rsidRPr="0008613C">
        <w:rPr>
          <w:rFonts w:asciiTheme="minorHAnsi" w:hAnsiTheme="minorHAnsi"/>
          <w:i/>
        </w:rPr>
        <w:t xml:space="preserve"> e </w:t>
      </w:r>
      <w:r w:rsidR="0034468A" w:rsidRPr="0008613C">
        <w:rPr>
          <w:rFonts w:asciiTheme="minorHAnsi" w:hAnsiTheme="minorHAnsi"/>
          <w:i/>
        </w:rPr>
        <w:t>il volume</w:t>
      </w:r>
      <w:r w:rsidRPr="0008613C">
        <w:rPr>
          <w:rFonts w:asciiTheme="minorHAnsi" w:hAnsiTheme="minorHAnsi"/>
          <w:i/>
        </w:rPr>
        <w:t xml:space="preserve"> </w:t>
      </w:r>
      <w:r w:rsidR="00F36D1E" w:rsidRPr="0008613C">
        <w:rPr>
          <w:rFonts w:asciiTheme="minorHAnsi" w:hAnsiTheme="minorHAnsi"/>
          <w:i/>
        </w:rPr>
        <w:t>de</w:t>
      </w:r>
      <w:r w:rsidRPr="0008613C">
        <w:rPr>
          <w:rFonts w:asciiTheme="minorHAnsi" w:hAnsiTheme="minorHAnsi"/>
          <w:i/>
        </w:rPr>
        <w:t>lle attività illegali. Il</w:t>
      </w:r>
      <w:r w:rsidR="00F36D1E" w:rsidRPr="0008613C">
        <w:rPr>
          <w:rFonts w:asciiTheme="minorHAnsi" w:hAnsiTheme="minorHAnsi"/>
          <w:i/>
        </w:rPr>
        <w:t xml:space="preserve"> peggioramento del dato rispetto ai livelli del 2012 dimostra </w:t>
      </w:r>
      <w:r w:rsidRPr="0008613C">
        <w:rPr>
          <w:rFonts w:asciiTheme="minorHAnsi" w:hAnsiTheme="minorHAnsi"/>
          <w:i/>
        </w:rPr>
        <w:t>l’inadeguatezza delle politiche messe in atto</w:t>
      </w:r>
      <w:r w:rsidR="00F36D1E" w:rsidRPr="0008613C">
        <w:rPr>
          <w:rFonts w:asciiTheme="minorHAnsi" w:hAnsiTheme="minorHAnsi"/>
          <w:i/>
        </w:rPr>
        <w:t xml:space="preserve"> finora</w:t>
      </w:r>
      <w:r w:rsidRPr="0008613C">
        <w:rPr>
          <w:rFonts w:asciiTheme="minorHAnsi" w:hAnsiTheme="minorHAnsi"/>
          <w:i/>
        </w:rPr>
        <w:t xml:space="preserve"> per contrastare evasione fiscale, lavoro nero e criminalità organizzata</w:t>
      </w:r>
      <w:r w:rsidR="00F30BA5" w:rsidRPr="0008613C">
        <w:rPr>
          <w:rFonts w:asciiTheme="minorHAnsi" w:hAnsiTheme="minorHAnsi"/>
          <w:i/>
        </w:rPr>
        <w:t xml:space="preserve">. E per recuperare, al contempo, </w:t>
      </w:r>
      <w:r w:rsidRPr="0008613C">
        <w:rPr>
          <w:rFonts w:asciiTheme="minorHAnsi" w:hAnsiTheme="minorHAnsi"/>
          <w:i/>
        </w:rPr>
        <w:t>ingenti</w:t>
      </w:r>
      <w:r w:rsidR="00F30BA5" w:rsidRPr="0008613C">
        <w:rPr>
          <w:rFonts w:asciiTheme="minorHAnsi" w:hAnsiTheme="minorHAnsi"/>
          <w:i/>
        </w:rPr>
        <w:t>ssime e preziose</w:t>
      </w:r>
      <w:r w:rsidRPr="0008613C">
        <w:rPr>
          <w:rFonts w:asciiTheme="minorHAnsi" w:hAnsiTheme="minorHAnsi"/>
          <w:i/>
        </w:rPr>
        <w:t xml:space="preserve"> risorse per le casse statali.</w:t>
      </w:r>
    </w:p>
    <w:p w:rsidR="0099165E" w:rsidRPr="006A689D" w:rsidRDefault="0099165E" w:rsidP="0099165E">
      <w:pPr>
        <w:pStyle w:val="grafico"/>
        <w:spacing w:before="0" w:beforeAutospacing="0" w:after="0" w:afterAutospacing="0"/>
        <w:jc w:val="both"/>
        <w:rPr>
          <w:rFonts w:asciiTheme="minorHAnsi" w:hAnsiTheme="minorHAnsi"/>
        </w:rPr>
      </w:pPr>
    </w:p>
    <w:p w:rsidR="0099165E" w:rsidRPr="006A689D" w:rsidRDefault="0099165E" w:rsidP="0099165E">
      <w:pPr>
        <w:pStyle w:val="grafico"/>
        <w:spacing w:before="0" w:beforeAutospacing="0" w:after="0" w:afterAutospacing="0"/>
        <w:jc w:val="both"/>
        <w:rPr>
          <w:rFonts w:asciiTheme="minorHAnsi" w:hAnsiTheme="minorHAnsi"/>
        </w:rPr>
      </w:pPr>
    </w:p>
    <w:p w:rsidR="0099165E" w:rsidRDefault="0099165E"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595B11" w:rsidRDefault="00595B11" w:rsidP="0099165E">
      <w:pPr>
        <w:pStyle w:val="grafico"/>
        <w:spacing w:before="0" w:beforeAutospacing="0" w:after="0" w:afterAutospacing="0"/>
        <w:jc w:val="both"/>
        <w:rPr>
          <w:rFonts w:asciiTheme="minorHAnsi" w:hAnsiTheme="minorHAnsi"/>
        </w:rPr>
      </w:pPr>
    </w:p>
    <w:p w:rsidR="00D20660" w:rsidRPr="00333947" w:rsidRDefault="00D20660"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99165E" w:rsidRDefault="0099165E"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32"/>
        </w:rPr>
      </w:pPr>
      <w:r w:rsidRPr="00ED0D85">
        <w:rPr>
          <w:b/>
          <w:sz w:val="32"/>
        </w:rPr>
        <w:t>POLITICHE INDUSTRIALI, LAVORO E REDDITO</w:t>
      </w:r>
    </w:p>
    <w:p w:rsidR="00D20660" w:rsidRPr="00333947" w:rsidRDefault="00D20660"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99165E" w:rsidRDefault="0099165E" w:rsidP="0099165E">
      <w:pPr>
        <w:pStyle w:val="grafico"/>
        <w:spacing w:before="0" w:beforeAutospacing="0" w:after="0" w:afterAutospacing="0"/>
        <w:jc w:val="both"/>
        <w:rPr>
          <w:rFonts w:asciiTheme="minorHAnsi" w:hAnsiTheme="minorHAnsi"/>
        </w:rPr>
      </w:pPr>
    </w:p>
    <w:p w:rsidR="0099165E" w:rsidRPr="0008613C" w:rsidRDefault="00BF40E5" w:rsidP="0008613C">
      <w:pPr>
        <w:pStyle w:val="Titolo1"/>
      </w:pPr>
      <w:r w:rsidRPr="0008613C">
        <w:t>Non è un paese per lavoratori</w:t>
      </w:r>
    </w:p>
    <w:p w:rsidR="0008613C" w:rsidRDefault="0008613C" w:rsidP="0099165E">
      <w:pPr>
        <w:pStyle w:val="grafico"/>
        <w:spacing w:before="0" w:beforeAutospacing="0" w:after="0" w:afterAutospacing="0"/>
        <w:jc w:val="both"/>
        <w:rPr>
          <w:rFonts w:asciiTheme="minorHAnsi" w:hAnsiTheme="minorHAnsi"/>
          <w:i/>
        </w:rPr>
      </w:pPr>
    </w:p>
    <w:p w:rsidR="0008613C" w:rsidRDefault="0008613C"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r w:rsidRPr="0008613C">
        <w:rPr>
          <w:rFonts w:asciiTheme="minorHAnsi" w:hAnsiTheme="minorHAnsi"/>
          <w:i/>
        </w:rPr>
        <w:t xml:space="preserve">I </w:t>
      </w:r>
      <w:r w:rsidR="000E1E96" w:rsidRPr="0008613C">
        <w:rPr>
          <w:rFonts w:asciiTheme="minorHAnsi" w:hAnsiTheme="minorHAnsi"/>
          <w:i/>
        </w:rPr>
        <w:t>numeri</w:t>
      </w:r>
      <w:r w:rsidRPr="0008613C">
        <w:rPr>
          <w:rFonts w:asciiTheme="minorHAnsi" w:hAnsiTheme="minorHAnsi"/>
          <w:i/>
        </w:rPr>
        <w:t xml:space="preserve"> sulla disoccupazione in Italia mostrano un paese </w:t>
      </w:r>
      <w:r w:rsidR="00EC10AF" w:rsidRPr="0008613C">
        <w:rPr>
          <w:rFonts w:asciiTheme="minorHAnsi" w:hAnsiTheme="minorHAnsi"/>
          <w:i/>
        </w:rPr>
        <w:t>piegato</w:t>
      </w:r>
      <w:r w:rsidRPr="0008613C">
        <w:rPr>
          <w:rFonts w:asciiTheme="minorHAnsi" w:hAnsiTheme="minorHAnsi"/>
          <w:i/>
        </w:rPr>
        <w:t xml:space="preserve"> </w:t>
      </w:r>
      <w:r w:rsidR="000E1E96" w:rsidRPr="0008613C">
        <w:rPr>
          <w:rFonts w:asciiTheme="minorHAnsi" w:hAnsiTheme="minorHAnsi"/>
          <w:i/>
        </w:rPr>
        <w:t>dalla</w:t>
      </w:r>
      <w:r w:rsidRPr="0008613C">
        <w:rPr>
          <w:rFonts w:asciiTheme="minorHAnsi" w:hAnsiTheme="minorHAnsi"/>
          <w:i/>
        </w:rPr>
        <w:t xml:space="preserve"> crisi e </w:t>
      </w:r>
      <w:r w:rsidR="000E1E96" w:rsidRPr="0008613C">
        <w:rPr>
          <w:rFonts w:asciiTheme="minorHAnsi" w:hAnsiTheme="minorHAnsi"/>
          <w:i/>
        </w:rPr>
        <w:t xml:space="preserve">dalle politiche di austerità, con </w:t>
      </w:r>
      <w:r w:rsidR="00EC10AF" w:rsidRPr="0008613C">
        <w:rPr>
          <w:rFonts w:asciiTheme="minorHAnsi" w:hAnsiTheme="minorHAnsi"/>
          <w:i/>
        </w:rPr>
        <w:t xml:space="preserve">ferite ancora più profonde </w:t>
      </w:r>
      <w:r w:rsidR="004A7626">
        <w:rPr>
          <w:rFonts w:asciiTheme="minorHAnsi" w:hAnsiTheme="minorHAnsi"/>
          <w:i/>
        </w:rPr>
        <w:t>che attraversano le</w:t>
      </w:r>
      <w:r w:rsidR="00EC10AF" w:rsidRPr="0008613C">
        <w:rPr>
          <w:rFonts w:asciiTheme="minorHAnsi" w:hAnsiTheme="minorHAnsi"/>
          <w:i/>
        </w:rPr>
        <w:t xml:space="preserve"> divisioni per </w:t>
      </w:r>
      <w:r w:rsidRPr="0008613C">
        <w:rPr>
          <w:rFonts w:asciiTheme="minorHAnsi" w:hAnsiTheme="minorHAnsi"/>
          <w:i/>
        </w:rPr>
        <w:t xml:space="preserve">aree geografiche e </w:t>
      </w:r>
      <w:r w:rsidR="00EC10AF" w:rsidRPr="0008613C">
        <w:rPr>
          <w:rFonts w:asciiTheme="minorHAnsi" w:hAnsiTheme="minorHAnsi"/>
          <w:i/>
        </w:rPr>
        <w:t xml:space="preserve">per </w:t>
      </w:r>
      <w:r w:rsidRPr="0008613C">
        <w:rPr>
          <w:rFonts w:asciiTheme="minorHAnsi" w:hAnsiTheme="minorHAnsi"/>
          <w:i/>
        </w:rPr>
        <w:t xml:space="preserve">genere. Il dato </w:t>
      </w:r>
      <w:r w:rsidR="00E728B3" w:rsidRPr="0008613C">
        <w:rPr>
          <w:rFonts w:asciiTheme="minorHAnsi" w:hAnsiTheme="minorHAnsi"/>
          <w:i/>
        </w:rPr>
        <w:t>complessivo</w:t>
      </w:r>
      <w:r w:rsidRPr="0008613C">
        <w:rPr>
          <w:rFonts w:asciiTheme="minorHAnsi" w:hAnsiTheme="minorHAnsi"/>
          <w:i/>
        </w:rPr>
        <w:t xml:space="preserve"> </w:t>
      </w:r>
      <w:r w:rsidR="00EC10AF" w:rsidRPr="0008613C">
        <w:rPr>
          <w:rFonts w:asciiTheme="minorHAnsi" w:hAnsiTheme="minorHAnsi"/>
          <w:i/>
        </w:rPr>
        <w:t xml:space="preserve">della disoccupazione </w:t>
      </w:r>
      <w:r w:rsidR="004A7626">
        <w:rPr>
          <w:rFonts w:asciiTheme="minorHAnsi" w:hAnsiTheme="minorHAnsi"/>
          <w:i/>
        </w:rPr>
        <w:t xml:space="preserve">nel 2016 </w:t>
      </w:r>
      <w:r w:rsidR="00E728B3" w:rsidRPr="0008613C">
        <w:rPr>
          <w:rFonts w:asciiTheme="minorHAnsi" w:hAnsiTheme="minorHAnsi"/>
          <w:i/>
        </w:rPr>
        <w:t xml:space="preserve">è </w:t>
      </w:r>
      <w:r w:rsidR="00EC10AF" w:rsidRPr="0008613C">
        <w:rPr>
          <w:rFonts w:asciiTheme="minorHAnsi" w:hAnsiTheme="minorHAnsi"/>
          <w:i/>
        </w:rPr>
        <w:t>de</w:t>
      </w:r>
      <w:r w:rsidR="00E728B3" w:rsidRPr="0008613C">
        <w:rPr>
          <w:rFonts w:asciiTheme="minorHAnsi" w:hAnsiTheme="minorHAnsi"/>
          <w:i/>
        </w:rPr>
        <w:t>l</w:t>
      </w:r>
      <w:r w:rsidR="00EC10AF" w:rsidRPr="0008613C">
        <w:rPr>
          <w:rFonts w:asciiTheme="minorHAnsi" w:hAnsiTheme="minorHAnsi"/>
          <w:i/>
        </w:rPr>
        <w:t>l’11,7</w:t>
      </w:r>
      <w:r w:rsidR="00E728B3" w:rsidRPr="0008613C">
        <w:rPr>
          <w:rFonts w:asciiTheme="minorHAnsi" w:hAnsiTheme="minorHAnsi"/>
          <w:i/>
        </w:rPr>
        <w:t xml:space="preserve">%: </w:t>
      </w:r>
      <w:r w:rsidRPr="0008613C">
        <w:rPr>
          <w:rFonts w:asciiTheme="minorHAnsi" w:hAnsiTheme="minorHAnsi"/>
          <w:i/>
        </w:rPr>
        <w:t xml:space="preserve">gli attuali 3 milioni di disoccupati </w:t>
      </w:r>
      <w:r w:rsidR="000E1E96" w:rsidRPr="0008613C">
        <w:rPr>
          <w:rFonts w:asciiTheme="minorHAnsi" w:hAnsiTheme="minorHAnsi"/>
          <w:i/>
        </w:rPr>
        <w:t>sono</w:t>
      </w:r>
      <w:r w:rsidRPr="0008613C">
        <w:rPr>
          <w:rFonts w:asciiTheme="minorHAnsi" w:hAnsiTheme="minorHAnsi"/>
          <w:i/>
        </w:rPr>
        <w:t xml:space="preserve"> più del do</w:t>
      </w:r>
      <w:r w:rsidR="00C8316B" w:rsidRPr="0008613C">
        <w:rPr>
          <w:rFonts w:asciiTheme="minorHAnsi" w:hAnsiTheme="minorHAnsi"/>
          <w:i/>
        </w:rPr>
        <w:t xml:space="preserve">ppio </w:t>
      </w:r>
      <w:r w:rsidR="000E1E96" w:rsidRPr="0008613C">
        <w:rPr>
          <w:rFonts w:asciiTheme="minorHAnsi" w:hAnsiTheme="minorHAnsi"/>
          <w:i/>
        </w:rPr>
        <w:t xml:space="preserve">di quelli registrati nel 2007. </w:t>
      </w:r>
      <w:r w:rsidR="00E728B3" w:rsidRPr="0008613C">
        <w:rPr>
          <w:rFonts w:asciiTheme="minorHAnsi" w:hAnsiTheme="minorHAnsi"/>
          <w:i/>
        </w:rPr>
        <w:t xml:space="preserve">La disoccupazione femminile, pari al </w:t>
      </w:r>
      <w:r w:rsidRPr="0008613C">
        <w:rPr>
          <w:rFonts w:asciiTheme="minorHAnsi" w:hAnsiTheme="minorHAnsi"/>
          <w:i/>
        </w:rPr>
        <w:t>7,8%</w:t>
      </w:r>
      <w:r w:rsidR="00EC10AF" w:rsidRPr="0008613C">
        <w:rPr>
          <w:rFonts w:asciiTheme="minorHAnsi" w:hAnsiTheme="minorHAnsi"/>
          <w:i/>
        </w:rPr>
        <w:t xml:space="preserve"> nel 2007 si impenna al 12,8</w:t>
      </w:r>
      <w:r w:rsidR="00E728B3" w:rsidRPr="0008613C">
        <w:rPr>
          <w:rFonts w:asciiTheme="minorHAnsi" w:hAnsiTheme="minorHAnsi"/>
          <w:i/>
        </w:rPr>
        <w:t xml:space="preserve">% </w:t>
      </w:r>
      <w:r w:rsidR="001436E7" w:rsidRPr="0008613C">
        <w:rPr>
          <w:rFonts w:asciiTheme="minorHAnsi" w:hAnsiTheme="minorHAnsi"/>
          <w:i/>
        </w:rPr>
        <w:t xml:space="preserve">(+5%) </w:t>
      </w:r>
      <w:r w:rsidR="0090234F">
        <w:rPr>
          <w:rFonts w:asciiTheme="minorHAnsi" w:hAnsiTheme="minorHAnsi"/>
          <w:i/>
        </w:rPr>
        <w:t>nel 2016</w:t>
      </w:r>
      <w:r w:rsidR="00E728B3" w:rsidRPr="0008613C">
        <w:rPr>
          <w:rFonts w:asciiTheme="minorHAnsi" w:hAnsiTheme="minorHAnsi"/>
          <w:i/>
        </w:rPr>
        <w:t>, mentre</w:t>
      </w:r>
      <w:r w:rsidRPr="0008613C">
        <w:rPr>
          <w:rFonts w:asciiTheme="minorHAnsi" w:hAnsiTheme="minorHAnsi"/>
          <w:i/>
        </w:rPr>
        <w:t xml:space="preserve"> nel Me</w:t>
      </w:r>
      <w:r w:rsidR="00E728B3" w:rsidRPr="0008613C">
        <w:rPr>
          <w:rFonts w:asciiTheme="minorHAnsi" w:hAnsiTheme="minorHAnsi"/>
          <w:i/>
        </w:rPr>
        <w:t>zzogiorno</w:t>
      </w:r>
      <w:r w:rsidRPr="0008613C">
        <w:rPr>
          <w:rFonts w:asciiTheme="minorHAnsi" w:hAnsiTheme="minorHAnsi"/>
          <w:i/>
        </w:rPr>
        <w:t xml:space="preserve"> </w:t>
      </w:r>
      <w:r w:rsidR="00E728B3" w:rsidRPr="0008613C">
        <w:rPr>
          <w:rFonts w:asciiTheme="minorHAnsi" w:hAnsiTheme="minorHAnsi"/>
          <w:i/>
        </w:rPr>
        <w:t>si passa</w:t>
      </w:r>
      <w:r w:rsidRPr="0008613C">
        <w:rPr>
          <w:rFonts w:asciiTheme="minorHAnsi" w:hAnsiTheme="minorHAnsi"/>
          <w:i/>
        </w:rPr>
        <w:t xml:space="preserve"> dal</w:t>
      </w:r>
      <w:r w:rsidR="00E728B3" w:rsidRPr="0008613C">
        <w:rPr>
          <w:rFonts w:asciiTheme="minorHAnsi" w:hAnsiTheme="minorHAnsi"/>
          <w:i/>
        </w:rPr>
        <w:t>l’</w:t>
      </w:r>
      <w:r w:rsidR="00EC10AF" w:rsidRPr="0008613C">
        <w:rPr>
          <w:rFonts w:asciiTheme="minorHAnsi" w:hAnsiTheme="minorHAnsi"/>
          <w:i/>
        </w:rPr>
        <w:t>11,4</w:t>
      </w:r>
      <w:r w:rsidR="00B674CB" w:rsidRPr="0008613C">
        <w:rPr>
          <w:rFonts w:asciiTheme="minorHAnsi" w:hAnsiTheme="minorHAnsi"/>
          <w:i/>
        </w:rPr>
        <w:t xml:space="preserve"> </w:t>
      </w:r>
      <w:r w:rsidR="00EC10AF" w:rsidRPr="0008613C">
        <w:rPr>
          <w:rFonts w:asciiTheme="minorHAnsi" w:hAnsiTheme="minorHAnsi"/>
          <w:i/>
        </w:rPr>
        <w:t>al 19,6</w:t>
      </w:r>
      <w:r w:rsidR="00E728B3" w:rsidRPr="0008613C">
        <w:rPr>
          <w:rFonts w:asciiTheme="minorHAnsi" w:hAnsiTheme="minorHAnsi"/>
          <w:i/>
        </w:rPr>
        <w:t>%</w:t>
      </w:r>
      <w:r w:rsidR="00EC10AF" w:rsidRPr="0008613C">
        <w:rPr>
          <w:rFonts w:asciiTheme="minorHAnsi" w:hAnsiTheme="minorHAnsi"/>
          <w:i/>
        </w:rPr>
        <w:t xml:space="preserve"> </w:t>
      </w:r>
      <w:r w:rsidR="001436E7" w:rsidRPr="0008613C">
        <w:rPr>
          <w:rFonts w:asciiTheme="minorHAnsi" w:hAnsiTheme="minorHAnsi"/>
          <w:i/>
        </w:rPr>
        <w:t xml:space="preserve">(+8,2%) </w:t>
      </w:r>
      <w:r w:rsidR="00EC10AF" w:rsidRPr="0008613C">
        <w:rPr>
          <w:rFonts w:asciiTheme="minorHAnsi" w:hAnsiTheme="minorHAnsi"/>
          <w:i/>
        </w:rPr>
        <w:t>nello stesso arco di tempo.</w:t>
      </w:r>
    </w:p>
    <w:p w:rsidR="0099165E" w:rsidRPr="00FB4C51" w:rsidRDefault="0099165E" w:rsidP="0099165E">
      <w:pPr>
        <w:pStyle w:val="grafico"/>
        <w:spacing w:before="0" w:beforeAutospacing="0" w:after="0" w:afterAutospacing="0"/>
        <w:jc w:val="both"/>
        <w:rPr>
          <w:rFonts w:asciiTheme="minorHAnsi" w:hAnsiTheme="minorHAnsi"/>
        </w:rPr>
      </w:pPr>
    </w:p>
    <w:p w:rsidR="0081207E" w:rsidRPr="00FB4C51" w:rsidRDefault="0081207E" w:rsidP="0099165E">
      <w:pPr>
        <w:pStyle w:val="grafico"/>
        <w:spacing w:before="0" w:beforeAutospacing="0" w:after="0" w:afterAutospacing="0"/>
        <w:jc w:val="both"/>
        <w:rPr>
          <w:rFonts w:asciiTheme="minorHAnsi" w:hAnsiTheme="minorHAnsi"/>
        </w:rPr>
      </w:pPr>
    </w:p>
    <w:p w:rsidR="0099165E" w:rsidRPr="0008613C" w:rsidRDefault="00CE3D1C" w:rsidP="0008613C">
      <w:pPr>
        <w:pStyle w:val="Titolo1"/>
      </w:pPr>
      <w:r w:rsidRPr="0008613C">
        <w:t xml:space="preserve">L’infruttuosa ricerca </w:t>
      </w:r>
      <w:r w:rsidR="00C22379" w:rsidRPr="0008613C">
        <w:t>di</w:t>
      </w:r>
      <w:r w:rsidRPr="0008613C">
        <w:t xml:space="preserve"> lavoro</w:t>
      </w:r>
    </w:p>
    <w:p w:rsidR="0008613C" w:rsidRDefault="0008613C" w:rsidP="0099165E">
      <w:pPr>
        <w:pStyle w:val="grafico"/>
        <w:spacing w:before="0" w:beforeAutospacing="0" w:after="0" w:afterAutospacing="0"/>
        <w:jc w:val="both"/>
        <w:rPr>
          <w:rFonts w:asciiTheme="minorHAnsi" w:hAnsiTheme="minorHAnsi"/>
          <w:i/>
        </w:rPr>
      </w:pPr>
    </w:p>
    <w:p w:rsidR="0008613C" w:rsidRDefault="0008613C" w:rsidP="0099165E">
      <w:pPr>
        <w:pStyle w:val="grafico"/>
        <w:spacing w:before="0" w:beforeAutospacing="0" w:after="0" w:afterAutospacing="0"/>
        <w:jc w:val="both"/>
        <w:rPr>
          <w:rFonts w:asciiTheme="minorHAnsi" w:hAnsiTheme="minorHAnsi"/>
          <w:i/>
        </w:rPr>
      </w:pPr>
    </w:p>
    <w:p w:rsidR="0099165E" w:rsidRPr="0008613C" w:rsidRDefault="0081207E" w:rsidP="0099165E">
      <w:pPr>
        <w:pStyle w:val="grafico"/>
        <w:spacing w:before="0" w:beforeAutospacing="0" w:after="0" w:afterAutospacing="0"/>
        <w:jc w:val="both"/>
        <w:rPr>
          <w:rFonts w:asciiTheme="minorHAnsi" w:hAnsiTheme="minorHAnsi"/>
          <w:i/>
        </w:rPr>
      </w:pPr>
      <w:r w:rsidRPr="0008613C">
        <w:rPr>
          <w:rFonts w:asciiTheme="minorHAnsi" w:hAnsiTheme="minorHAnsi"/>
          <w:i/>
        </w:rPr>
        <w:t>Oltre la met</w:t>
      </w:r>
      <w:r w:rsidR="0099165E" w:rsidRPr="0008613C">
        <w:rPr>
          <w:rFonts w:asciiTheme="minorHAnsi" w:hAnsiTheme="minorHAnsi"/>
          <w:i/>
        </w:rPr>
        <w:t>à dei disoccupati italiani – il 57,3 % – sono disoccupati di lunga durata, sono cioè alla ricerca di un</w:t>
      </w:r>
      <w:r w:rsidRPr="0008613C">
        <w:rPr>
          <w:rFonts w:asciiTheme="minorHAnsi" w:hAnsiTheme="minorHAnsi"/>
          <w:i/>
        </w:rPr>
        <w:t xml:space="preserve">’occupazione da più di un anno: un </w:t>
      </w:r>
      <w:r w:rsidR="0099165E" w:rsidRPr="0008613C">
        <w:rPr>
          <w:rFonts w:asciiTheme="minorHAnsi" w:hAnsiTheme="minorHAnsi"/>
          <w:i/>
        </w:rPr>
        <w:t xml:space="preserve">dato </w:t>
      </w:r>
      <w:r w:rsidRPr="0008613C">
        <w:rPr>
          <w:rFonts w:asciiTheme="minorHAnsi" w:hAnsiTheme="minorHAnsi"/>
          <w:i/>
        </w:rPr>
        <w:t>che mette in mostra</w:t>
      </w:r>
      <w:r w:rsidR="0099165E" w:rsidRPr="0008613C">
        <w:rPr>
          <w:rFonts w:asciiTheme="minorHAnsi" w:hAnsiTheme="minorHAnsi"/>
          <w:i/>
        </w:rPr>
        <w:t xml:space="preserve"> </w:t>
      </w:r>
      <w:r w:rsidR="000E7B94">
        <w:rPr>
          <w:rFonts w:asciiTheme="minorHAnsi" w:hAnsiTheme="minorHAnsi"/>
          <w:i/>
        </w:rPr>
        <w:t>lo</w:t>
      </w:r>
      <w:r w:rsidR="0099165E" w:rsidRPr="0008613C">
        <w:rPr>
          <w:rFonts w:asciiTheme="minorHAnsi" w:hAnsiTheme="minorHAnsi"/>
          <w:i/>
        </w:rPr>
        <w:t xml:space="preserve"> </w:t>
      </w:r>
      <w:r w:rsidR="00DA31D6">
        <w:rPr>
          <w:rFonts w:asciiTheme="minorHAnsi" w:hAnsiTheme="minorHAnsi"/>
          <w:i/>
        </w:rPr>
        <w:t>scarsissim</w:t>
      </w:r>
      <w:r w:rsidR="000E7B94">
        <w:rPr>
          <w:rFonts w:asciiTheme="minorHAnsi" w:hAnsiTheme="minorHAnsi"/>
          <w:i/>
        </w:rPr>
        <w:t>o</w:t>
      </w:r>
      <w:r w:rsidR="0099165E" w:rsidRPr="0008613C">
        <w:rPr>
          <w:rFonts w:asciiTheme="minorHAnsi" w:hAnsiTheme="minorHAnsi"/>
          <w:i/>
        </w:rPr>
        <w:t xml:space="preserve"> </w:t>
      </w:r>
      <w:r w:rsidR="000E7B94">
        <w:rPr>
          <w:rFonts w:asciiTheme="minorHAnsi" w:hAnsiTheme="minorHAnsi"/>
          <w:i/>
        </w:rPr>
        <w:t>dinamismo</w:t>
      </w:r>
      <w:r w:rsidR="0099165E" w:rsidRPr="0008613C">
        <w:rPr>
          <w:rFonts w:asciiTheme="minorHAnsi" w:hAnsiTheme="minorHAnsi"/>
          <w:i/>
        </w:rPr>
        <w:t xml:space="preserve"> del mercato del lavoro </w:t>
      </w:r>
      <w:r w:rsidRPr="0008613C">
        <w:rPr>
          <w:rFonts w:asciiTheme="minorHAnsi" w:hAnsiTheme="minorHAnsi"/>
          <w:i/>
        </w:rPr>
        <w:t>del nostro paese</w:t>
      </w:r>
      <w:r w:rsidR="00DA31D6">
        <w:rPr>
          <w:rFonts w:asciiTheme="minorHAnsi" w:hAnsiTheme="minorHAnsi"/>
          <w:i/>
        </w:rPr>
        <w:t xml:space="preserve"> (oltre che il fallimento delle recenti politiche sull’occupazione)</w:t>
      </w:r>
      <w:r w:rsidR="0099165E" w:rsidRPr="0008613C">
        <w:rPr>
          <w:rFonts w:asciiTheme="minorHAnsi" w:hAnsiTheme="minorHAnsi"/>
          <w:i/>
        </w:rPr>
        <w:t xml:space="preserve">. Se </w:t>
      </w:r>
      <w:r w:rsidR="00860C18" w:rsidRPr="0008613C">
        <w:rPr>
          <w:rFonts w:asciiTheme="minorHAnsi" w:hAnsiTheme="minorHAnsi"/>
          <w:i/>
        </w:rPr>
        <w:t>nel</w:t>
      </w:r>
      <w:r w:rsidRPr="0008613C">
        <w:rPr>
          <w:rFonts w:asciiTheme="minorHAnsi" w:hAnsiTheme="minorHAnsi"/>
          <w:i/>
        </w:rPr>
        <w:t xml:space="preserve"> </w:t>
      </w:r>
      <w:r w:rsidR="00860C18" w:rsidRPr="0008613C">
        <w:rPr>
          <w:rFonts w:asciiTheme="minorHAnsi" w:hAnsiTheme="minorHAnsi"/>
          <w:i/>
        </w:rPr>
        <w:t xml:space="preserve">2016 </w:t>
      </w:r>
      <w:r w:rsidRPr="0008613C">
        <w:rPr>
          <w:rFonts w:asciiTheme="minorHAnsi" w:hAnsiTheme="minorHAnsi"/>
          <w:i/>
        </w:rPr>
        <w:t xml:space="preserve">il </w:t>
      </w:r>
      <w:r w:rsidR="00860C18" w:rsidRPr="0008613C">
        <w:rPr>
          <w:rFonts w:asciiTheme="minorHAnsi" w:hAnsiTheme="minorHAnsi"/>
          <w:i/>
        </w:rPr>
        <w:t>risultato</w:t>
      </w:r>
      <w:r w:rsidRPr="0008613C">
        <w:rPr>
          <w:rFonts w:asciiTheme="minorHAnsi" w:hAnsiTheme="minorHAnsi"/>
          <w:i/>
        </w:rPr>
        <w:t xml:space="preserve"> è </w:t>
      </w:r>
      <w:r w:rsidR="00860C18" w:rsidRPr="0008613C">
        <w:rPr>
          <w:rFonts w:asciiTheme="minorHAnsi" w:hAnsiTheme="minorHAnsi"/>
          <w:i/>
        </w:rPr>
        <w:t xml:space="preserve">lievemente </w:t>
      </w:r>
      <w:r w:rsidRPr="0008613C">
        <w:rPr>
          <w:rFonts w:asciiTheme="minorHAnsi" w:hAnsiTheme="minorHAnsi"/>
          <w:i/>
        </w:rPr>
        <w:t>migliorato</w:t>
      </w:r>
      <w:r w:rsidR="00860C18" w:rsidRPr="0008613C">
        <w:rPr>
          <w:rFonts w:asciiTheme="minorHAnsi" w:hAnsiTheme="minorHAnsi"/>
          <w:i/>
        </w:rPr>
        <w:t xml:space="preserve"> (+</w:t>
      </w:r>
      <w:r w:rsidRPr="0008613C">
        <w:rPr>
          <w:rFonts w:asciiTheme="minorHAnsi" w:hAnsiTheme="minorHAnsi"/>
          <w:i/>
        </w:rPr>
        <w:t>0,</w:t>
      </w:r>
      <w:r w:rsidR="0099165E" w:rsidRPr="0008613C">
        <w:rPr>
          <w:rFonts w:asciiTheme="minorHAnsi" w:hAnsiTheme="minorHAnsi"/>
          <w:i/>
        </w:rPr>
        <w:t>8</w:t>
      </w:r>
      <w:r w:rsidR="00860C18" w:rsidRPr="0008613C">
        <w:rPr>
          <w:rFonts w:asciiTheme="minorHAnsi" w:hAnsiTheme="minorHAnsi"/>
          <w:i/>
        </w:rPr>
        <w:t xml:space="preserve">%) </w:t>
      </w:r>
      <w:r w:rsidRPr="0008613C">
        <w:rPr>
          <w:rFonts w:asciiTheme="minorHAnsi" w:hAnsiTheme="minorHAnsi"/>
          <w:i/>
        </w:rPr>
        <w:t>rispetto all’anno precedente</w:t>
      </w:r>
      <w:r w:rsidR="0099165E" w:rsidRPr="0008613C">
        <w:rPr>
          <w:rFonts w:asciiTheme="minorHAnsi" w:hAnsiTheme="minorHAnsi"/>
          <w:i/>
        </w:rPr>
        <w:t xml:space="preserve">, </w:t>
      </w:r>
      <w:r w:rsidR="00860C18" w:rsidRPr="0008613C">
        <w:rPr>
          <w:rFonts w:asciiTheme="minorHAnsi" w:hAnsiTheme="minorHAnsi"/>
          <w:i/>
        </w:rPr>
        <w:t>si resta</w:t>
      </w:r>
      <w:r w:rsidR="0099165E" w:rsidRPr="0008613C">
        <w:rPr>
          <w:rFonts w:asciiTheme="minorHAnsi" w:hAnsiTheme="minorHAnsi"/>
          <w:i/>
        </w:rPr>
        <w:t xml:space="preserve"> ancora lont</w:t>
      </w:r>
      <w:r w:rsidR="00860C18" w:rsidRPr="0008613C">
        <w:rPr>
          <w:rFonts w:asciiTheme="minorHAnsi" w:hAnsiTheme="minorHAnsi"/>
          <w:i/>
        </w:rPr>
        <w:t xml:space="preserve">ani dai valori del 2007, quando </w:t>
      </w:r>
      <w:r w:rsidRPr="0008613C">
        <w:rPr>
          <w:rFonts w:asciiTheme="minorHAnsi" w:hAnsiTheme="minorHAnsi"/>
          <w:i/>
        </w:rPr>
        <w:t>la percentuale di</w:t>
      </w:r>
      <w:r w:rsidR="0099165E" w:rsidRPr="0008613C">
        <w:rPr>
          <w:rFonts w:asciiTheme="minorHAnsi" w:hAnsiTheme="minorHAnsi"/>
          <w:i/>
        </w:rPr>
        <w:t xml:space="preserve"> diso</w:t>
      </w:r>
      <w:r w:rsidRPr="0008613C">
        <w:rPr>
          <w:rFonts w:asciiTheme="minorHAnsi" w:hAnsiTheme="minorHAnsi"/>
          <w:i/>
        </w:rPr>
        <w:t xml:space="preserve">ccupati di lunga durata </w:t>
      </w:r>
      <w:r w:rsidR="00860C18" w:rsidRPr="0008613C">
        <w:rPr>
          <w:rFonts w:asciiTheme="minorHAnsi" w:hAnsiTheme="minorHAnsi"/>
          <w:i/>
        </w:rPr>
        <w:t xml:space="preserve">a livello nazionale </w:t>
      </w:r>
      <w:r w:rsidRPr="0008613C">
        <w:rPr>
          <w:rFonts w:asciiTheme="minorHAnsi" w:hAnsiTheme="minorHAnsi"/>
          <w:i/>
        </w:rPr>
        <w:t xml:space="preserve">era pari al </w:t>
      </w:r>
      <w:r w:rsidR="00860C18" w:rsidRPr="0008613C">
        <w:rPr>
          <w:rFonts w:asciiTheme="minorHAnsi" w:hAnsiTheme="minorHAnsi"/>
          <w:i/>
        </w:rPr>
        <w:t>46,9</w:t>
      </w:r>
      <w:r w:rsidR="0099165E" w:rsidRPr="0008613C">
        <w:rPr>
          <w:rFonts w:asciiTheme="minorHAnsi" w:hAnsiTheme="minorHAnsi"/>
          <w:i/>
        </w:rPr>
        <w:t>.</w:t>
      </w:r>
    </w:p>
    <w:p w:rsidR="0099165E" w:rsidRPr="0008613C" w:rsidRDefault="0099165E"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p>
    <w:p w:rsidR="0099165E" w:rsidRPr="0008613C" w:rsidRDefault="003C3186" w:rsidP="0008613C">
      <w:pPr>
        <w:pStyle w:val="Titolo1"/>
      </w:pPr>
      <w:r w:rsidRPr="0008613C">
        <w:t xml:space="preserve">Giovani a </w:t>
      </w:r>
      <w:r w:rsidR="00B10254" w:rsidRPr="0008613C">
        <w:t>spasso</w:t>
      </w:r>
    </w:p>
    <w:p w:rsidR="0008613C" w:rsidRDefault="0008613C" w:rsidP="0099165E">
      <w:pPr>
        <w:pStyle w:val="grafico"/>
        <w:spacing w:before="0" w:beforeAutospacing="0" w:after="0" w:afterAutospacing="0"/>
        <w:jc w:val="both"/>
        <w:rPr>
          <w:rFonts w:asciiTheme="minorHAnsi" w:hAnsiTheme="minorHAnsi"/>
          <w:i/>
        </w:rPr>
      </w:pPr>
    </w:p>
    <w:p w:rsidR="0008613C" w:rsidRDefault="0008613C"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r w:rsidRPr="0008613C">
        <w:rPr>
          <w:rFonts w:asciiTheme="minorHAnsi" w:hAnsiTheme="minorHAnsi"/>
          <w:i/>
        </w:rPr>
        <w:t xml:space="preserve">Le riforme del mercato del lavoro degli ultimi anni non sono riuscite a migliorare la drammatica situazione dei giovani europei tra i 15 e i 24 anni: </w:t>
      </w:r>
      <w:r w:rsidR="00860C18" w:rsidRPr="0008613C">
        <w:rPr>
          <w:rFonts w:asciiTheme="minorHAnsi" w:hAnsiTheme="minorHAnsi"/>
          <w:i/>
        </w:rPr>
        <w:t xml:space="preserve">nel 2016 </w:t>
      </w:r>
      <w:r w:rsidRPr="0008613C">
        <w:rPr>
          <w:rFonts w:asciiTheme="minorHAnsi" w:hAnsiTheme="minorHAnsi"/>
          <w:i/>
        </w:rPr>
        <w:t>in Italia la disoccupazione giovanile</w:t>
      </w:r>
      <w:r w:rsidR="00860C18" w:rsidRPr="0008613C">
        <w:rPr>
          <w:rFonts w:asciiTheme="minorHAnsi" w:hAnsiTheme="minorHAnsi"/>
          <w:i/>
        </w:rPr>
        <w:t xml:space="preserve"> (37,8%)</w:t>
      </w:r>
      <w:r w:rsidRPr="0008613C">
        <w:rPr>
          <w:rFonts w:asciiTheme="minorHAnsi" w:hAnsiTheme="minorHAnsi"/>
          <w:i/>
        </w:rPr>
        <w:t xml:space="preserve"> rimane a livelli praticamente doppi rispetto a prima della crisi. Inoltre, il nostro paese si colloca quasi 20 punti percentuali al di sopra della media europea (18,7%). Il dato evidenzia anche la profonda spaccatura </w:t>
      </w:r>
      <w:r w:rsidR="00860C18" w:rsidRPr="0008613C">
        <w:rPr>
          <w:rFonts w:asciiTheme="minorHAnsi" w:hAnsiTheme="minorHAnsi"/>
          <w:i/>
        </w:rPr>
        <w:t>all’interno dell’Unione Europea:</w:t>
      </w:r>
      <w:r w:rsidRPr="0008613C">
        <w:rPr>
          <w:rFonts w:asciiTheme="minorHAnsi" w:hAnsiTheme="minorHAnsi"/>
          <w:i/>
        </w:rPr>
        <w:t xml:space="preserve"> dopo </w:t>
      </w:r>
      <w:r w:rsidR="00DA31D6">
        <w:rPr>
          <w:rFonts w:asciiTheme="minorHAnsi" w:hAnsiTheme="minorHAnsi"/>
          <w:i/>
        </w:rPr>
        <w:t xml:space="preserve">gli anni </w:t>
      </w:r>
      <w:r w:rsidR="004F18CE">
        <w:rPr>
          <w:rFonts w:asciiTheme="minorHAnsi" w:hAnsiTheme="minorHAnsi"/>
          <w:i/>
        </w:rPr>
        <w:t>di</w:t>
      </w:r>
      <w:r w:rsidRPr="0008613C">
        <w:rPr>
          <w:rFonts w:asciiTheme="minorHAnsi" w:hAnsiTheme="minorHAnsi"/>
          <w:i/>
        </w:rPr>
        <w:t xml:space="preserve"> “cura” </w:t>
      </w:r>
      <w:r w:rsidR="004F18CE">
        <w:rPr>
          <w:rFonts w:asciiTheme="minorHAnsi" w:hAnsiTheme="minorHAnsi"/>
          <w:i/>
        </w:rPr>
        <w:t xml:space="preserve">a base di </w:t>
      </w:r>
      <w:r w:rsidRPr="0008613C">
        <w:rPr>
          <w:rFonts w:asciiTheme="minorHAnsi" w:hAnsiTheme="minorHAnsi"/>
          <w:i/>
        </w:rPr>
        <w:t xml:space="preserve">austerity il tasso di disoccupazione </w:t>
      </w:r>
      <w:r w:rsidR="000E7B94">
        <w:rPr>
          <w:rFonts w:asciiTheme="minorHAnsi" w:hAnsiTheme="minorHAnsi"/>
          <w:i/>
        </w:rPr>
        <w:t xml:space="preserve">giovanile </w:t>
      </w:r>
      <w:r w:rsidRPr="0008613C">
        <w:rPr>
          <w:rFonts w:asciiTheme="minorHAnsi" w:hAnsiTheme="minorHAnsi"/>
          <w:i/>
        </w:rPr>
        <w:t>della Grecia</w:t>
      </w:r>
      <w:r w:rsidR="00DA31D6">
        <w:rPr>
          <w:rFonts w:asciiTheme="minorHAnsi" w:hAnsiTheme="minorHAnsi"/>
          <w:i/>
        </w:rPr>
        <w:t xml:space="preserve"> nel 2016</w:t>
      </w:r>
      <w:r w:rsidRPr="0008613C">
        <w:rPr>
          <w:rFonts w:asciiTheme="minorHAnsi" w:hAnsiTheme="minorHAnsi"/>
          <w:i/>
        </w:rPr>
        <w:t xml:space="preserve"> si trova</w:t>
      </w:r>
      <w:r w:rsidR="00860C18" w:rsidRPr="0008613C">
        <w:rPr>
          <w:rFonts w:asciiTheme="minorHAnsi" w:hAnsiTheme="minorHAnsi"/>
          <w:i/>
        </w:rPr>
        <w:t xml:space="preserve"> </w:t>
      </w:r>
      <w:r w:rsidR="0096150F">
        <w:rPr>
          <w:rFonts w:asciiTheme="minorHAnsi" w:hAnsiTheme="minorHAnsi"/>
          <w:i/>
        </w:rPr>
        <w:t xml:space="preserve">ancora </w:t>
      </w:r>
      <w:r w:rsidRPr="0008613C">
        <w:rPr>
          <w:rFonts w:asciiTheme="minorHAnsi" w:hAnsiTheme="minorHAnsi"/>
          <w:i/>
        </w:rPr>
        <w:t>al 47,3%, mentre quello tedesco è al 7,1%.</w:t>
      </w:r>
    </w:p>
    <w:p w:rsidR="0099165E" w:rsidRPr="0008613C" w:rsidRDefault="0099165E"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p>
    <w:p w:rsidR="0099165E" w:rsidRPr="0008613C" w:rsidRDefault="002D2CC1" w:rsidP="0008613C">
      <w:pPr>
        <w:pStyle w:val="Titolo1"/>
      </w:pPr>
      <w:r w:rsidRPr="0008613C">
        <w:t>Lavorare meno, lavorare tutti…</w:t>
      </w:r>
    </w:p>
    <w:p w:rsidR="0008613C" w:rsidRDefault="0008613C" w:rsidP="00BA4778">
      <w:pPr>
        <w:pStyle w:val="grafico"/>
        <w:spacing w:before="0" w:beforeAutospacing="0" w:after="0" w:afterAutospacing="0"/>
        <w:jc w:val="both"/>
        <w:rPr>
          <w:rFonts w:asciiTheme="minorHAnsi" w:hAnsiTheme="minorHAnsi"/>
          <w:i/>
        </w:rPr>
      </w:pPr>
    </w:p>
    <w:p w:rsidR="0008613C" w:rsidRDefault="0008613C" w:rsidP="00BA4778">
      <w:pPr>
        <w:pStyle w:val="grafico"/>
        <w:spacing w:before="0" w:beforeAutospacing="0" w:after="0" w:afterAutospacing="0"/>
        <w:jc w:val="both"/>
        <w:rPr>
          <w:rFonts w:asciiTheme="minorHAnsi" w:hAnsiTheme="minorHAnsi"/>
          <w:i/>
        </w:rPr>
      </w:pPr>
    </w:p>
    <w:p w:rsidR="00BA4778" w:rsidRPr="0008613C" w:rsidRDefault="0099165E" w:rsidP="00BA4778">
      <w:pPr>
        <w:pStyle w:val="grafico"/>
        <w:spacing w:before="0" w:beforeAutospacing="0" w:after="0" w:afterAutospacing="0"/>
        <w:jc w:val="both"/>
        <w:rPr>
          <w:rFonts w:asciiTheme="minorHAnsi" w:hAnsiTheme="minorHAnsi"/>
          <w:i/>
        </w:rPr>
      </w:pPr>
      <w:r w:rsidRPr="0008613C">
        <w:rPr>
          <w:rFonts w:asciiTheme="minorHAnsi" w:hAnsiTheme="minorHAnsi"/>
          <w:i/>
        </w:rPr>
        <w:t xml:space="preserve">Le ore medie lavorate </w:t>
      </w:r>
      <w:r w:rsidR="00BA4778" w:rsidRPr="0008613C">
        <w:rPr>
          <w:rFonts w:asciiTheme="minorHAnsi" w:hAnsiTheme="minorHAnsi"/>
          <w:i/>
        </w:rPr>
        <w:t xml:space="preserve">in un anno </w:t>
      </w:r>
      <w:r w:rsidRPr="0008613C">
        <w:rPr>
          <w:rFonts w:asciiTheme="minorHAnsi" w:hAnsiTheme="minorHAnsi"/>
          <w:i/>
        </w:rPr>
        <w:t>continuano ad atte</w:t>
      </w:r>
      <w:r w:rsidR="009C5B8B" w:rsidRPr="0008613C">
        <w:rPr>
          <w:rFonts w:asciiTheme="minorHAnsi" w:hAnsiTheme="minorHAnsi"/>
          <w:i/>
        </w:rPr>
        <w:t xml:space="preserve">starsi su livelli più </w:t>
      </w:r>
      <w:r w:rsidR="004A392B">
        <w:rPr>
          <w:rFonts w:asciiTheme="minorHAnsi" w:hAnsiTheme="minorHAnsi"/>
          <w:i/>
        </w:rPr>
        <w:t>elevati</w:t>
      </w:r>
      <w:r w:rsidR="009C5B8B" w:rsidRPr="0008613C">
        <w:rPr>
          <w:rFonts w:asciiTheme="minorHAnsi" w:hAnsiTheme="minorHAnsi"/>
          <w:i/>
        </w:rPr>
        <w:t xml:space="preserve"> nei p</w:t>
      </w:r>
      <w:r w:rsidRPr="0008613C">
        <w:rPr>
          <w:rFonts w:asciiTheme="minorHAnsi" w:hAnsiTheme="minorHAnsi"/>
          <w:i/>
        </w:rPr>
        <w:t xml:space="preserve">aesi </w:t>
      </w:r>
      <w:r w:rsidR="00BA4778" w:rsidRPr="0008613C">
        <w:rPr>
          <w:rFonts w:asciiTheme="minorHAnsi" w:hAnsiTheme="minorHAnsi"/>
          <w:i/>
        </w:rPr>
        <w:t xml:space="preserve">europei </w:t>
      </w:r>
      <w:r w:rsidRPr="0008613C">
        <w:rPr>
          <w:rFonts w:asciiTheme="minorHAnsi" w:hAnsiTheme="minorHAnsi"/>
          <w:i/>
        </w:rPr>
        <w:t>che hanno maggiormente risentito</w:t>
      </w:r>
      <w:r w:rsidR="00BA4778" w:rsidRPr="0008613C">
        <w:rPr>
          <w:rFonts w:asciiTheme="minorHAnsi" w:hAnsiTheme="minorHAnsi"/>
          <w:i/>
        </w:rPr>
        <w:t xml:space="preserve"> degli effetti negativi della crisi</w:t>
      </w:r>
      <w:r w:rsidRPr="0008613C">
        <w:rPr>
          <w:rFonts w:asciiTheme="minorHAnsi" w:hAnsiTheme="minorHAnsi"/>
          <w:i/>
        </w:rPr>
        <w:t xml:space="preserve">. Questi </w:t>
      </w:r>
      <w:r w:rsidR="00BA4778" w:rsidRPr="0008613C">
        <w:rPr>
          <w:rFonts w:asciiTheme="minorHAnsi" w:hAnsiTheme="minorHAnsi"/>
          <w:i/>
        </w:rPr>
        <w:t>p</w:t>
      </w:r>
      <w:r w:rsidRPr="0008613C">
        <w:rPr>
          <w:rFonts w:asciiTheme="minorHAnsi" w:hAnsiTheme="minorHAnsi"/>
          <w:i/>
        </w:rPr>
        <w:t>aesi</w:t>
      </w:r>
      <w:r w:rsidR="00BA4778" w:rsidRPr="0008613C">
        <w:rPr>
          <w:rFonts w:asciiTheme="minorHAnsi" w:hAnsiTheme="minorHAnsi"/>
          <w:i/>
        </w:rPr>
        <w:t xml:space="preserve"> “periferici” </w:t>
      </w:r>
      <w:r w:rsidRPr="0008613C">
        <w:rPr>
          <w:rFonts w:asciiTheme="minorHAnsi" w:hAnsiTheme="minorHAnsi"/>
          <w:i/>
        </w:rPr>
        <w:t xml:space="preserve">continuano </w:t>
      </w:r>
      <w:r w:rsidR="00BA4778" w:rsidRPr="0008613C">
        <w:rPr>
          <w:rFonts w:asciiTheme="minorHAnsi" w:hAnsiTheme="minorHAnsi"/>
          <w:i/>
        </w:rPr>
        <w:lastRenderedPageBreak/>
        <w:t xml:space="preserve">infatti </w:t>
      </w:r>
      <w:r w:rsidRPr="0008613C">
        <w:rPr>
          <w:rFonts w:asciiTheme="minorHAnsi" w:hAnsiTheme="minorHAnsi"/>
          <w:i/>
        </w:rPr>
        <w:t xml:space="preserve">a </w:t>
      </w:r>
      <w:r w:rsidR="00BA4778" w:rsidRPr="0008613C">
        <w:rPr>
          <w:rFonts w:asciiTheme="minorHAnsi" w:hAnsiTheme="minorHAnsi"/>
          <w:i/>
        </w:rPr>
        <w:t xml:space="preserve">far </w:t>
      </w:r>
      <w:r w:rsidRPr="0008613C">
        <w:rPr>
          <w:rFonts w:asciiTheme="minorHAnsi" w:hAnsiTheme="minorHAnsi"/>
          <w:i/>
        </w:rPr>
        <w:t xml:space="preserve">registrare numeri </w:t>
      </w:r>
      <w:r w:rsidR="00BA4778" w:rsidRPr="0008613C">
        <w:rPr>
          <w:rFonts w:asciiTheme="minorHAnsi" w:hAnsiTheme="minorHAnsi"/>
          <w:i/>
        </w:rPr>
        <w:t>decisamente più alti rispetto</w:t>
      </w:r>
      <w:r w:rsidRPr="0008613C">
        <w:rPr>
          <w:rFonts w:asciiTheme="minorHAnsi" w:hAnsiTheme="minorHAnsi"/>
          <w:i/>
        </w:rPr>
        <w:t xml:space="preserve"> a quelli </w:t>
      </w:r>
      <w:r w:rsidR="00BA4778" w:rsidRPr="0008613C">
        <w:rPr>
          <w:rFonts w:asciiTheme="minorHAnsi" w:hAnsiTheme="minorHAnsi"/>
          <w:i/>
        </w:rPr>
        <w:t>di altri Stati</w:t>
      </w:r>
      <w:r w:rsidRPr="0008613C">
        <w:rPr>
          <w:rFonts w:asciiTheme="minorHAnsi" w:hAnsiTheme="minorHAnsi"/>
          <w:i/>
        </w:rPr>
        <w:t xml:space="preserve"> del “cent</w:t>
      </w:r>
      <w:r w:rsidR="00BA4778" w:rsidRPr="0008613C">
        <w:rPr>
          <w:rFonts w:asciiTheme="minorHAnsi" w:hAnsiTheme="minorHAnsi"/>
          <w:i/>
        </w:rPr>
        <w:t xml:space="preserve">ro”. In Italia, ad esempio, si lavorano in media 1.730 ore, contro le 1.472 della Francia e le 1.418 della Germania (dati 2016). Alla luce di questo </w:t>
      </w:r>
      <w:r w:rsidR="00B52C13">
        <w:rPr>
          <w:rFonts w:asciiTheme="minorHAnsi" w:hAnsiTheme="minorHAnsi"/>
          <w:i/>
        </w:rPr>
        <w:t>dato</w:t>
      </w:r>
      <w:r w:rsidR="00385465">
        <w:rPr>
          <w:rFonts w:asciiTheme="minorHAnsi" w:hAnsiTheme="minorHAnsi"/>
          <w:i/>
        </w:rPr>
        <w:t xml:space="preserve"> –</w:t>
      </w:r>
      <w:r w:rsidR="00BA4778" w:rsidRPr="0008613C">
        <w:rPr>
          <w:rFonts w:asciiTheme="minorHAnsi" w:hAnsiTheme="minorHAnsi"/>
          <w:i/>
        </w:rPr>
        <w:t xml:space="preserve"> soprattutto se lo si accompagna con quello sulla disoccupazione – l’opzione del “lavorare meno, lavorare tutti” sembra quanto mai auspicabile e attuale</w:t>
      </w:r>
      <w:r w:rsidR="00385465">
        <w:rPr>
          <w:rFonts w:asciiTheme="minorHAnsi" w:hAnsiTheme="minorHAnsi"/>
          <w:i/>
        </w:rPr>
        <w:t>…</w:t>
      </w:r>
    </w:p>
    <w:p w:rsidR="00BA4778" w:rsidRPr="0008613C" w:rsidRDefault="00BA4778" w:rsidP="0099165E">
      <w:pPr>
        <w:pStyle w:val="grafico"/>
        <w:spacing w:before="0" w:beforeAutospacing="0" w:after="0" w:afterAutospacing="0"/>
        <w:jc w:val="both"/>
        <w:rPr>
          <w:rFonts w:asciiTheme="minorHAnsi" w:hAnsiTheme="minorHAnsi"/>
          <w:i/>
        </w:rPr>
      </w:pPr>
    </w:p>
    <w:p w:rsidR="00BA4778" w:rsidRPr="0008613C" w:rsidRDefault="00BA4778" w:rsidP="0099165E">
      <w:pPr>
        <w:pStyle w:val="grafico"/>
        <w:spacing w:before="0" w:beforeAutospacing="0" w:after="0" w:afterAutospacing="0"/>
        <w:jc w:val="both"/>
        <w:rPr>
          <w:rFonts w:asciiTheme="minorHAnsi" w:hAnsiTheme="minorHAnsi"/>
          <w:i/>
        </w:rPr>
      </w:pPr>
    </w:p>
    <w:p w:rsidR="00BA4778" w:rsidRPr="00785F01" w:rsidRDefault="00BA4778" w:rsidP="00785F01">
      <w:pPr>
        <w:pStyle w:val="Titolo1"/>
      </w:pPr>
      <w:r w:rsidRPr="00785F01">
        <w:t>…</w:t>
      </w:r>
      <w:r w:rsidR="002D2CC1" w:rsidRPr="00785F01">
        <w:t>e guadagnare di più</w:t>
      </w:r>
    </w:p>
    <w:p w:rsidR="00785F01" w:rsidRDefault="00785F01" w:rsidP="00BB486D">
      <w:pPr>
        <w:pStyle w:val="grafico"/>
        <w:spacing w:before="0" w:beforeAutospacing="0" w:after="0" w:afterAutospacing="0"/>
        <w:jc w:val="both"/>
        <w:rPr>
          <w:rFonts w:asciiTheme="minorHAnsi" w:hAnsiTheme="minorHAnsi"/>
          <w:i/>
        </w:rPr>
      </w:pPr>
    </w:p>
    <w:p w:rsidR="00785F01" w:rsidRDefault="00785F01" w:rsidP="00BB486D">
      <w:pPr>
        <w:pStyle w:val="grafico"/>
        <w:spacing w:before="0" w:beforeAutospacing="0" w:after="0" w:afterAutospacing="0"/>
        <w:jc w:val="both"/>
        <w:rPr>
          <w:rFonts w:asciiTheme="minorHAnsi" w:hAnsiTheme="minorHAnsi"/>
          <w:i/>
        </w:rPr>
      </w:pPr>
    </w:p>
    <w:p w:rsidR="00B24E37" w:rsidRPr="0008613C" w:rsidRDefault="00B24E37" w:rsidP="00BB486D">
      <w:pPr>
        <w:pStyle w:val="grafico"/>
        <w:spacing w:before="0" w:beforeAutospacing="0" w:after="0" w:afterAutospacing="0"/>
        <w:jc w:val="both"/>
        <w:rPr>
          <w:rFonts w:asciiTheme="minorHAnsi" w:hAnsiTheme="minorHAnsi"/>
          <w:i/>
        </w:rPr>
      </w:pPr>
      <w:r w:rsidRPr="0008613C">
        <w:rPr>
          <w:rFonts w:asciiTheme="minorHAnsi" w:hAnsiTheme="minorHAnsi"/>
          <w:i/>
        </w:rPr>
        <w:t>La</w:t>
      </w:r>
      <w:r w:rsidR="00BB486D" w:rsidRPr="0008613C">
        <w:rPr>
          <w:rFonts w:asciiTheme="minorHAnsi" w:hAnsiTheme="minorHAnsi"/>
          <w:i/>
        </w:rPr>
        <w:t xml:space="preserve"> </w:t>
      </w:r>
      <w:r w:rsidRPr="0008613C">
        <w:rPr>
          <w:rFonts w:asciiTheme="minorHAnsi" w:hAnsiTheme="minorHAnsi"/>
          <w:i/>
        </w:rPr>
        <w:t>crisi</w:t>
      </w:r>
      <w:r w:rsidR="00BB486D" w:rsidRPr="0008613C">
        <w:rPr>
          <w:rFonts w:asciiTheme="minorHAnsi" w:hAnsiTheme="minorHAnsi"/>
          <w:i/>
        </w:rPr>
        <w:t xml:space="preserve"> economica</w:t>
      </w:r>
      <w:r w:rsidR="00100D31" w:rsidRPr="0008613C">
        <w:rPr>
          <w:rFonts w:asciiTheme="minorHAnsi" w:hAnsiTheme="minorHAnsi"/>
          <w:i/>
        </w:rPr>
        <w:t xml:space="preserve"> che segna il paese da dieci anni </w:t>
      </w:r>
      <w:r w:rsidRPr="0008613C">
        <w:rPr>
          <w:rFonts w:asciiTheme="minorHAnsi" w:hAnsiTheme="minorHAnsi"/>
          <w:i/>
        </w:rPr>
        <w:t xml:space="preserve">ha un impatto negativo sul mercato del lavoro non solo </w:t>
      </w:r>
      <w:r w:rsidR="00100D31" w:rsidRPr="0008613C">
        <w:rPr>
          <w:rFonts w:asciiTheme="minorHAnsi" w:hAnsiTheme="minorHAnsi"/>
          <w:i/>
        </w:rPr>
        <w:t>in termini di aumento del</w:t>
      </w:r>
      <w:r w:rsidRPr="0008613C">
        <w:rPr>
          <w:rFonts w:asciiTheme="minorHAnsi" w:hAnsiTheme="minorHAnsi"/>
          <w:i/>
        </w:rPr>
        <w:t xml:space="preserve">la disoccupazione, ma anche </w:t>
      </w:r>
      <w:r w:rsidR="00B81642" w:rsidRPr="0008613C">
        <w:rPr>
          <w:rFonts w:asciiTheme="minorHAnsi" w:hAnsiTheme="minorHAnsi"/>
          <w:i/>
        </w:rPr>
        <w:t>di diminuzione dei salari</w:t>
      </w:r>
      <w:r w:rsidR="00100D31" w:rsidRPr="0008613C">
        <w:rPr>
          <w:rFonts w:asciiTheme="minorHAnsi" w:hAnsiTheme="minorHAnsi"/>
          <w:i/>
        </w:rPr>
        <w:t>.</w:t>
      </w:r>
      <w:r w:rsidR="00B81642" w:rsidRPr="0008613C">
        <w:rPr>
          <w:rFonts w:asciiTheme="minorHAnsi" w:hAnsiTheme="minorHAnsi"/>
          <w:i/>
        </w:rPr>
        <w:t xml:space="preserve"> In Italia avviene il contrario di ciò che accade in</w:t>
      </w:r>
      <w:r w:rsidR="00940F8E" w:rsidRPr="0008613C">
        <w:rPr>
          <w:rFonts w:asciiTheme="minorHAnsi" w:hAnsiTheme="minorHAnsi"/>
          <w:i/>
        </w:rPr>
        <w:t xml:space="preserve"> molti </w:t>
      </w:r>
      <w:r w:rsidR="00B81642" w:rsidRPr="0008613C">
        <w:rPr>
          <w:rFonts w:asciiTheme="minorHAnsi" w:hAnsiTheme="minorHAnsi"/>
          <w:i/>
        </w:rPr>
        <w:t xml:space="preserve">altri </w:t>
      </w:r>
      <w:r w:rsidR="00940F8E" w:rsidRPr="0008613C">
        <w:rPr>
          <w:rFonts w:asciiTheme="minorHAnsi" w:hAnsiTheme="minorHAnsi"/>
          <w:i/>
        </w:rPr>
        <w:t>paesi</w:t>
      </w:r>
      <w:r w:rsidRPr="0008613C">
        <w:rPr>
          <w:rFonts w:asciiTheme="minorHAnsi" w:hAnsiTheme="minorHAnsi"/>
          <w:i/>
        </w:rPr>
        <w:t xml:space="preserve"> </w:t>
      </w:r>
      <w:r w:rsidR="00940F8E" w:rsidRPr="0008613C">
        <w:rPr>
          <w:rFonts w:asciiTheme="minorHAnsi" w:hAnsiTheme="minorHAnsi"/>
          <w:i/>
        </w:rPr>
        <w:t>europei (</w:t>
      </w:r>
      <w:r w:rsidR="00070053" w:rsidRPr="0008613C">
        <w:rPr>
          <w:rFonts w:asciiTheme="minorHAnsi" w:hAnsiTheme="minorHAnsi"/>
          <w:i/>
        </w:rPr>
        <w:t>a partire da</w:t>
      </w:r>
      <w:r w:rsidRPr="0008613C">
        <w:rPr>
          <w:rFonts w:asciiTheme="minorHAnsi" w:hAnsiTheme="minorHAnsi"/>
          <w:i/>
        </w:rPr>
        <w:t xml:space="preserve"> Francia, Germania, Irlanda e Spagna</w:t>
      </w:r>
      <w:r w:rsidR="00940F8E" w:rsidRPr="0008613C">
        <w:rPr>
          <w:rFonts w:asciiTheme="minorHAnsi" w:hAnsiTheme="minorHAnsi"/>
          <w:i/>
        </w:rPr>
        <w:t xml:space="preserve">) </w:t>
      </w:r>
      <w:r w:rsidR="00070053" w:rsidRPr="0008613C">
        <w:rPr>
          <w:rFonts w:asciiTheme="minorHAnsi" w:hAnsiTheme="minorHAnsi"/>
          <w:i/>
        </w:rPr>
        <w:t>in cui si assiste a un</w:t>
      </w:r>
      <w:r w:rsidR="00B52C13">
        <w:rPr>
          <w:rFonts w:asciiTheme="minorHAnsi" w:hAnsiTheme="minorHAnsi"/>
          <w:i/>
        </w:rPr>
        <w:t xml:space="preserve">a crescita </w:t>
      </w:r>
      <w:r w:rsidRPr="0008613C">
        <w:rPr>
          <w:rFonts w:asciiTheme="minorHAnsi" w:hAnsiTheme="minorHAnsi"/>
          <w:i/>
        </w:rPr>
        <w:t xml:space="preserve">– </w:t>
      </w:r>
      <w:r w:rsidR="00070053" w:rsidRPr="0008613C">
        <w:rPr>
          <w:rFonts w:asciiTheme="minorHAnsi" w:hAnsiTheme="minorHAnsi"/>
          <w:i/>
        </w:rPr>
        <w:t xml:space="preserve">molto consistente </w:t>
      </w:r>
      <w:r w:rsidRPr="0008613C">
        <w:rPr>
          <w:rFonts w:asciiTheme="minorHAnsi" w:hAnsiTheme="minorHAnsi"/>
          <w:i/>
        </w:rPr>
        <w:t>in Germania e Francia</w:t>
      </w:r>
      <w:r w:rsidR="00070053" w:rsidRPr="0008613C">
        <w:rPr>
          <w:rFonts w:asciiTheme="minorHAnsi" w:hAnsiTheme="minorHAnsi"/>
          <w:i/>
        </w:rPr>
        <w:t xml:space="preserve"> </w:t>
      </w:r>
      <w:r w:rsidRPr="0008613C">
        <w:rPr>
          <w:rFonts w:asciiTheme="minorHAnsi" w:hAnsiTheme="minorHAnsi"/>
          <w:i/>
        </w:rPr>
        <w:t>– dei salari medi</w:t>
      </w:r>
      <w:r w:rsidR="00940F8E" w:rsidRPr="0008613C">
        <w:rPr>
          <w:rFonts w:asciiTheme="minorHAnsi" w:hAnsiTheme="minorHAnsi"/>
          <w:i/>
        </w:rPr>
        <w:t xml:space="preserve"> annui</w:t>
      </w:r>
      <w:r w:rsidRPr="0008613C">
        <w:rPr>
          <w:rFonts w:asciiTheme="minorHAnsi" w:hAnsiTheme="minorHAnsi"/>
          <w:i/>
        </w:rPr>
        <w:t>. Tutto ciò chiama in causa la scelleratez</w:t>
      </w:r>
      <w:r w:rsidR="00070053" w:rsidRPr="0008613C">
        <w:rPr>
          <w:rFonts w:asciiTheme="minorHAnsi" w:hAnsiTheme="minorHAnsi"/>
          <w:i/>
        </w:rPr>
        <w:t>za delle politiche comunitarie</w:t>
      </w:r>
      <w:r w:rsidR="00F073D5">
        <w:rPr>
          <w:rFonts w:asciiTheme="minorHAnsi" w:hAnsiTheme="minorHAnsi"/>
          <w:i/>
        </w:rPr>
        <w:t xml:space="preserve"> e nazionali sull’occupazione</w:t>
      </w:r>
      <w:r w:rsidRPr="0008613C">
        <w:rPr>
          <w:rFonts w:asciiTheme="minorHAnsi" w:hAnsiTheme="minorHAnsi"/>
          <w:i/>
        </w:rPr>
        <w:t>:</w:t>
      </w:r>
      <w:r w:rsidR="00B81642" w:rsidRPr="0008613C">
        <w:rPr>
          <w:rFonts w:asciiTheme="minorHAnsi" w:hAnsiTheme="minorHAnsi"/>
          <w:i/>
        </w:rPr>
        <w:t xml:space="preserve"> </w:t>
      </w:r>
      <w:r w:rsidR="00070053" w:rsidRPr="0008613C">
        <w:rPr>
          <w:rFonts w:asciiTheme="minorHAnsi" w:hAnsiTheme="minorHAnsi"/>
          <w:i/>
        </w:rPr>
        <w:t>misure</w:t>
      </w:r>
      <w:r w:rsidRPr="0008613C">
        <w:rPr>
          <w:rFonts w:asciiTheme="minorHAnsi" w:hAnsiTheme="minorHAnsi"/>
          <w:i/>
        </w:rPr>
        <w:t xml:space="preserve"> </w:t>
      </w:r>
      <w:r w:rsidR="00B81642" w:rsidRPr="0008613C">
        <w:rPr>
          <w:rFonts w:asciiTheme="minorHAnsi" w:hAnsiTheme="minorHAnsi"/>
          <w:i/>
        </w:rPr>
        <w:t>tutte</w:t>
      </w:r>
      <w:r w:rsidRPr="0008613C">
        <w:rPr>
          <w:rFonts w:asciiTheme="minorHAnsi" w:hAnsiTheme="minorHAnsi"/>
          <w:i/>
        </w:rPr>
        <w:t xml:space="preserve"> </w:t>
      </w:r>
      <w:r w:rsidR="00940F8E" w:rsidRPr="0008613C">
        <w:rPr>
          <w:rFonts w:asciiTheme="minorHAnsi" w:hAnsiTheme="minorHAnsi"/>
          <w:i/>
        </w:rPr>
        <w:t xml:space="preserve">centrate sulla </w:t>
      </w:r>
      <w:r w:rsidR="00160B79">
        <w:rPr>
          <w:rFonts w:asciiTheme="minorHAnsi" w:hAnsiTheme="minorHAnsi"/>
          <w:i/>
        </w:rPr>
        <w:t xml:space="preserve">moderazione salariale, inseguendo </w:t>
      </w:r>
      <w:r w:rsidR="006D3624" w:rsidRPr="0008613C">
        <w:rPr>
          <w:rFonts w:asciiTheme="minorHAnsi" w:hAnsiTheme="minorHAnsi"/>
          <w:i/>
        </w:rPr>
        <w:t>l’abbaglio</w:t>
      </w:r>
      <w:r w:rsidR="00070053" w:rsidRPr="0008613C">
        <w:rPr>
          <w:rFonts w:asciiTheme="minorHAnsi" w:hAnsiTheme="minorHAnsi"/>
          <w:i/>
        </w:rPr>
        <w:t xml:space="preserve"> di</w:t>
      </w:r>
      <w:r w:rsidRPr="0008613C">
        <w:rPr>
          <w:rFonts w:asciiTheme="minorHAnsi" w:hAnsiTheme="minorHAnsi"/>
          <w:i/>
        </w:rPr>
        <w:t xml:space="preserve"> </w:t>
      </w:r>
      <w:r w:rsidR="00070053" w:rsidRPr="0008613C">
        <w:rPr>
          <w:rFonts w:asciiTheme="minorHAnsi" w:hAnsiTheme="minorHAnsi"/>
          <w:i/>
        </w:rPr>
        <w:t>promuovere</w:t>
      </w:r>
      <w:r w:rsidR="00160B79">
        <w:rPr>
          <w:rFonts w:asciiTheme="minorHAnsi" w:hAnsiTheme="minorHAnsi"/>
          <w:i/>
        </w:rPr>
        <w:t xml:space="preserve"> così</w:t>
      </w:r>
      <w:r w:rsidRPr="0008613C">
        <w:rPr>
          <w:rFonts w:asciiTheme="minorHAnsi" w:hAnsiTheme="minorHAnsi"/>
          <w:i/>
        </w:rPr>
        <w:t xml:space="preserve"> la competitività e compensare il gap di produttività.</w:t>
      </w:r>
    </w:p>
    <w:p w:rsidR="00B24E37" w:rsidRPr="0008613C" w:rsidRDefault="00B24E37" w:rsidP="00B24E37">
      <w:pPr>
        <w:pStyle w:val="grafico"/>
        <w:spacing w:before="0" w:beforeAutospacing="0" w:after="0" w:afterAutospacing="0"/>
        <w:rPr>
          <w:rFonts w:asciiTheme="minorHAnsi" w:hAnsiTheme="minorHAnsi"/>
          <w:i/>
        </w:rPr>
      </w:pPr>
    </w:p>
    <w:p w:rsidR="00B24E37" w:rsidRPr="0008613C" w:rsidRDefault="00B24E37" w:rsidP="00B24E37">
      <w:pPr>
        <w:pStyle w:val="grafico"/>
        <w:spacing w:before="0" w:beforeAutospacing="0" w:after="0" w:afterAutospacing="0"/>
        <w:jc w:val="both"/>
        <w:rPr>
          <w:rFonts w:asciiTheme="minorHAnsi" w:hAnsiTheme="minorHAnsi"/>
          <w:i/>
        </w:rPr>
      </w:pPr>
    </w:p>
    <w:p w:rsidR="00303CCE" w:rsidRPr="0008613C" w:rsidRDefault="00303CCE" w:rsidP="00785F01">
      <w:pPr>
        <w:pStyle w:val="Titolo1"/>
      </w:pPr>
      <w:r w:rsidRPr="0008613C">
        <w:t xml:space="preserve">Per </w:t>
      </w:r>
      <w:r w:rsidR="009B449F" w:rsidRPr="0008613C">
        <w:t>diventare precari</w:t>
      </w:r>
      <w:r w:rsidRPr="0008613C">
        <w:t xml:space="preserve"> non è mai troppo</w:t>
      </w:r>
      <w:r w:rsidR="009B449F" w:rsidRPr="0008613C">
        <w:t>…</w:t>
      </w:r>
      <w:r w:rsidRPr="0008613C">
        <w:t xml:space="preserve"> </w:t>
      </w:r>
      <w:proofErr w:type="spellStart"/>
      <w:r w:rsidRPr="0008613C">
        <w:t>PrestO</w:t>
      </w:r>
      <w:proofErr w:type="spellEnd"/>
    </w:p>
    <w:p w:rsidR="00785F01" w:rsidRDefault="00785F01" w:rsidP="0099165E">
      <w:pPr>
        <w:pStyle w:val="grafico"/>
        <w:spacing w:before="0" w:beforeAutospacing="0" w:after="0" w:afterAutospacing="0"/>
        <w:jc w:val="both"/>
        <w:rPr>
          <w:rFonts w:asciiTheme="minorHAnsi" w:hAnsiTheme="minorHAnsi"/>
          <w:i/>
        </w:rPr>
      </w:pPr>
    </w:p>
    <w:p w:rsidR="00785F01" w:rsidRDefault="00785F01"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r w:rsidRPr="0008613C">
        <w:rPr>
          <w:rFonts w:asciiTheme="minorHAnsi" w:hAnsiTheme="minorHAnsi"/>
          <w:i/>
        </w:rPr>
        <w:t xml:space="preserve">Tra il 2008 e il 2016 </w:t>
      </w:r>
      <w:r w:rsidR="000E7B94">
        <w:rPr>
          <w:rFonts w:asciiTheme="minorHAnsi" w:hAnsiTheme="minorHAnsi"/>
          <w:i/>
        </w:rPr>
        <w:t>è cresciuto</w:t>
      </w:r>
      <w:r w:rsidR="00D06362" w:rsidRPr="0008613C">
        <w:rPr>
          <w:rFonts w:asciiTheme="minorHAnsi" w:hAnsiTheme="minorHAnsi"/>
          <w:i/>
        </w:rPr>
        <w:t xml:space="preserve"> esponenzialmente </w:t>
      </w:r>
      <w:r w:rsidRPr="0008613C">
        <w:rPr>
          <w:rFonts w:asciiTheme="minorHAnsi" w:hAnsiTheme="minorHAnsi"/>
          <w:i/>
        </w:rPr>
        <w:t xml:space="preserve">l’utilizzo dei voucher nel mercato del lavoro italiano. </w:t>
      </w:r>
      <w:r w:rsidR="005D6B94">
        <w:rPr>
          <w:rFonts w:asciiTheme="minorHAnsi" w:hAnsiTheme="minorHAnsi"/>
          <w:i/>
        </w:rPr>
        <w:t>Soltanto n</w:t>
      </w:r>
      <w:r w:rsidR="00B53A38" w:rsidRPr="0008613C">
        <w:rPr>
          <w:rFonts w:asciiTheme="minorHAnsi" w:hAnsiTheme="minorHAnsi"/>
          <w:i/>
        </w:rPr>
        <w:t xml:space="preserve">el 2016 ne </w:t>
      </w:r>
      <w:r w:rsidRPr="0008613C">
        <w:rPr>
          <w:rFonts w:asciiTheme="minorHAnsi" w:hAnsiTheme="minorHAnsi"/>
          <w:i/>
        </w:rPr>
        <w:t xml:space="preserve">sono stati venduti oltre 133 milioni, il 24% in più rispetto al 2015. </w:t>
      </w:r>
      <w:r w:rsidR="00B53A38" w:rsidRPr="0008613C">
        <w:rPr>
          <w:rFonts w:asciiTheme="minorHAnsi" w:hAnsiTheme="minorHAnsi"/>
          <w:i/>
        </w:rPr>
        <w:t>I</w:t>
      </w:r>
      <w:r w:rsidRPr="0008613C">
        <w:rPr>
          <w:rFonts w:asciiTheme="minorHAnsi" w:hAnsiTheme="minorHAnsi"/>
          <w:i/>
        </w:rPr>
        <w:t xml:space="preserve"> voucher hanno cominciato a diffondersi in</w:t>
      </w:r>
      <w:r w:rsidR="00B53A38" w:rsidRPr="0008613C">
        <w:rPr>
          <w:rFonts w:asciiTheme="minorHAnsi" w:hAnsiTheme="minorHAnsi"/>
          <w:i/>
        </w:rPr>
        <w:t xml:space="preserve"> modo significativo in settori</w:t>
      </w:r>
      <w:r w:rsidRPr="0008613C">
        <w:rPr>
          <w:rFonts w:asciiTheme="minorHAnsi" w:hAnsiTheme="minorHAnsi"/>
          <w:i/>
        </w:rPr>
        <w:t xml:space="preserve"> quali turismo, ristorazione e vendita al dettaglio</w:t>
      </w:r>
      <w:r w:rsidR="00B53A38" w:rsidRPr="0008613C">
        <w:rPr>
          <w:rFonts w:asciiTheme="minorHAnsi" w:hAnsiTheme="minorHAnsi"/>
          <w:i/>
        </w:rPr>
        <w:t>, configurando</w:t>
      </w:r>
      <w:r w:rsidRPr="0008613C">
        <w:rPr>
          <w:rFonts w:asciiTheme="minorHAnsi" w:hAnsiTheme="minorHAnsi"/>
          <w:i/>
        </w:rPr>
        <w:t xml:space="preserve"> </w:t>
      </w:r>
      <w:r w:rsidR="00D06362" w:rsidRPr="0008613C">
        <w:rPr>
          <w:rFonts w:asciiTheme="minorHAnsi" w:hAnsiTheme="minorHAnsi"/>
          <w:i/>
        </w:rPr>
        <w:t>nuove forme</w:t>
      </w:r>
      <w:r w:rsidRPr="0008613C">
        <w:rPr>
          <w:rFonts w:asciiTheme="minorHAnsi" w:hAnsiTheme="minorHAnsi"/>
          <w:i/>
        </w:rPr>
        <w:t xml:space="preserve"> di precariato e allontanandosi dalla loro natura originaria di strumento di nicchia utile all’emersione del lavoro nero</w:t>
      </w:r>
      <w:r w:rsidR="00B86D34" w:rsidRPr="0008613C">
        <w:rPr>
          <w:rFonts w:asciiTheme="minorHAnsi" w:hAnsiTheme="minorHAnsi"/>
          <w:i/>
        </w:rPr>
        <w:t xml:space="preserve">. </w:t>
      </w:r>
      <w:r w:rsidR="0067232C" w:rsidRPr="0008613C">
        <w:rPr>
          <w:rFonts w:asciiTheme="minorHAnsi" w:hAnsiTheme="minorHAnsi"/>
          <w:i/>
        </w:rPr>
        <w:t xml:space="preserve">Con la </w:t>
      </w:r>
      <w:r w:rsidR="001215ED" w:rsidRPr="0008613C">
        <w:rPr>
          <w:rFonts w:asciiTheme="minorHAnsi" w:hAnsiTheme="minorHAnsi"/>
          <w:i/>
        </w:rPr>
        <w:t>“manovrina</w:t>
      </w:r>
      <w:r w:rsidR="0067232C" w:rsidRPr="0008613C">
        <w:rPr>
          <w:rFonts w:asciiTheme="minorHAnsi" w:hAnsiTheme="minorHAnsi"/>
          <w:i/>
        </w:rPr>
        <w:t>” da 3,4 miliardi di euro di giugno 2017, contestualmente al</w:t>
      </w:r>
      <w:r w:rsidRPr="0008613C">
        <w:rPr>
          <w:rFonts w:asciiTheme="minorHAnsi" w:hAnsiTheme="minorHAnsi"/>
          <w:i/>
        </w:rPr>
        <w:t xml:space="preserve">l’abolizione dei vecchi voucher </w:t>
      </w:r>
      <w:r w:rsidR="0067232C" w:rsidRPr="0008613C">
        <w:rPr>
          <w:rFonts w:asciiTheme="minorHAnsi" w:hAnsiTheme="minorHAnsi"/>
          <w:i/>
        </w:rPr>
        <w:t>per scongiurare i</w:t>
      </w:r>
      <w:r w:rsidRPr="0008613C">
        <w:rPr>
          <w:rFonts w:asciiTheme="minorHAnsi" w:hAnsiTheme="minorHAnsi"/>
          <w:i/>
        </w:rPr>
        <w:t xml:space="preserve">l referendum promosso dalla </w:t>
      </w:r>
      <w:r w:rsidR="0067232C" w:rsidRPr="0008613C">
        <w:rPr>
          <w:rFonts w:asciiTheme="minorHAnsi" w:hAnsiTheme="minorHAnsi"/>
          <w:i/>
        </w:rPr>
        <w:t>Cgil</w:t>
      </w:r>
      <w:r w:rsidRPr="0008613C">
        <w:rPr>
          <w:rFonts w:asciiTheme="minorHAnsi" w:hAnsiTheme="minorHAnsi"/>
          <w:i/>
        </w:rPr>
        <w:t xml:space="preserve">, </w:t>
      </w:r>
      <w:r w:rsidR="001215ED" w:rsidRPr="0008613C">
        <w:rPr>
          <w:rFonts w:asciiTheme="minorHAnsi" w:hAnsiTheme="minorHAnsi"/>
          <w:i/>
        </w:rPr>
        <w:t xml:space="preserve">i voucher </w:t>
      </w:r>
      <w:r w:rsidR="006A0839">
        <w:rPr>
          <w:rFonts w:asciiTheme="minorHAnsi" w:hAnsiTheme="minorHAnsi"/>
          <w:i/>
        </w:rPr>
        <w:t xml:space="preserve">sono stati reintrodotti </w:t>
      </w:r>
      <w:r w:rsidR="002D2F0F">
        <w:rPr>
          <w:rFonts w:asciiTheme="minorHAnsi" w:hAnsiTheme="minorHAnsi"/>
          <w:i/>
        </w:rPr>
        <w:t>(</w:t>
      </w:r>
      <w:r w:rsidRPr="0008613C">
        <w:rPr>
          <w:rFonts w:asciiTheme="minorHAnsi" w:hAnsiTheme="minorHAnsi"/>
          <w:i/>
        </w:rPr>
        <w:t xml:space="preserve">con il nome </w:t>
      </w:r>
      <w:r w:rsidR="00D06362" w:rsidRPr="0008613C">
        <w:rPr>
          <w:rFonts w:asciiTheme="minorHAnsi" w:hAnsiTheme="minorHAnsi"/>
          <w:i/>
        </w:rPr>
        <w:t xml:space="preserve">di </w:t>
      </w:r>
      <w:r w:rsidR="001215ED" w:rsidRPr="0008613C">
        <w:rPr>
          <w:rFonts w:asciiTheme="minorHAnsi" w:hAnsiTheme="minorHAnsi"/>
          <w:i/>
        </w:rPr>
        <w:t>“</w:t>
      </w:r>
      <w:proofErr w:type="spellStart"/>
      <w:r w:rsidRPr="0008613C">
        <w:rPr>
          <w:rFonts w:asciiTheme="minorHAnsi" w:hAnsiTheme="minorHAnsi"/>
          <w:i/>
        </w:rPr>
        <w:t>PrestO</w:t>
      </w:r>
      <w:proofErr w:type="spellEnd"/>
      <w:r w:rsidR="001215ED" w:rsidRPr="0008613C">
        <w:rPr>
          <w:rFonts w:asciiTheme="minorHAnsi" w:hAnsiTheme="minorHAnsi"/>
          <w:i/>
        </w:rPr>
        <w:t>”</w:t>
      </w:r>
      <w:r w:rsidR="002D2F0F">
        <w:rPr>
          <w:rFonts w:asciiTheme="minorHAnsi" w:hAnsiTheme="minorHAnsi"/>
          <w:i/>
        </w:rPr>
        <w:t xml:space="preserve">) </w:t>
      </w:r>
      <w:r w:rsidRPr="0008613C">
        <w:rPr>
          <w:rFonts w:asciiTheme="minorHAnsi" w:hAnsiTheme="minorHAnsi"/>
          <w:i/>
        </w:rPr>
        <w:t>per le imprese con meno di 5 lavoratori subordinati a tempo indeterminato e</w:t>
      </w:r>
      <w:r w:rsidR="006A0839">
        <w:rPr>
          <w:rFonts w:asciiTheme="minorHAnsi" w:hAnsiTheme="minorHAnsi"/>
          <w:i/>
        </w:rPr>
        <w:t xml:space="preserve"> </w:t>
      </w:r>
      <w:r w:rsidR="002D2F0F">
        <w:rPr>
          <w:rFonts w:asciiTheme="minorHAnsi" w:hAnsiTheme="minorHAnsi"/>
          <w:i/>
        </w:rPr>
        <w:t>(</w:t>
      </w:r>
      <w:r w:rsidR="001215ED" w:rsidRPr="0008613C">
        <w:rPr>
          <w:rFonts w:asciiTheme="minorHAnsi" w:hAnsiTheme="minorHAnsi"/>
          <w:i/>
        </w:rPr>
        <w:t xml:space="preserve">con </w:t>
      </w:r>
      <w:r w:rsidR="002D2F0F">
        <w:rPr>
          <w:rFonts w:asciiTheme="minorHAnsi" w:hAnsiTheme="minorHAnsi"/>
          <w:i/>
        </w:rPr>
        <w:t>il nome</w:t>
      </w:r>
      <w:r w:rsidR="001215ED" w:rsidRPr="0008613C">
        <w:rPr>
          <w:rFonts w:asciiTheme="minorHAnsi" w:hAnsiTheme="minorHAnsi"/>
          <w:i/>
        </w:rPr>
        <w:t xml:space="preserve"> di</w:t>
      </w:r>
      <w:r w:rsidRPr="0008613C">
        <w:rPr>
          <w:rFonts w:asciiTheme="minorHAnsi" w:hAnsiTheme="minorHAnsi"/>
          <w:i/>
        </w:rPr>
        <w:t xml:space="preserve"> </w:t>
      </w:r>
      <w:r w:rsidR="001215ED" w:rsidRPr="0008613C">
        <w:rPr>
          <w:rFonts w:asciiTheme="minorHAnsi" w:hAnsiTheme="minorHAnsi"/>
          <w:i/>
        </w:rPr>
        <w:t>“</w:t>
      </w:r>
      <w:r w:rsidRPr="0008613C">
        <w:rPr>
          <w:rFonts w:asciiTheme="minorHAnsi" w:hAnsiTheme="minorHAnsi"/>
          <w:i/>
        </w:rPr>
        <w:t>Libretto Famiglia</w:t>
      </w:r>
      <w:r w:rsidR="001215ED" w:rsidRPr="0008613C">
        <w:rPr>
          <w:rFonts w:asciiTheme="minorHAnsi" w:hAnsiTheme="minorHAnsi"/>
          <w:i/>
        </w:rPr>
        <w:t>”</w:t>
      </w:r>
      <w:r w:rsidR="002D2F0F">
        <w:rPr>
          <w:rFonts w:asciiTheme="minorHAnsi" w:hAnsiTheme="minorHAnsi"/>
          <w:i/>
        </w:rPr>
        <w:t xml:space="preserve">) </w:t>
      </w:r>
      <w:r w:rsidRPr="0008613C">
        <w:rPr>
          <w:rFonts w:asciiTheme="minorHAnsi" w:hAnsiTheme="minorHAnsi"/>
          <w:i/>
        </w:rPr>
        <w:t xml:space="preserve">per le persone fisiche. Nonostante alcuni vincoli in più, il datore </w:t>
      </w:r>
      <w:r w:rsidR="001215ED" w:rsidRPr="0008613C">
        <w:rPr>
          <w:rFonts w:asciiTheme="minorHAnsi" w:hAnsiTheme="minorHAnsi"/>
          <w:i/>
        </w:rPr>
        <w:t xml:space="preserve">di lavoro può </w:t>
      </w:r>
      <w:r w:rsidRPr="0008613C">
        <w:rPr>
          <w:rFonts w:asciiTheme="minorHAnsi" w:hAnsiTheme="minorHAnsi"/>
          <w:i/>
        </w:rPr>
        <w:t>continua</w:t>
      </w:r>
      <w:r w:rsidR="001215ED" w:rsidRPr="0008613C">
        <w:rPr>
          <w:rFonts w:asciiTheme="minorHAnsi" w:hAnsiTheme="minorHAnsi"/>
          <w:i/>
        </w:rPr>
        <w:t>re</w:t>
      </w:r>
      <w:r w:rsidRPr="0008613C">
        <w:rPr>
          <w:rFonts w:asciiTheme="minorHAnsi" w:hAnsiTheme="minorHAnsi"/>
          <w:i/>
        </w:rPr>
        <w:t xml:space="preserve"> </w:t>
      </w:r>
      <w:r w:rsidR="00036542" w:rsidRPr="0008613C">
        <w:rPr>
          <w:rFonts w:asciiTheme="minorHAnsi" w:hAnsiTheme="minorHAnsi"/>
          <w:i/>
        </w:rPr>
        <w:t>a non farsi carico d</w:t>
      </w:r>
      <w:r w:rsidRPr="0008613C">
        <w:rPr>
          <w:rFonts w:asciiTheme="minorHAnsi" w:hAnsiTheme="minorHAnsi"/>
          <w:i/>
        </w:rPr>
        <w:t>i rischi e responsabilità connesse alla prestazione</w:t>
      </w:r>
      <w:r w:rsidR="001215ED" w:rsidRPr="0008613C">
        <w:rPr>
          <w:rFonts w:asciiTheme="minorHAnsi" w:hAnsiTheme="minorHAnsi"/>
          <w:i/>
        </w:rPr>
        <w:t xml:space="preserve"> lavorativa</w:t>
      </w:r>
      <w:r w:rsidRPr="0008613C">
        <w:rPr>
          <w:rFonts w:asciiTheme="minorHAnsi" w:hAnsiTheme="minorHAnsi"/>
          <w:i/>
        </w:rPr>
        <w:t xml:space="preserve"> di cui </w:t>
      </w:r>
      <w:r w:rsidR="001215ED" w:rsidRPr="0008613C">
        <w:rPr>
          <w:rFonts w:asciiTheme="minorHAnsi" w:hAnsiTheme="minorHAnsi"/>
          <w:i/>
        </w:rPr>
        <w:t>si avvale</w:t>
      </w:r>
      <w:r w:rsidRPr="0008613C">
        <w:rPr>
          <w:rFonts w:asciiTheme="minorHAnsi" w:hAnsiTheme="minorHAnsi"/>
          <w:i/>
        </w:rPr>
        <w:t>, dagli infortuni al riconoscimento delle ferie pagate.</w:t>
      </w:r>
    </w:p>
    <w:p w:rsidR="0099165E" w:rsidRPr="0008613C" w:rsidRDefault="0099165E"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p>
    <w:p w:rsidR="0099165E" w:rsidRPr="00785F01" w:rsidRDefault="008049CA" w:rsidP="00785F01">
      <w:pPr>
        <w:pStyle w:val="Titolo1"/>
      </w:pPr>
      <w:r w:rsidRPr="00785F01">
        <w:t>Il grande inganno del</w:t>
      </w:r>
      <w:r w:rsidR="007E77E4" w:rsidRPr="00785F01">
        <w:t xml:space="preserve"> Jobs </w:t>
      </w:r>
      <w:proofErr w:type="spellStart"/>
      <w:r w:rsidR="007E77E4" w:rsidRPr="00785F01">
        <w:t>Act</w:t>
      </w:r>
      <w:proofErr w:type="spellEnd"/>
    </w:p>
    <w:p w:rsidR="00785F01" w:rsidRDefault="00785F01" w:rsidP="0099165E">
      <w:pPr>
        <w:pStyle w:val="grafico"/>
        <w:spacing w:before="0" w:beforeAutospacing="0" w:after="0" w:afterAutospacing="0"/>
        <w:jc w:val="both"/>
        <w:rPr>
          <w:rFonts w:asciiTheme="minorHAnsi" w:hAnsiTheme="minorHAnsi"/>
          <w:i/>
        </w:rPr>
      </w:pPr>
    </w:p>
    <w:p w:rsidR="00785F01" w:rsidRDefault="00785F01"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r w:rsidRPr="0008613C">
        <w:rPr>
          <w:rFonts w:asciiTheme="minorHAnsi" w:hAnsiTheme="minorHAnsi"/>
          <w:i/>
        </w:rPr>
        <w:t xml:space="preserve">Al di là della </w:t>
      </w:r>
      <w:r w:rsidR="006B1C91" w:rsidRPr="0008613C">
        <w:rPr>
          <w:rFonts w:asciiTheme="minorHAnsi" w:hAnsiTheme="minorHAnsi"/>
          <w:i/>
        </w:rPr>
        <w:t xml:space="preserve">grande </w:t>
      </w:r>
      <w:r w:rsidRPr="0008613C">
        <w:rPr>
          <w:rFonts w:asciiTheme="minorHAnsi" w:hAnsiTheme="minorHAnsi"/>
          <w:i/>
        </w:rPr>
        <w:t>retorica con cui è stato presentato dal</w:t>
      </w:r>
      <w:r w:rsidR="002F3E89">
        <w:rPr>
          <w:rFonts w:asciiTheme="minorHAnsi" w:hAnsiTheme="minorHAnsi"/>
          <w:i/>
        </w:rPr>
        <w:t>lo scorso</w:t>
      </w:r>
      <w:r w:rsidRPr="0008613C">
        <w:rPr>
          <w:rFonts w:asciiTheme="minorHAnsi" w:hAnsiTheme="minorHAnsi"/>
          <w:i/>
        </w:rPr>
        <w:t xml:space="preserve"> governo Renzi, il Jobs </w:t>
      </w:r>
      <w:proofErr w:type="spellStart"/>
      <w:r w:rsidRPr="0008613C">
        <w:rPr>
          <w:rFonts w:asciiTheme="minorHAnsi" w:hAnsiTheme="minorHAnsi"/>
          <w:i/>
        </w:rPr>
        <w:t>Act</w:t>
      </w:r>
      <w:proofErr w:type="spellEnd"/>
      <w:r w:rsidRPr="0008613C">
        <w:rPr>
          <w:rFonts w:asciiTheme="minorHAnsi" w:hAnsiTheme="minorHAnsi"/>
          <w:i/>
        </w:rPr>
        <w:t xml:space="preserve"> non sembra </w:t>
      </w:r>
      <w:r w:rsidR="006B1C91" w:rsidRPr="0008613C">
        <w:rPr>
          <w:rFonts w:asciiTheme="minorHAnsi" w:hAnsiTheme="minorHAnsi"/>
          <w:i/>
        </w:rPr>
        <w:t>migliorare</w:t>
      </w:r>
      <w:r w:rsidRPr="0008613C">
        <w:rPr>
          <w:rFonts w:asciiTheme="minorHAnsi" w:hAnsiTheme="minorHAnsi"/>
          <w:i/>
        </w:rPr>
        <w:t xml:space="preserve"> le condizioni del mercato del lavoro italiano. Il grafico mette in luce l’importanza delle trasformazioni contrattuali: il forte aumento dei contratti a tempo indeterminato a dicembre 2015 e la caduta da gennaio 2016 in poi testimoniano il ruolo chiave degli incentivi </w:t>
      </w:r>
      <w:r w:rsidR="00CD7807">
        <w:rPr>
          <w:rFonts w:asciiTheme="minorHAnsi" w:hAnsiTheme="minorHAnsi"/>
          <w:i/>
        </w:rPr>
        <w:t>nello stimolare questa dinamica</w:t>
      </w:r>
      <w:r w:rsidR="00DD1502">
        <w:rPr>
          <w:rFonts w:asciiTheme="minorHAnsi" w:hAnsiTheme="minorHAnsi"/>
          <w:i/>
        </w:rPr>
        <w:t>. U</w:t>
      </w:r>
      <w:r w:rsidRPr="0008613C">
        <w:rPr>
          <w:rFonts w:asciiTheme="minorHAnsi" w:hAnsiTheme="minorHAnsi"/>
          <w:i/>
        </w:rPr>
        <w:t xml:space="preserve">na volta operata la riduzione del 50% dell’importo degli sgravi ottenibili dalle imprese a fronte di assunzioni e trasformazioni con il nuovo contratto a tutele crescenti (gennaio </w:t>
      </w:r>
      <w:r w:rsidRPr="0008613C">
        <w:rPr>
          <w:rFonts w:asciiTheme="minorHAnsi" w:hAnsiTheme="minorHAnsi"/>
          <w:i/>
        </w:rPr>
        <w:lastRenderedPageBreak/>
        <w:t>2016), i contratti permanenti risultano inferiori rispetto sia al 2015 che al 2014</w:t>
      </w:r>
      <w:r w:rsidR="00F216F7">
        <w:rPr>
          <w:rFonts w:asciiTheme="minorHAnsi" w:hAnsiTheme="minorHAnsi"/>
          <w:i/>
        </w:rPr>
        <w:t>. Q</w:t>
      </w:r>
      <w:r w:rsidR="006B1C91" w:rsidRPr="0008613C">
        <w:rPr>
          <w:rFonts w:asciiTheme="minorHAnsi" w:hAnsiTheme="minorHAnsi"/>
          <w:i/>
        </w:rPr>
        <w:t>uesto</w:t>
      </w:r>
      <w:r w:rsidRPr="0008613C">
        <w:rPr>
          <w:rFonts w:asciiTheme="minorHAnsi" w:hAnsiTheme="minorHAnsi"/>
          <w:i/>
        </w:rPr>
        <w:t xml:space="preserve"> trend si conferma </w:t>
      </w:r>
      <w:r w:rsidR="006B1C91" w:rsidRPr="0008613C">
        <w:rPr>
          <w:rFonts w:asciiTheme="minorHAnsi" w:hAnsiTheme="minorHAnsi"/>
          <w:i/>
        </w:rPr>
        <w:t>anche fino</w:t>
      </w:r>
      <w:r w:rsidRPr="0008613C">
        <w:rPr>
          <w:rFonts w:asciiTheme="minorHAnsi" w:hAnsiTheme="minorHAnsi"/>
          <w:i/>
        </w:rPr>
        <w:t xml:space="preserve"> ad agosto 2017 (ultimo dato disponibile).</w:t>
      </w:r>
    </w:p>
    <w:p w:rsidR="00AD7730" w:rsidRPr="0008613C" w:rsidRDefault="00AD7730" w:rsidP="0099165E">
      <w:pPr>
        <w:pStyle w:val="grafico"/>
        <w:spacing w:before="0" w:beforeAutospacing="0" w:after="0" w:afterAutospacing="0"/>
        <w:jc w:val="both"/>
        <w:rPr>
          <w:rFonts w:asciiTheme="minorHAnsi" w:hAnsiTheme="minorHAnsi"/>
          <w:i/>
        </w:rPr>
      </w:pPr>
    </w:p>
    <w:p w:rsidR="00AD7730" w:rsidRPr="0008613C" w:rsidRDefault="00AD7730" w:rsidP="0099165E">
      <w:pPr>
        <w:pStyle w:val="grafico"/>
        <w:spacing w:before="0" w:beforeAutospacing="0" w:after="0" w:afterAutospacing="0"/>
        <w:jc w:val="both"/>
        <w:rPr>
          <w:rFonts w:asciiTheme="minorHAnsi" w:hAnsiTheme="minorHAnsi"/>
          <w:i/>
        </w:rPr>
      </w:pPr>
    </w:p>
    <w:p w:rsidR="0099165E" w:rsidRPr="00785F01" w:rsidRDefault="005E61AE" w:rsidP="00785F01">
      <w:pPr>
        <w:pStyle w:val="Titolo1"/>
      </w:pPr>
      <w:r w:rsidRPr="00785F01">
        <w:t>Italiani, popolo di santi,</w:t>
      </w:r>
      <w:r w:rsidR="009B449F" w:rsidRPr="00785F01">
        <w:t xml:space="preserve"> </w:t>
      </w:r>
      <w:r w:rsidR="003A65A0" w:rsidRPr="00785F01">
        <w:t>ristoratori e commercianti</w:t>
      </w:r>
    </w:p>
    <w:p w:rsidR="00785F01" w:rsidRDefault="00785F01" w:rsidP="0099165E">
      <w:pPr>
        <w:pStyle w:val="grafico"/>
        <w:spacing w:before="0" w:beforeAutospacing="0" w:after="0" w:afterAutospacing="0"/>
        <w:jc w:val="both"/>
        <w:rPr>
          <w:rFonts w:asciiTheme="minorHAnsi" w:hAnsiTheme="minorHAnsi"/>
          <w:i/>
        </w:rPr>
      </w:pPr>
    </w:p>
    <w:p w:rsidR="00785F01" w:rsidRDefault="00785F01" w:rsidP="0099165E">
      <w:pPr>
        <w:pStyle w:val="grafico"/>
        <w:spacing w:before="0" w:beforeAutospacing="0" w:after="0" w:afterAutospacing="0"/>
        <w:jc w:val="both"/>
        <w:rPr>
          <w:rFonts w:asciiTheme="minorHAnsi" w:hAnsiTheme="minorHAnsi"/>
          <w:i/>
        </w:rPr>
      </w:pPr>
    </w:p>
    <w:p w:rsidR="0099165E" w:rsidRPr="0008613C" w:rsidRDefault="00C65E53" w:rsidP="0099165E">
      <w:pPr>
        <w:pStyle w:val="grafico"/>
        <w:spacing w:before="0" w:beforeAutospacing="0" w:after="0" w:afterAutospacing="0"/>
        <w:jc w:val="both"/>
        <w:rPr>
          <w:rFonts w:asciiTheme="minorHAnsi" w:hAnsiTheme="minorHAnsi"/>
          <w:i/>
        </w:rPr>
      </w:pPr>
      <w:r w:rsidRPr="0008613C">
        <w:rPr>
          <w:rFonts w:asciiTheme="minorHAnsi" w:hAnsiTheme="minorHAnsi"/>
          <w:i/>
        </w:rPr>
        <w:t>Nel corso degli ultimi tre anni,</w:t>
      </w:r>
      <w:r w:rsidR="0099165E" w:rsidRPr="0008613C">
        <w:rPr>
          <w:rFonts w:asciiTheme="minorHAnsi" w:hAnsiTheme="minorHAnsi"/>
          <w:i/>
        </w:rPr>
        <w:t xml:space="preserve"> </w:t>
      </w:r>
      <w:r w:rsidRPr="0008613C">
        <w:rPr>
          <w:rFonts w:asciiTheme="minorHAnsi" w:hAnsiTheme="minorHAnsi"/>
          <w:i/>
        </w:rPr>
        <w:t xml:space="preserve">e per ciascuno di questi anni, </w:t>
      </w:r>
      <w:r w:rsidR="0099165E" w:rsidRPr="0008613C">
        <w:rPr>
          <w:rFonts w:asciiTheme="minorHAnsi" w:hAnsiTheme="minorHAnsi"/>
          <w:i/>
        </w:rPr>
        <w:t>la quota di assunzioni a tempo indeterminato più alta</w:t>
      </w:r>
      <w:r w:rsidRPr="0008613C">
        <w:rPr>
          <w:rFonts w:asciiTheme="minorHAnsi" w:hAnsiTheme="minorHAnsi"/>
          <w:i/>
        </w:rPr>
        <w:t xml:space="preserve"> si registra</w:t>
      </w:r>
      <w:r w:rsidR="0099165E" w:rsidRPr="0008613C">
        <w:rPr>
          <w:rFonts w:asciiTheme="minorHAnsi" w:hAnsiTheme="minorHAnsi"/>
          <w:i/>
        </w:rPr>
        <w:t xml:space="preserve"> </w:t>
      </w:r>
      <w:r w:rsidRPr="0008613C">
        <w:rPr>
          <w:rFonts w:asciiTheme="minorHAnsi" w:hAnsiTheme="minorHAnsi"/>
          <w:i/>
        </w:rPr>
        <w:t xml:space="preserve">di gran lunga </w:t>
      </w:r>
      <w:r w:rsidR="0099165E" w:rsidRPr="0008613C">
        <w:rPr>
          <w:rFonts w:asciiTheme="minorHAnsi" w:hAnsiTheme="minorHAnsi"/>
          <w:i/>
        </w:rPr>
        <w:t xml:space="preserve">nel settore del commercio e della ristorazione, tipicamente un </w:t>
      </w:r>
      <w:r w:rsidR="007C4035">
        <w:rPr>
          <w:rFonts w:asciiTheme="minorHAnsi" w:hAnsiTheme="minorHAnsi"/>
          <w:i/>
        </w:rPr>
        <w:t>comparto</w:t>
      </w:r>
      <w:r w:rsidR="0099165E" w:rsidRPr="0008613C">
        <w:rPr>
          <w:rFonts w:asciiTheme="minorHAnsi" w:hAnsiTheme="minorHAnsi"/>
          <w:i/>
        </w:rPr>
        <w:t xml:space="preserve"> a basso contenuto tecnologico</w:t>
      </w:r>
      <w:r w:rsidRPr="0008613C">
        <w:rPr>
          <w:rFonts w:asciiTheme="minorHAnsi" w:hAnsiTheme="minorHAnsi"/>
          <w:i/>
        </w:rPr>
        <w:t xml:space="preserve"> e con modesti investimenti in r</w:t>
      </w:r>
      <w:r w:rsidR="0099165E" w:rsidRPr="0008613C">
        <w:rPr>
          <w:rFonts w:asciiTheme="minorHAnsi" w:hAnsiTheme="minorHAnsi"/>
          <w:i/>
        </w:rPr>
        <w:t>icerca</w:t>
      </w:r>
      <w:r w:rsidRPr="0008613C">
        <w:rPr>
          <w:rFonts w:asciiTheme="minorHAnsi" w:hAnsiTheme="minorHAnsi"/>
          <w:i/>
        </w:rPr>
        <w:t xml:space="preserve"> e sviluppo. Le assunzioni nelle a</w:t>
      </w:r>
      <w:r w:rsidR="0099165E" w:rsidRPr="0008613C">
        <w:rPr>
          <w:rFonts w:asciiTheme="minorHAnsi" w:hAnsiTheme="minorHAnsi"/>
          <w:i/>
        </w:rPr>
        <w:t xml:space="preserve">ttività professionali, scientifiche e tecniche, nelle amministrazioni e </w:t>
      </w:r>
      <w:r w:rsidRPr="0008613C">
        <w:rPr>
          <w:rFonts w:asciiTheme="minorHAnsi" w:hAnsiTheme="minorHAnsi"/>
          <w:i/>
        </w:rPr>
        <w:t xml:space="preserve">nei </w:t>
      </w:r>
      <w:r w:rsidR="0099165E" w:rsidRPr="0008613C">
        <w:rPr>
          <w:rFonts w:asciiTheme="minorHAnsi" w:hAnsiTheme="minorHAnsi"/>
          <w:i/>
        </w:rPr>
        <w:t xml:space="preserve">servizi di supporto </w:t>
      </w:r>
      <w:r w:rsidRPr="0008613C">
        <w:rPr>
          <w:rFonts w:asciiTheme="minorHAnsi" w:hAnsiTheme="minorHAnsi"/>
          <w:i/>
        </w:rPr>
        <w:t>rimangono invece pressoché stabili, mentre nel s</w:t>
      </w:r>
      <w:r w:rsidR="0099165E" w:rsidRPr="0008613C">
        <w:rPr>
          <w:rFonts w:asciiTheme="minorHAnsi" w:hAnsiTheme="minorHAnsi"/>
          <w:i/>
        </w:rPr>
        <w:t>ettore pubblico</w:t>
      </w:r>
      <w:r w:rsidRPr="0008613C">
        <w:rPr>
          <w:rFonts w:asciiTheme="minorHAnsi" w:hAnsiTheme="minorHAnsi"/>
          <w:i/>
        </w:rPr>
        <w:t xml:space="preserve"> il dato diminuisce</w:t>
      </w:r>
      <w:r w:rsidR="00CA0424">
        <w:rPr>
          <w:rFonts w:asciiTheme="minorHAnsi" w:hAnsiTheme="minorHAnsi"/>
          <w:i/>
        </w:rPr>
        <w:t xml:space="preserve"> dal 16,3%</w:t>
      </w:r>
      <w:r w:rsidR="0099165E" w:rsidRPr="0008613C">
        <w:rPr>
          <w:rFonts w:asciiTheme="minorHAnsi" w:hAnsiTheme="minorHAnsi"/>
          <w:i/>
        </w:rPr>
        <w:t xml:space="preserve"> </w:t>
      </w:r>
      <w:r w:rsidRPr="0008613C">
        <w:rPr>
          <w:rFonts w:asciiTheme="minorHAnsi" w:hAnsiTheme="minorHAnsi"/>
          <w:i/>
        </w:rPr>
        <w:t xml:space="preserve">del 2016 al 15% del </w:t>
      </w:r>
      <w:r w:rsidR="000E7B94">
        <w:rPr>
          <w:rFonts w:asciiTheme="minorHAnsi" w:hAnsiTheme="minorHAnsi"/>
          <w:i/>
        </w:rPr>
        <w:t>primo semestre 2017</w:t>
      </w:r>
      <w:r w:rsidR="0099165E" w:rsidRPr="0008613C">
        <w:rPr>
          <w:rFonts w:asciiTheme="minorHAnsi" w:hAnsiTheme="minorHAnsi"/>
          <w:i/>
        </w:rPr>
        <w:t>.</w:t>
      </w:r>
      <w:r w:rsidRPr="0008613C">
        <w:rPr>
          <w:rFonts w:asciiTheme="minorHAnsi" w:hAnsiTheme="minorHAnsi"/>
          <w:i/>
        </w:rPr>
        <w:t xml:space="preserve"> Non sono buone notizie: per rilanciare l’economia italiana occorre innanzitutto investire e favorire l’occupazione proprio nei comparti</w:t>
      </w:r>
      <w:r w:rsidR="003A65A0" w:rsidRPr="0008613C">
        <w:rPr>
          <w:rFonts w:asciiTheme="minorHAnsi" w:hAnsiTheme="minorHAnsi"/>
          <w:i/>
        </w:rPr>
        <w:t xml:space="preserve"> produttivi più innovativi e </w:t>
      </w:r>
      <w:r w:rsidR="005E438C" w:rsidRPr="0008613C">
        <w:rPr>
          <w:rFonts w:asciiTheme="minorHAnsi" w:hAnsiTheme="minorHAnsi"/>
          <w:i/>
        </w:rPr>
        <w:t>a più alto</w:t>
      </w:r>
      <w:r w:rsidRPr="0008613C">
        <w:rPr>
          <w:rFonts w:asciiTheme="minorHAnsi" w:hAnsiTheme="minorHAnsi"/>
          <w:i/>
        </w:rPr>
        <w:t xml:space="preserve"> contenuto tecnologico</w:t>
      </w:r>
      <w:r w:rsidR="005E438C" w:rsidRPr="0008613C">
        <w:rPr>
          <w:rFonts w:asciiTheme="minorHAnsi" w:hAnsiTheme="minorHAnsi"/>
          <w:i/>
        </w:rPr>
        <w:t xml:space="preserve"> e valore aggiunto</w:t>
      </w:r>
      <w:r w:rsidRPr="0008613C">
        <w:rPr>
          <w:rFonts w:asciiTheme="minorHAnsi" w:hAnsiTheme="minorHAnsi"/>
          <w:i/>
        </w:rPr>
        <w:t>.</w:t>
      </w:r>
    </w:p>
    <w:p w:rsidR="0099165E" w:rsidRPr="0008613C" w:rsidRDefault="0099165E" w:rsidP="008049CA">
      <w:pPr>
        <w:pStyle w:val="grafico"/>
        <w:spacing w:before="0" w:beforeAutospacing="0" w:after="0" w:afterAutospacing="0"/>
        <w:jc w:val="both"/>
        <w:rPr>
          <w:rFonts w:asciiTheme="minorHAnsi" w:hAnsiTheme="minorHAnsi"/>
          <w:i/>
        </w:rPr>
      </w:pPr>
    </w:p>
    <w:p w:rsidR="00076FC0" w:rsidRPr="0008613C" w:rsidRDefault="00076FC0" w:rsidP="008049CA">
      <w:pPr>
        <w:pStyle w:val="grafico"/>
        <w:spacing w:before="0" w:beforeAutospacing="0" w:after="0" w:afterAutospacing="0"/>
        <w:jc w:val="both"/>
        <w:rPr>
          <w:rFonts w:asciiTheme="minorHAnsi" w:hAnsiTheme="minorHAnsi"/>
          <w:i/>
        </w:rPr>
      </w:pPr>
    </w:p>
    <w:p w:rsidR="0099165E" w:rsidRPr="00785F01" w:rsidRDefault="00C22379" w:rsidP="00785F01">
      <w:pPr>
        <w:pStyle w:val="Titolo1"/>
      </w:pPr>
      <w:r w:rsidRPr="00785F01">
        <w:t>Investimenti al palo</w:t>
      </w:r>
    </w:p>
    <w:p w:rsidR="00785F01" w:rsidRDefault="00785F01" w:rsidP="003A65A0">
      <w:pPr>
        <w:spacing w:after="0" w:line="240" w:lineRule="auto"/>
        <w:jc w:val="both"/>
        <w:rPr>
          <w:rFonts w:eastAsia="Times New Roman" w:cs="Times New Roman"/>
          <w:i/>
          <w:sz w:val="24"/>
          <w:szCs w:val="24"/>
          <w:lang w:eastAsia="it-IT"/>
        </w:rPr>
      </w:pPr>
    </w:p>
    <w:p w:rsidR="00785F01" w:rsidRDefault="00785F01" w:rsidP="003A65A0">
      <w:pPr>
        <w:spacing w:after="0" w:line="240" w:lineRule="auto"/>
        <w:jc w:val="both"/>
        <w:rPr>
          <w:rFonts w:eastAsia="Times New Roman" w:cs="Times New Roman"/>
          <w:i/>
          <w:sz w:val="24"/>
          <w:szCs w:val="24"/>
          <w:lang w:eastAsia="it-IT"/>
        </w:rPr>
      </w:pPr>
    </w:p>
    <w:p w:rsidR="0099165E" w:rsidRPr="0008613C" w:rsidRDefault="005E61AE" w:rsidP="003A65A0">
      <w:pPr>
        <w:spacing w:after="0" w:line="240" w:lineRule="auto"/>
        <w:jc w:val="both"/>
        <w:rPr>
          <w:i/>
          <w:sz w:val="24"/>
          <w:szCs w:val="24"/>
        </w:rPr>
      </w:pPr>
      <w:r w:rsidRPr="0008613C">
        <w:rPr>
          <w:rFonts w:eastAsia="Times New Roman" w:cs="Times New Roman"/>
          <w:i/>
          <w:sz w:val="24"/>
          <w:szCs w:val="24"/>
          <w:lang w:eastAsia="it-IT"/>
        </w:rPr>
        <w:t>L’Italia ha subì</w:t>
      </w:r>
      <w:r w:rsidR="008049CA" w:rsidRPr="0008613C">
        <w:rPr>
          <w:rFonts w:eastAsia="Times New Roman" w:cs="Times New Roman"/>
          <w:i/>
          <w:sz w:val="24"/>
          <w:szCs w:val="24"/>
          <w:lang w:eastAsia="it-IT"/>
        </w:rPr>
        <w:t>to</w:t>
      </w:r>
      <w:r w:rsidR="003A65A0" w:rsidRPr="0008613C">
        <w:rPr>
          <w:rFonts w:eastAsia="Times New Roman" w:cs="Times New Roman"/>
          <w:i/>
          <w:sz w:val="24"/>
          <w:szCs w:val="24"/>
          <w:lang w:eastAsia="it-IT"/>
        </w:rPr>
        <w:t xml:space="preserve"> negli </w:t>
      </w:r>
      <w:r w:rsidR="00CE3D1C" w:rsidRPr="0008613C">
        <w:rPr>
          <w:rFonts w:eastAsia="Times New Roman" w:cs="Times New Roman"/>
          <w:i/>
          <w:sz w:val="24"/>
          <w:szCs w:val="24"/>
          <w:lang w:eastAsia="it-IT"/>
        </w:rPr>
        <w:t xml:space="preserve">ultimi dieci </w:t>
      </w:r>
      <w:r w:rsidR="003A65A0" w:rsidRPr="0008613C">
        <w:rPr>
          <w:rFonts w:eastAsia="Times New Roman" w:cs="Times New Roman"/>
          <w:i/>
          <w:sz w:val="24"/>
          <w:szCs w:val="24"/>
          <w:lang w:eastAsia="it-IT"/>
        </w:rPr>
        <w:t>anni</w:t>
      </w:r>
      <w:r w:rsidR="008049CA" w:rsidRPr="0008613C">
        <w:rPr>
          <w:rFonts w:eastAsia="Times New Roman" w:cs="Times New Roman"/>
          <w:i/>
          <w:sz w:val="24"/>
          <w:szCs w:val="24"/>
          <w:lang w:eastAsia="it-IT"/>
        </w:rPr>
        <w:t xml:space="preserve"> una perdita di competitività </w:t>
      </w:r>
      <w:r w:rsidR="00CE3D1C" w:rsidRPr="0008613C">
        <w:rPr>
          <w:rFonts w:eastAsia="Times New Roman" w:cs="Times New Roman"/>
          <w:i/>
          <w:sz w:val="24"/>
          <w:szCs w:val="24"/>
          <w:lang w:eastAsia="it-IT"/>
        </w:rPr>
        <w:t xml:space="preserve">e capacità produttiva </w:t>
      </w:r>
      <w:r w:rsidR="008049CA" w:rsidRPr="0008613C">
        <w:rPr>
          <w:rFonts w:eastAsia="Times New Roman" w:cs="Times New Roman"/>
          <w:i/>
          <w:sz w:val="24"/>
          <w:szCs w:val="24"/>
          <w:lang w:eastAsia="it-IT"/>
        </w:rPr>
        <w:t xml:space="preserve">causata </w:t>
      </w:r>
      <w:r w:rsidR="007C4035">
        <w:rPr>
          <w:rFonts w:eastAsia="Times New Roman" w:cs="Times New Roman"/>
          <w:i/>
          <w:sz w:val="24"/>
          <w:szCs w:val="24"/>
          <w:lang w:eastAsia="it-IT"/>
        </w:rPr>
        <w:t>in larga parte</w:t>
      </w:r>
      <w:r w:rsidR="008049CA" w:rsidRPr="0008613C">
        <w:rPr>
          <w:rFonts w:eastAsia="Times New Roman" w:cs="Times New Roman"/>
          <w:i/>
          <w:sz w:val="24"/>
          <w:szCs w:val="24"/>
          <w:lang w:eastAsia="it-IT"/>
        </w:rPr>
        <w:t xml:space="preserve"> da un </w:t>
      </w:r>
      <w:r w:rsidRPr="0008613C">
        <w:rPr>
          <w:rFonts w:eastAsia="Times New Roman" w:cs="Times New Roman"/>
          <w:i/>
          <w:sz w:val="24"/>
          <w:szCs w:val="24"/>
          <w:lang w:eastAsia="it-IT"/>
        </w:rPr>
        <w:t>forte</w:t>
      </w:r>
      <w:r w:rsidR="008049CA" w:rsidRPr="0008613C">
        <w:rPr>
          <w:rFonts w:eastAsia="Times New Roman" w:cs="Times New Roman"/>
          <w:i/>
          <w:sz w:val="24"/>
          <w:szCs w:val="24"/>
          <w:lang w:eastAsia="it-IT"/>
        </w:rPr>
        <w:t xml:space="preserve"> calo degli investimenti: questa contrazione, a sua volta, </w:t>
      </w:r>
      <w:r w:rsidR="007C4035">
        <w:rPr>
          <w:rFonts w:eastAsia="Times New Roman" w:cs="Times New Roman"/>
          <w:i/>
          <w:sz w:val="24"/>
          <w:szCs w:val="24"/>
          <w:lang w:eastAsia="it-IT"/>
        </w:rPr>
        <w:t xml:space="preserve">ha </w:t>
      </w:r>
      <w:r w:rsidR="00CE3D1C" w:rsidRPr="0008613C">
        <w:rPr>
          <w:rFonts w:eastAsia="Times New Roman" w:cs="Times New Roman"/>
          <w:i/>
          <w:sz w:val="24"/>
          <w:szCs w:val="24"/>
          <w:lang w:eastAsia="it-IT"/>
        </w:rPr>
        <w:t>frena</w:t>
      </w:r>
      <w:r w:rsidR="007C4035">
        <w:rPr>
          <w:rFonts w:eastAsia="Times New Roman" w:cs="Times New Roman"/>
          <w:i/>
          <w:sz w:val="24"/>
          <w:szCs w:val="24"/>
          <w:lang w:eastAsia="it-IT"/>
        </w:rPr>
        <w:t>to e frena</w:t>
      </w:r>
      <w:r w:rsidR="008049CA" w:rsidRPr="0008613C">
        <w:rPr>
          <w:rFonts w:eastAsia="Times New Roman" w:cs="Times New Roman"/>
          <w:i/>
          <w:sz w:val="24"/>
          <w:szCs w:val="24"/>
          <w:lang w:eastAsia="it-IT"/>
        </w:rPr>
        <w:t xml:space="preserve"> </w:t>
      </w:r>
      <w:r w:rsidR="00CE3D1C" w:rsidRPr="0008613C">
        <w:rPr>
          <w:rFonts w:eastAsia="Times New Roman" w:cs="Times New Roman"/>
          <w:i/>
          <w:sz w:val="24"/>
          <w:szCs w:val="24"/>
          <w:lang w:eastAsia="it-IT"/>
        </w:rPr>
        <w:t xml:space="preserve">in modo decisivo </w:t>
      </w:r>
      <w:r w:rsidR="008049CA" w:rsidRPr="0008613C">
        <w:rPr>
          <w:rFonts w:eastAsia="Times New Roman" w:cs="Times New Roman"/>
          <w:i/>
          <w:sz w:val="24"/>
          <w:szCs w:val="24"/>
          <w:lang w:eastAsia="it-IT"/>
        </w:rPr>
        <w:t xml:space="preserve">le possibilità di ripresa. </w:t>
      </w:r>
      <w:r w:rsidR="00CE3D1C" w:rsidRPr="0008613C">
        <w:rPr>
          <w:rFonts w:eastAsia="Times New Roman" w:cs="Times New Roman"/>
          <w:i/>
          <w:sz w:val="24"/>
          <w:szCs w:val="24"/>
          <w:lang w:eastAsia="it-IT"/>
        </w:rPr>
        <w:t xml:space="preserve">In questo quadro, </w:t>
      </w:r>
      <w:r w:rsidR="0099165E" w:rsidRPr="0008613C">
        <w:rPr>
          <w:i/>
          <w:sz w:val="24"/>
          <w:szCs w:val="24"/>
        </w:rPr>
        <w:t>gli investimenti in capitale fisso</w:t>
      </w:r>
      <w:r w:rsidR="00201C87">
        <w:rPr>
          <w:i/>
          <w:sz w:val="24"/>
          <w:szCs w:val="24"/>
        </w:rPr>
        <w:t xml:space="preserve"> sono costantemente diminuiti</w:t>
      </w:r>
      <w:r w:rsidR="0099165E" w:rsidRPr="0008613C">
        <w:rPr>
          <w:i/>
          <w:sz w:val="24"/>
          <w:szCs w:val="24"/>
        </w:rPr>
        <w:t xml:space="preserve">, </w:t>
      </w:r>
      <w:r w:rsidR="00CE3D1C" w:rsidRPr="0008613C">
        <w:rPr>
          <w:i/>
          <w:sz w:val="24"/>
          <w:szCs w:val="24"/>
        </w:rPr>
        <w:t xml:space="preserve">e </w:t>
      </w:r>
      <w:r w:rsidR="0099165E" w:rsidRPr="0008613C">
        <w:rPr>
          <w:i/>
          <w:sz w:val="24"/>
          <w:szCs w:val="24"/>
        </w:rPr>
        <w:t>in particolare la quota dest</w:t>
      </w:r>
      <w:r w:rsidR="003800D5" w:rsidRPr="0008613C">
        <w:rPr>
          <w:i/>
          <w:sz w:val="24"/>
          <w:szCs w:val="24"/>
        </w:rPr>
        <w:t>inata a</w:t>
      </w:r>
      <w:r w:rsidRPr="0008613C">
        <w:rPr>
          <w:i/>
          <w:sz w:val="24"/>
          <w:szCs w:val="24"/>
        </w:rPr>
        <w:t xml:space="preserve"> impianti, macchinari e</w:t>
      </w:r>
      <w:r w:rsidR="0099165E" w:rsidRPr="0008613C">
        <w:rPr>
          <w:i/>
          <w:sz w:val="24"/>
          <w:szCs w:val="24"/>
        </w:rPr>
        <w:t xml:space="preserve"> armamenti (-16% dal 2007 al 2016).</w:t>
      </w:r>
      <w:r w:rsidRPr="0008613C">
        <w:rPr>
          <w:i/>
          <w:sz w:val="24"/>
          <w:szCs w:val="24"/>
        </w:rPr>
        <w:t xml:space="preserve"> </w:t>
      </w:r>
      <w:r w:rsidR="00CE3D1C" w:rsidRPr="0008613C">
        <w:rPr>
          <w:i/>
          <w:sz w:val="24"/>
          <w:szCs w:val="24"/>
        </w:rPr>
        <w:t>Più i</w:t>
      </w:r>
      <w:r w:rsidR="0099165E" w:rsidRPr="0008613C">
        <w:rPr>
          <w:i/>
          <w:sz w:val="24"/>
          <w:szCs w:val="24"/>
        </w:rPr>
        <w:t xml:space="preserve">n generale, </w:t>
      </w:r>
      <w:r w:rsidR="003800D5" w:rsidRPr="0008613C">
        <w:rPr>
          <w:i/>
          <w:sz w:val="24"/>
          <w:szCs w:val="24"/>
        </w:rPr>
        <w:t>la dinamica degli investimenti</w:t>
      </w:r>
      <w:r w:rsidR="00CE3D1C" w:rsidRPr="0008613C">
        <w:rPr>
          <w:i/>
          <w:sz w:val="24"/>
          <w:szCs w:val="24"/>
        </w:rPr>
        <w:t xml:space="preserve"> mostra </w:t>
      </w:r>
      <w:r w:rsidR="0099165E" w:rsidRPr="0008613C">
        <w:rPr>
          <w:i/>
          <w:sz w:val="24"/>
          <w:szCs w:val="24"/>
        </w:rPr>
        <w:t xml:space="preserve">una </w:t>
      </w:r>
      <w:r w:rsidR="00CE3D1C" w:rsidRPr="0008613C">
        <w:rPr>
          <w:i/>
          <w:sz w:val="24"/>
          <w:szCs w:val="24"/>
        </w:rPr>
        <w:t>grave</w:t>
      </w:r>
      <w:r w:rsidR="0099165E" w:rsidRPr="0008613C">
        <w:rPr>
          <w:i/>
          <w:sz w:val="24"/>
          <w:szCs w:val="24"/>
        </w:rPr>
        <w:t xml:space="preserve"> contrazione </w:t>
      </w:r>
      <w:r w:rsidR="00201C87">
        <w:rPr>
          <w:i/>
          <w:sz w:val="24"/>
          <w:szCs w:val="24"/>
        </w:rPr>
        <w:t>nel periodo 2008-2013</w:t>
      </w:r>
      <w:r w:rsidR="0099165E" w:rsidRPr="0008613C">
        <w:rPr>
          <w:i/>
          <w:sz w:val="24"/>
          <w:szCs w:val="24"/>
        </w:rPr>
        <w:t xml:space="preserve">. Nel </w:t>
      </w:r>
      <w:r w:rsidR="00CE3D1C" w:rsidRPr="0008613C">
        <w:rPr>
          <w:i/>
          <w:sz w:val="24"/>
          <w:szCs w:val="24"/>
        </w:rPr>
        <w:t>triennio</w:t>
      </w:r>
      <w:r w:rsidR="0099165E" w:rsidRPr="0008613C">
        <w:rPr>
          <w:i/>
          <w:sz w:val="24"/>
          <w:szCs w:val="24"/>
        </w:rPr>
        <w:t xml:space="preserve"> 2014-2016</w:t>
      </w:r>
      <w:r w:rsidRPr="0008613C">
        <w:rPr>
          <w:i/>
          <w:sz w:val="24"/>
          <w:szCs w:val="24"/>
        </w:rPr>
        <w:t xml:space="preserve">, fase in cui </w:t>
      </w:r>
      <w:r w:rsidR="003800D5" w:rsidRPr="0008613C">
        <w:rPr>
          <w:i/>
          <w:sz w:val="24"/>
          <w:szCs w:val="24"/>
        </w:rPr>
        <w:t xml:space="preserve">(in termini tecnici) </w:t>
      </w:r>
      <w:r w:rsidRPr="0008613C">
        <w:rPr>
          <w:i/>
          <w:sz w:val="24"/>
          <w:szCs w:val="24"/>
        </w:rPr>
        <w:t>si è registrata l’</w:t>
      </w:r>
      <w:r w:rsidR="0099165E" w:rsidRPr="0008613C">
        <w:rPr>
          <w:i/>
          <w:sz w:val="24"/>
          <w:szCs w:val="24"/>
        </w:rPr>
        <w:t>uscita dell</w:t>
      </w:r>
      <w:r w:rsidRPr="0008613C">
        <w:rPr>
          <w:i/>
          <w:sz w:val="24"/>
          <w:szCs w:val="24"/>
        </w:rPr>
        <w:t>’</w:t>
      </w:r>
      <w:r w:rsidR="0099165E" w:rsidRPr="0008613C">
        <w:rPr>
          <w:i/>
          <w:sz w:val="24"/>
          <w:szCs w:val="24"/>
        </w:rPr>
        <w:t xml:space="preserve">Italia dalla recessione, </w:t>
      </w:r>
      <w:r w:rsidR="00CE3D1C" w:rsidRPr="0008613C">
        <w:rPr>
          <w:i/>
          <w:sz w:val="24"/>
          <w:szCs w:val="24"/>
        </w:rPr>
        <w:t>gli</w:t>
      </w:r>
      <w:r w:rsidR="0099165E" w:rsidRPr="0008613C">
        <w:rPr>
          <w:i/>
          <w:sz w:val="24"/>
          <w:szCs w:val="24"/>
        </w:rPr>
        <w:t xml:space="preserve"> investimenti non </w:t>
      </w:r>
      <w:r w:rsidR="00CE3D1C" w:rsidRPr="0008613C">
        <w:rPr>
          <w:i/>
          <w:sz w:val="24"/>
          <w:szCs w:val="24"/>
        </w:rPr>
        <w:t>hanno tuttavia recuperato i livelli</w:t>
      </w:r>
      <w:r w:rsidR="0099165E" w:rsidRPr="0008613C">
        <w:rPr>
          <w:i/>
          <w:sz w:val="24"/>
          <w:szCs w:val="24"/>
        </w:rPr>
        <w:t xml:space="preserve"> </w:t>
      </w:r>
      <w:r w:rsidR="00CE3D1C" w:rsidRPr="0008613C">
        <w:rPr>
          <w:i/>
          <w:sz w:val="24"/>
          <w:szCs w:val="24"/>
        </w:rPr>
        <w:t>pre-crisi</w:t>
      </w:r>
      <w:r w:rsidR="0099165E" w:rsidRPr="0008613C">
        <w:rPr>
          <w:i/>
          <w:sz w:val="24"/>
          <w:szCs w:val="24"/>
        </w:rPr>
        <w:t>.</w:t>
      </w:r>
    </w:p>
    <w:p w:rsidR="0099165E" w:rsidRPr="0008613C" w:rsidRDefault="0099165E" w:rsidP="008049CA">
      <w:pPr>
        <w:pStyle w:val="grafico"/>
        <w:spacing w:before="0" w:beforeAutospacing="0" w:after="0" w:afterAutospacing="0"/>
        <w:jc w:val="both"/>
        <w:rPr>
          <w:rFonts w:asciiTheme="minorHAnsi" w:hAnsiTheme="minorHAnsi"/>
          <w:i/>
        </w:rPr>
      </w:pPr>
    </w:p>
    <w:p w:rsidR="0099165E" w:rsidRPr="0008613C" w:rsidRDefault="0099165E" w:rsidP="008049CA">
      <w:pPr>
        <w:pStyle w:val="grafico"/>
        <w:spacing w:before="0" w:beforeAutospacing="0" w:after="0" w:afterAutospacing="0"/>
        <w:jc w:val="both"/>
        <w:rPr>
          <w:rFonts w:asciiTheme="minorHAnsi" w:hAnsiTheme="minorHAnsi"/>
          <w:i/>
        </w:rPr>
      </w:pPr>
    </w:p>
    <w:p w:rsidR="0099165E" w:rsidRPr="00785F01" w:rsidRDefault="002B0ADF" w:rsidP="00785F01">
      <w:pPr>
        <w:pStyle w:val="Titolo1"/>
      </w:pPr>
      <w:r w:rsidRPr="00785F01">
        <w:t>Chi troppo, chi niente</w:t>
      </w:r>
    </w:p>
    <w:p w:rsidR="00785F01" w:rsidRDefault="00785F01" w:rsidP="0099165E">
      <w:pPr>
        <w:pStyle w:val="grafico"/>
        <w:spacing w:before="0" w:beforeAutospacing="0" w:after="0" w:afterAutospacing="0"/>
        <w:jc w:val="both"/>
        <w:rPr>
          <w:rFonts w:asciiTheme="minorHAnsi" w:hAnsiTheme="minorHAnsi"/>
          <w:i/>
        </w:rPr>
      </w:pPr>
    </w:p>
    <w:p w:rsidR="00785F01" w:rsidRDefault="00785F01" w:rsidP="0099165E">
      <w:pPr>
        <w:pStyle w:val="grafico"/>
        <w:spacing w:before="0" w:beforeAutospacing="0" w:after="0" w:afterAutospacing="0"/>
        <w:jc w:val="both"/>
        <w:rPr>
          <w:rFonts w:asciiTheme="minorHAnsi" w:hAnsiTheme="minorHAnsi"/>
          <w:i/>
        </w:rPr>
      </w:pPr>
    </w:p>
    <w:p w:rsidR="0099165E" w:rsidRPr="0008613C" w:rsidRDefault="0099165E" w:rsidP="0099165E">
      <w:pPr>
        <w:pStyle w:val="grafico"/>
        <w:spacing w:before="0" w:beforeAutospacing="0" w:after="0" w:afterAutospacing="0"/>
        <w:jc w:val="both"/>
        <w:rPr>
          <w:rFonts w:asciiTheme="minorHAnsi" w:hAnsiTheme="minorHAnsi"/>
          <w:i/>
        </w:rPr>
      </w:pPr>
      <w:r w:rsidRPr="0008613C">
        <w:rPr>
          <w:rFonts w:asciiTheme="minorHAnsi" w:hAnsiTheme="minorHAnsi"/>
          <w:i/>
        </w:rPr>
        <w:t>I dati sulla distribuzione del reddito (da lavoro e da capitale) e de</w:t>
      </w:r>
      <w:r w:rsidR="008A182E" w:rsidRPr="0008613C">
        <w:rPr>
          <w:rFonts w:asciiTheme="minorHAnsi" w:hAnsiTheme="minorHAnsi"/>
          <w:i/>
        </w:rPr>
        <w:t>lla ricchezza (immobiliare e fi</w:t>
      </w:r>
      <w:r w:rsidRPr="0008613C">
        <w:rPr>
          <w:rFonts w:asciiTheme="minorHAnsi" w:hAnsiTheme="minorHAnsi"/>
          <w:i/>
        </w:rPr>
        <w:t>nanziaria) rilevati nel 2014 mostrano un paes</w:t>
      </w:r>
      <w:r w:rsidR="008A182E" w:rsidRPr="0008613C">
        <w:rPr>
          <w:rFonts w:asciiTheme="minorHAnsi" w:hAnsiTheme="minorHAnsi"/>
          <w:i/>
        </w:rPr>
        <w:t>e attraversato da profonde dise</w:t>
      </w:r>
      <w:r w:rsidRPr="0008613C">
        <w:rPr>
          <w:rFonts w:asciiTheme="minorHAnsi" w:hAnsiTheme="minorHAnsi"/>
          <w:i/>
        </w:rPr>
        <w:t xml:space="preserve">guaglianze. Guardando i redditi, il quinto più povero delle famiglie </w:t>
      </w:r>
      <w:r w:rsidR="00C8316B" w:rsidRPr="0008613C">
        <w:rPr>
          <w:rFonts w:asciiTheme="minorHAnsi" w:hAnsiTheme="minorHAnsi"/>
          <w:i/>
        </w:rPr>
        <w:t xml:space="preserve">italiane </w:t>
      </w:r>
      <w:r w:rsidRPr="0008613C">
        <w:rPr>
          <w:rFonts w:asciiTheme="minorHAnsi" w:hAnsiTheme="minorHAnsi"/>
          <w:i/>
        </w:rPr>
        <w:t xml:space="preserve">detiene una quota di </w:t>
      </w:r>
      <w:r w:rsidR="008A182E" w:rsidRPr="0008613C">
        <w:rPr>
          <w:rFonts w:asciiTheme="minorHAnsi" w:hAnsiTheme="minorHAnsi"/>
          <w:i/>
        </w:rPr>
        <w:t xml:space="preserve">reddito che supera appena il 6%, </w:t>
      </w:r>
      <w:r w:rsidRPr="0008613C">
        <w:rPr>
          <w:rFonts w:asciiTheme="minorHAnsi" w:hAnsiTheme="minorHAnsi"/>
          <w:i/>
        </w:rPr>
        <w:t xml:space="preserve">mentre al quinto più ricco va più del 40% </w:t>
      </w:r>
      <w:r w:rsidR="00D15C3E">
        <w:rPr>
          <w:rFonts w:asciiTheme="minorHAnsi" w:hAnsiTheme="minorHAnsi"/>
          <w:i/>
        </w:rPr>
        <w:t>dell’intera</w:t>
      </w:r>
      <w:r w:rsidR="00C8316B" w:rsidRPr="0008613C">
        <w:rPr>
          <w:rFonts w:asciiTheme="minorHAnsi" w:hAnsiTheme="minorHAnsi"/>
          <w:i/>
        </w:rPr>
        <w:t xml:space="preserve"> torta</w:t>
      </w:r>
      <w:r w:rsidRPr="0008613C">
        <w:rPr>
          <w:rFonts w:asciiTheme="minorHAnsi" w:hAnsiTheme="minorHAnsi"/>
          <w:i/>
        </w:rPr>
        <w:t xml:space="preserve">. La diseguaglianza è ancora più </w:t>
      </w:r>
      <w:r w:rsidR="00A60991">
        <w:rPr>
          <w:rFonts w:asciiTheme="minorHAnsi" w:hAnsiTheme="minorHAnsi"/>
          <w:i/>
        </w:rPr>
        <w:t>marcata</w:t>
      </w:r>
      <w:r w:rsidRPr="0008613C">
        <w:rPr>
          <w:rFonts w:asciiTheme="minorHAnsi" w:hAnsiTheme="minorHAnsi"/>
          <w:i/>
        </w:rPr>
        <w:t xml:space="preserve"> se si </w:t>
      </w:r>
      <w:r w:rsidR="00C8316B" w:rsidRPr="0008613C">
        <w:rPr>
          <w:rFonts w:asciiTheme="minorHAnsi" w:hAnsiTheme="minorHAnsi"/>
          <w:i/>
        </w:rPr>
        <w:t xml:space="preserve">osservano i dati sui patrimoni </w:t>
      </w:r>
      <w:r w:rsidRPr="0008613C">
        <w:rPr>
          <w:rFonts w:asciiTheme="minorHAnsi" w:hAnsiTheme="minorHAnsi"/>
          <w:i/>
        </w:rPr>
        <w:t xml:space="preserve">immobiliari e finanziari. Il 30% della ricchezza complessiva è </w:t>
      </w:r>
      <w:r w:rsidR="00DD61CF" w:rsidRPr="0008613C">
        <w:rPr>
          <w:rFonts w:asciiTheme="minorHAnsi" w:hAnsiTheme="minorHAnsi"/>
          <w:i/>
        </w:rPr>
        <w:t xml:space="preserve">qui </w:t>
      </w:r>
      <w:r w:rsidRPr="0008613C">
        <w:rPr>
          <w:rFonts w:asciiTheme="minorHAnsi" w:hAnsiTheme="minorHAnsi"/>
          <w:i/>
        </w:rPr>
        <w:t>nelle mani del 5% delle famiglie più ricche</w:t>
      </w:r>
      <w:r w:rsidR="008A182E" w:rsidRPr="0008613C">
        <w:rPr>
          <w:rFonts w:asciiTheme="minorHAnsi" w:hAnsiTheme="minorHAnsi"/>
          <w:i/>
        </w:rPr>
        <w:t>,</w:t>
      </w:r>
      <w:r w:rsidRPr="0008613C">
        <w:rPr>
          <w:rFonts w:asciiTheme="minorHAnsi" w:hAnsiTheme="minorHAnsi"/>
          <w:i/>
        </w:rPr>
        <w:t xml:space="preserve"> con un patrimonio medio di 1 milione e 300mila euro, mentre al 30% delle famiglie più povere spetta</w:t>
      </w:r>
      <w:r w:rsidR="00DD61CF" w:rsidRPr="0008613C">
        <w:rPr>
          <w:rFonts w:asciiTheme="minorHAnsi" w:hAnsiTheme="minorHAnsi"/>
          <w:i/>
        </w:rPr>
        <w:t xml:space="preserve"> solo</w:t>
      </w:r>
      <w:r w:rsidRPr="0008613C">
        <w:rPr>
          <w:rFonts w:asciiTheme="minorHAnsi" w:hAnsiTheme="minorHAnsi"/>
          <w:i/>
        </w:rPr>
        <w:t xml:space="preserve"> l’1% della ricchezz</w:t>
      </w:r>
      <w:r w:rsidR="008A182E" w:rsidRPr="0008613C">
        <w:rPr>
          <w:rFonts w:asciiTheme="minorHAnsi" w:hAnsiTheme="minorHAnsi"/>
          <w:i/>
        </w:rPr>
        <w:t>a</w:t>
      </w:r>
      <w:r w:rsidR="00DD61CF" w:rsidRPr="0008613C">
        <w:rPr>
          <w:rFonts w:asciiTheme="minorHAnsi" w:hAnsiTheme="minorHAnsi"/>
          <w:i/>
        </w:rPr>
        <w:t xml:space="preserve"> totale</w:t>
      </w:r>
      <w:r w:rsidR="008A182E" w:rsidRPr="0008613C">
        <w:rPr>
          <w:rFonts w:asciiTheme="minorHAnsi" w:hAnsiTheme="minorHAnsi"/>
          <w:i/>
        </w:rPr>
        <w:t xml:space="preserve">. Non a caso, l’indice di </w:t>
      </w:r>
      <w:proofErr w:type="spellStart"/>
      <w:r w:rsidR="008A182E" w:rsidRPr="0008613C">
        <w:rPr>
          <w:rFonts w:asciiTheme="minorHAnsi" w:hAnsiTheme="minorHAnsi"/>
          <w:i/>
        </w:rPr>
        <w:t>Gini</w:t>
      </w:r>
      <w:proofErr w:type="spellEnd"/>
      <w:r w:rsidR="008A182E" w:rsidRPr="0008613C">
        <w:rPr>
          <w:rFonts w:asciiTheme="minorHAnsi" w:hAnsiTheme="minorHAnsi"/>
          <w:i/>
        </w:rPr>
        <w:t xml:space="preserve"> – </w:t>
      </w:r>
      <w:r w:rsidRPr="0008613C">
        <w:rPr>
          <w:rFonts w:asciiTheme="minorHAnsi" w:hAnsiTheme="minorHAnsi"/>
          <w:i/>
        </w:rPr>
        <w:t xml:space="preserve">che va da 0 </w:t>
      </w:r>
      <w:r w:rsidR="008A182E" w:rsidRPr="0008613C">
        <w:rPr>
          <w:rFonts w:asciiTheme="minorHAnsi" w:hAnsiTheme="minorHAnsi"/>
          <w:i/>
        </w:rPr>
        <w:t xml:space="preserve">(completa eguaglianza) </w:t>
      </w:r>
      <w:r w:rsidRPr="0008613C">
        <w:rPr>
          <w:rFonts w:asciiTheme="minorHAnsi" w:hAnsiTheme="minorHAnsi"/>
          <w:i/>
        </w:rPr>
        <w:t xml:space="preserve">a 100 </w:t>
      </w:r>
      <w:r w:rsidR="008A182E" w:rsidRPr="0008613C">
        <w:rPr>
          <w:rFonts w:asciiTheme="minorHAnsi" w:hAnsiTheme="minorHAnsi"/>
          <w:i/>
        </w:rPr>
        <w:t>(</w:t>
      </w:r>
      <w:r w:rsidRPr="0008613C">
        <w:rPr>
          <w:rFonts w:asciiTheme="minorHAnsi" w:hAnsiTheme="minorHAnsi"/>
          <w:i/>
        </w:rPr>
        <w:t xml:space="preserve">massima diseguaglianza) </w:t>
      </w:r>
      <w:r w:rsidR="008A182E" w:rsidRPr="0008613C">
        <w:rPr>
          <w:rFonts w:asciiTheme="minorHAnsi" w:hAnsiTheme="minorHAnsi"/>
          <w:i/>
        </w:rPr>
        <w:t xml:space="preserve">– </w:t>
      </w:r>
      <w:r w:rsidR="00C8316B" w:rsidRPr="0008613C">
        <w:rPr>
          <w:rFonts w:asciiTheme="minorHAnsi" w:hAnsiTheme="minorHAnsi"/>
          <w:i/>
        </w:rPr>
        <w:t>calcolato sui redditi (</w:t>
      </w:r>
      <w:r w:rsidRPr="0008613C">
        <w:rPr>
          <w:rFonts w:asciiTheme="minorHAnsi" w:hAnsiTheme="minorHAnsi"/>
          <w:i/>
        </w:rPr>
        <w:t>32,9</w:t>
      </w:r>
      <w:r w:rsidR="00C8316B" w:rsidRPr="0008613C">
        <w:rPr>
          <w:rFonts w:asciiTheme="minorHAnsi" w:hAnsiTheme="minorHAnsi"/>
          <w:i/>
        </w:rPr>
        <w:t>)</w:t>
      </w:r>
      <w:r w:rsidRPr="0008613C">
        <w:rPr>
          <w:rFonts w:asciiTheme="minorHAnsi" w:hAnsiTheme="minorHAnsi"/>
          <w:i/>
        </w:rPr>
        <w:t xml:space="preserve"> è quasi la metà di qu</w:t>
      </w:r>
      <w:r w:rsidR="00C8316B" w:rsidRPr="0008613C">
        <w:rPr>
          <w:rFonts w:asciiTheme="minorHAnsi" w:hAnsiTheme="minorHAnsi"/>
          <w:i/>
        </w:rPr>
        <w:t>ello calcolato sulla ricchezza (</w:t>
      </w:r>
      <w:r w:rsidRPr="0008613C">
        <w:rPr>
          <w:rFonts w:asciiTheme="minorHAnsi" w:hAnsiTheme="minorHAnsi"/>
          <w:i/>
        </w:rPr>
        <w:t>61,3</w:t>
      </w:r>
      <w:r w:rsidR="00C8316B" w:rsidRPr="0008613C">
        <w:rPr>
          <w:rFonts w:asciiTheme="minorHAnsi" w:hAnsiTheme="minorHAnsi"/>
          <w:i/>
        </w:rPr>
        <w:t>)</w:t>
      </w:r>
      <w:r w:rsidR="00B86D34" w:rsidRPr="0008613C">
        <w:rPr>
          <w:rFonts w:asciiTheme="minorHAnsi" w:hAnsiTheme="minorHAnsi"/>
          <w:i/>
        </w:rPr>
        <w:t>.</w:t>
      </w:r>
    </w:p>
    <w:p w:rsidR="00DF09AF" w:rsidRDefault="00DF09AF" w:rsidP="00DF09AF">
      <w:pPr>
        <w:pStyle w:val="grafico"/>
        <w:spacing w:before="0" w:beforeAutospacing="0" w:after="0" w:afterAutospacing="0"/>
        <w:jc w:val="both"/>
        <w:rPr>
          <w:rFonts w:asciiTheme="minorHAnsi" w:hAnsiTheme="minorHAnsi"/>
          <w:i/>
        </w:rPr>
      </w:pPr>
    </w:p>
    <w:p w:rsidR="000B20E2" w:rsidRDefault="000B20E2" w:rsidP="00DF09AF">
      <w:pPr>
        <w:pStyle w:val="grafico"/>
        <w:spacing w:before="0" w:beforeAutospacing="0" w:after="0" w:afterAutospacing="0"/>
        <w:jc w:val="both"/>
        <w:rPr>
          <w:rFonts w:asciiTheme="minorHAnsi" w:hAnsiTheme="minorHAnsi"/>
          <w:i/>
        </w:rPr>
      </w:pPr>
    </w:p>
    <w:p w:rsidR="000B20E2" w:rsidRDefault="000B20E2" w:rsidP="00DF09AF">
      <w:pPr>
        <w:pStyle w:val="grafico"/>
        <w:spacing w:before="0" w:beforeAutospacing="0" w:after="0" w:afterAutospacing="0"/>
        <w:jc w:val="both"/>
        <w:rPr>
          <w:rFonts w:asciiTheme="minorHAnsi" w:hAnsiTheme="minorHAnsi"/>
          <w:i/>
        </w:rPr>
      </w:pPr>
    </w:p>
    <w:p w:rsidR="000D52F1" w:rsidRDefault="000D52F1" w:rsidP="00DF09AF">
      <w:pPr>
        <w:pStyle w:val="grafico"/>
        <w:spacing w:before="0" w:beforeAutospacing="0" w:after="0" w:afterAutospacing="0"/>
        <w:jc w:val="both"/>
        <w:rPr>
          <w:rFonts w:asciiTheme="minorHAnsi" w:hAnsiTheme="minorHAnsi"/>
          <w:i/>
        </w:rPr>
      </w:pPr>
    </w:p>
    <w:p w:rsidR="00DF09AF" w:rsidRDefault="00DF09AF" w:rsidP="00DF09AF">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DF09AF" w:rsidRPr="00DF09AF" w:rsidRDefault="00DF09AF" w:rsidP="00DF09AF">
      <w:pPr>
        <w:pBdr>
          <w:top w:val="single" w:sz="4" w:space="1" w:color="auto"/>
          <w:left w:val="single" w:sz="4" w:space="4" w:color="auto"/>
          <w:bottom w:val="single" w:sz="4" w:space="1" w:color="auto"/>
          <w:right w:val="single" w:sz="4" w:space="4" w:color="auto"/>
        </w:pBdr>
        <w:shd w:val="clear" w:color="auto" w:fill="FFC000"/>
        <w:spacing w:after="0" w:line="240" w:lineRule="auto"/>
        <w:rPr>
          <w:b/>
          <w:sz w:val="32"/>
        </w:rPr>
      </w:pPr>
      <w:r w:rsidRPr="00DF09AF">
        <w:rPr>
          <w:b/>
          <w:sz w:val="32"/>
        </w:rPr>
        <w:t>WELFARE E DIRITTI</w:t>
      </w:r>
    </w:p>
    <w:p w:rsidR="00DF09AF" w:rsidRPr="00DF09AF" w:rsidRDefault="00DF09AF" w:rsidP="00DF09AF">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DF09AF" w:rsidRPr="00DF09AF" w:rsidRDefault="00DF09AF" w:rsidP="00DF09AF">
      <w:pPr>
        <w:pStyle w:val="grafico"/>
        <w:spacing w:before="0" w:beforeAutospacing="0" w:after="0" w:afterAutospacing="0"/>
        <w:jc w:val="both"/>
        <w:rPr>
          <w:rFonts w:asciiTheme="minorHAnsi" w:hAnsiTheme="minorHAnsi"/>
          <w:i/>
        </w:rPr>
      </w:pPr>
    </w:p>
    <w:p w:rsidR="00DF09AF" w:rsidRDefault="00DF09AF" w:rsidP="00DF09AF">
      <w:pPr>
        <w:pStyle w:val="grafico"/>
        <w:spacing w:before="0" w:beforeAutospacing="0" w:after="0" w:afterAutospacing="0"/>
        <w:jc w:val="both"/>
        <w:rPr>
          <w:rFonts w:asciiTheme="minorHAnsi" w:hAnsiTheme="minorHAnsi"/>
          <w:i/>
        </w:rPr>
      </w:pPr>
    </w:p>
    <w:p w:rsidR="00DF09AF" w:rsidRPr="00A35E29" w:rsidRDefault="00A35E29" w:rsidP="00A35E29">
      <w:pPr>
        <w:pStyle w:val="Titolo1"/>
      </w:pPr>
      <w:r w:rsidRPr="00A35E29">
        <w:t>Il mantra dell’insostenibilità della spesa sociale…</w:t>
      </w:r>
    </w:p>
    <w:p w:rsidR="00A35E29" w:rsidRDefault="00A35E29" w:rsidP="00DF09AF">
      <w:pPr>
        <w:pStyle w:val="grafico"/>
        <w:spacing w:before="0" w:beforeAutospacing="0" w:after="0" w:afterAutospacing="0"/>
        <w:jc w:val="both"/>
        <w:rPr>
          <w:rFonts w:asciiTheme="minorHAnsi" w:hAnsiTheme="minorHAnsi"/>
          <w:i/>
        </w:rPr>
      </w:pPr>
    </w:p>
    <w:p w:rsidR="00A35E29" w:rsidRDefault="00A35E29" w:rsidP="00DF09AF">
      <w:pPr>
        <w:pStyle w:val="grafico"/>
        <w:spacing w:before="0" w:beforeAutospacing="0" w:after="0" w:afterAutospacing="0"/>
        <w:jc w:val="both"/>
        <w:rPr>
          <w:rFonts w:asciiTheme="minorHAnsi" w:hAnsiTheme="minorHAnsi"/>
          <w:i/>
        </w:rPr>
      </w:pPr>
    </w:p>
    <w:p w:rsidR="00DF09AF" w:rsidRPr="00DF09AF" w:rsidRDefault="00DF09AF" w:rsidP="00DF09AF">
      <w:pPr>
        <w:pStyle w:val="grafico"/>
        <w:spacing w:before="0" w:beforeAutospacing="0" w:after="0" w:afterAutospacing="0"/>
        <w:jc w:val="both"/>
        <w:rPr>
          <w:rFonts w:asciiTheme="minorHAnsi" w:hAnsiTheme="minorHAnsi"/>
          <w:i/>
        </w:rPr>
      </w:pPr>
      <w:r w:rsidRPr="00DF09AF">
        <w:rPr>
          <w:rFonts w:asciiTheme="minorHAnsi" w:hAnsiTheme="minorHAnsi"/>
          <w:i/>
        </w:rPr>
        <w:t>Il mantra secondo cui in Italia la spesa sociale è eccessiva – e di conseguenza non possiamo più permetterci di</w:t>
      </w:r>
      <w:r w:rsidR="006E2D49">
        <w:rPr>
          <w:rFonts w:asciiTheme="minorHAnsi" w:hAnsiTheme="minorHAnsi"/>
          <w:i/>
        </w:rPr>
        <w:t xml:space="preserve"> sostenere il costo del </w:t>
      </w:r>
      <w:r w:rsidR="005A240C">
        <w:rPr>
          <w:rFonts w:asciiTheme="minorHAnsi" w:hAnsiTheme="minorHAnsi"/>
          <w:i/>
        </w:rPr>
        <w:t xml:space="preserve">nostro sistema pubblico di </w:t>
      </w:r>
      <w:r w:rsidR="006E2D49">
        <w:rPr>
          <w:rFonts w:asciiTheme="minorHAnsi" w:hAnsiTheme="minorHAnsi"/>
          <w:i/>
        </w:rPr>
        <w:t>welfare</w:t>
      </w:r>
      <w:r w:rsidRPr="00DF09AF">
        <w:rPr>
          <w:rFonts w:asciiTheme="minorHAnsi" w:hAnsiTheme="minorHAnsi"/>
          <w:i/>
        </w:rPr>
        <w:t xml:space="preserve"> – andrebbe smentito con decisione, denunciandolo per ciò che è davvero: un potente e comodo alibi costruito e veicolato ad arte dai detrattori delle conquiste dello stato sociale e dai fautori delle privatizzazioni. Basta guardare a composizione e ammontare della spesa pubblica pro-capite nel 2015 per verificare che nel nostro paese si spende meno in protezione sociale che in paesi come Francia e Germania (per non parlare di Svezia e Regno Unito). Ovviamente, lo stesso vale per la presunta insostenibilità della spesa pensionistica: il dato sull’Italia (4.574 euro pro-capite) è sì superiore a quello tedesco (4.058), ma è inferiore a quello francese (4.798) e inglese (4.674). E non si deve poi dimenticare che la spesa per malattia in Italia (2.264 euro) è inferiore a quella di Francia, Germania e Regno Unito.</w:t>
      </w:r>
    </w:p>
    <w:p w:rsidR="00DF09AF" w:rsidRPr="00DF09AF" w:rsidRDefault="00DF09AF" w:rsidP="00DF09AF">
      <w:pPr>
        <w:pStyle w:val="grafico"/>
        <w:spacing w:before="0" w:beforeAutospacing="0" w:after="0" w:afterAutospacing="0"/>
        <w:jc w:val="both"/>
        <w:rPr>
          <w:rFonts w:asciiTheme="minorHAnsi" w:hAnsiTheme="minorHAnsi"/>
          <w:i/>
        </w:rPr>
      </w:pPr>
    </w:p>
    <w:p w:rsidR="00DF09AF" w:rsidRPr="00DF09AF" w:rsidRDefault="00DF09AF" w:rsidP="00DF09AF">
      <w:pPr>
        <w:pStyle w:val="grafico"/>
        <w:spacing w:before="0" w:beforeAutospacing="0" w:after="0" w:afterAutospacing="0"/>
        <w:jc w:val="both"/>
        <w:rPr>
          <w:rFonts w:asciiTheme="minorHAnsi" w:hAnsiTheme="minorHAnsi"/>
          <w:i/>
        </w:rPr>
      </w:pPr>
    </w:p>
    <w:p w:rsidR="00DF09AF" w:rsidRPr="00C47741" w:rsidRDefault="00DF09AF" w:rsidP="00A35E29">
      <w:pPr>
        <w:pStyle w:val="Titolo1"/>
      </w:pPr>
      <w:r w:rsidRPr="00C47741">
        <w:t>...</w:t>
      </w:r>
      <w:r w:rsidR="00A35E29" w:rsidRPr="00C47741">
        <w:t>e quello dell’insostenibilità della spesa sanitaria</w:t>
      </w:r>
    </w:p>
    <w:p w:rsidR="00DF09AF" w:rsidRPr="00C47741" w:rsidRDefault="00DF09AF" w:rsidP="009A1C42">
      <w:pPr>
        <w:pStyle w:val="grafico"/>
        <w:spacing w:before="0" w:beforeAutospacing="0" w:after="0" w:afterAutospacing="0"/>
        <w:jc w:val="both"/>
        <w:rPr>
          <w:rFonts w:asciiTheme="minorHAnsi" w:hAnsiTheme="minorHAnsi"/>
          <w:i/>
        </w:rPr>
      </w:pPr>
    </w:p>
    <w:p w:rsidR="00A72951" w:rsidRPr="00C47741" w:rsidRDefault="00A72951" w:rsidP="009A1C42">
      <w:pPr>
        <w:pStyle w:val="grafico"/>
        <w:spacing w:before="0" w:beforeAutospacing="0" w:after="0" w:afterAutospacing="0"/>
        <w:jc w:val="both"/>
        <w:rPr>
          <w:rFonts w:asciiTheme="minorHAnsi" w:hAnsiTheme="minorHAnsi"/>
          <w:i/>
        </w:rPr>
      </w:pPr>
    </w:p>
    <w:p w:rsidR="00A72951" w:rsidRPr="00C47741" w:rsidRDefault="00C47741" w:rsidP="00A72951">
      <w:pPr>
        <w:pStyle w:val="Standard"/>
        <w:jc w:val="both"/>
        <w:rPr>
          <w:i/>
        </w:rPr>
      </w:pPr>
      <w:r w:rsidRPr="00C47741">
        <w:rPr>
          <w:rFonts w:ascii="Calibri" w:hAnsi="Calibri"/>
          <w:i/>
        </w:rPr>
        <w:t>Proprio come per il mantra sull’insostenibilità del nostro welfare, è necessario smentire anche quello sull</w:t>
      </w:r>
      <w:r w:rsidR="00C70BF9">
        <w:rPr>
          <w:rFonts w:ascii="Calibri" w:hAnsi="Calibri"/>
          <w:i/>
        </w:rPr>
        <w:t xml:space="preserve">’insostenibilità della </w:t>
      </w:r>
      <w:r w:rsidR="005A240C">
        <w:rPr>
          <w:rFonts w:ascii="Calibri" w:hAnsi="Calibri"/>
          <w:i/>
        </w:rPr>
        <w:t xml:space="preserve">nostra </w:t>
      </w:r>
      <w:r w:rsidRPr="00C47741">
        <w:rPr>
          <w:rFonts w:ascii="Calibri" w:hAnsi="Calibri"/>
          <w:i/>
        </w:rPr>
        <w:t>spesa sanitaria pubblica:</w:t>
      </w:r>
      <w:r w:rsidR="00A72951" w:rsidRPr="00C47741">
        <w:rPr>
          <w:rFonts w:ascii="Calibri" w:hAnsi="Calibri"/>
          <w:i/>
        </w:rPr>
        <w:t xml:space="preserve"> dati O</w:t>
      </w:r>
      <w:r w:rsidRPr="00C47741">
        <w:rPr>
          <w:rFonts w:ascii="Calibri" w:hAnsi="Calibri"/>
          <w:i/>
        </w:rPr>
        <w:t>cse alla mano</w:t>
      </w:r>
      <w:r>
        <w:rPr>
          <w:rFonts w:ascii="Calibri" w:hAnsi="Calibri"/>
          <w:i/>
        </w:rPr>
        <w:t xml:space="preserve"> infatti</w:t>
      </w:r>
      <w:r w:rsidRPr="00C47741">
        <w:rPr>
          <w:rFonts w:ascii="Calibri" w:hAnsi="Calibri"/>
          <w:i/>
        </w:rPr>
        <w:t>, questa spesa</w:t>
      </w:r>
      <w:r w:rsidR="005A240C">
        <w:rPr>
          <w:rFonts w:ascii="Calibri" w:hAnsi="Calibri"/>
          <w:i/>
        </w:rPr>
        <w:t xml:space="preserve"> in Italia</w:t>
      </w:r>
      <w:r>
        <w:rPr>
          <w:rFonts w:ascii="Calibri" w:hAnsi="Calibri"/>
          <w:i/>
        </w:rPr>
        <w:t xml:space="preserve"> (</w:t>
      </w:r>
      <w:r w:rsidR="00A72951" w:rsidRPr="00C47741">
        <w:rPr>
          <w:rFonts w:ascii="Calibri" w:hAnsi="Calibri"/>
          <w:i/>
        </w:rPr>
        <w:t>pari a poco più di 2.500 dollari per abitante nel 2016</w:t>
      </w:r>
      <w:r>
        <w:rPr>
          <w:rFonts w:ascii="Calibri" w:hAnsi="Calibri"/>
          <w:i/>
        </w:rPr>
        <w:t>)</w:t>
      </w:r>
      <w:r w:rsidR="00A72951" w:rsidRPr="00C47741">
        <w:rPr>
          <w:rFonts w:ascii="Calibri" w:hAnsi="Calibri"/>
          <w:i/>
        </w:rPr>
        <w:t xml:space="preserve"> non </w:t>
      </w:r>
      <w:r w:rsidRPr="00C47741">
        <w:rPr>
          <w:rFonts w:ascii="Calibri" w:hAnsi="Calibri"/>
          <w:i/>
        </w:rPr>
        <w:t>appare</w:t>
      </w:r>
      <w:r w:rsidR="00A72951" w:rsidRPr="00C47741">
        <w:rPr>
          <w:rFonts w:ascii="Calibri" w:hAnsi="Calibri"/>
          <w:i/>
        </w:rPr>
        <w:t xml:space="preserve"> </w:t>
      </w:r>
      <w:r w:rsidR="005A240C">
        <w:rPr>
          <w:rFonts w:ascii="Calibri" w:hAnsi="Calibri"/>
          <w:i/>
        </w:rPr>
        <w:t xml:space="preserve">così </w:t>
      </w:r>
      <w:r w:rsidR="00A72951" w:rsidRPr="00C47741">
        <w:rPr>
          <w:rFonts w:ascii="Calibri" w:hAnsi="Calibri"/>
          <w:i/>
        </w:rPr>
        <w:t>alta se confrontata con quella di altri paesi europe</w:t>
      </w:r>
      <w:r w:rsidR="00C70BF9">
        <w:rPr>
          <w:rFonts w:ascii="Calibri" w:hAnsi="Calibri"/>
          <w:i/>
        </w:rPr>
        <w:t xml:space="preserve">i come Francia (3.626 dollari), </w:t>
      </w:r>
      <w:r w:rsidR="00A72951" w:rsidRPr="00C47741">
        <w:rPr>
          <w:rFonts w:ascii="Calibri" w:hAnsi="Calibri"/>
          <w:i/>
        </w:rPr>
        <w:t>Germania (4.694)</w:t>
      </w:r>
      <w:r>
        <w:rPr>
          <w:rFonts w:ascii="Calibri" w:hAnsi="Calibri"/>
          <w:i/>
        </w:rPr>
        <w:t>, Irlanda (3.878), Regno Unito (3.320)</w:t>
      </w:r>
      <w:r w:rsidR="00A72951" w:rsidRPr="00C47741">
        <w:rPr>
          <w:rFonts w:ascii="Calibri" w:hAnsi="Calibri"/>
          <w:i/>
        </w:rPr>
        <w:t xml:space="preserve">. </w:t>
      </w:r>
      <w:r w:rsidRPr="00C47741">
        <w:rPr>
          <w:rFonts w:ascii="Calibri" w:hAnsi="Calibri"/>
          <w:i/>
        </w:rPr>
        <w:t>Anche in questo caso, quindi, a</w:t>
      </w:r>
      <w:r w:rsidR="00A72951" w:rsidRPr="00C47741">
        <w:rPr>
          <w:rFonts w:ascii="Calibri" w:hAnsi="Calibri"/>
          <w:i/>
        </w:rPr>
        <w:t xml:space="preserve">nni e anni di insistenza da parte di politici, opinionisti ed “esperti” </w:t>
      </w:r>
      <w:r w:rsidRPr="00C47741">
        <w:rPr>
          <w:rFonts w:ascii="Calibri" w:hAnsi="Calibri"/>
          <w:i/>
        </w:rPr>
        <w:t>sull’eccesso di spesa in sanità hanno spianato la strada</w:t>
      </w:r>
      <w:r w:rsidR="00A72951" w:rsidRPr="00C47741">
        <w:rPr>
          <w:rFonts w:ascii="Calibri" w:hAnsi="Calibri"/>
          <w:i/>
        </w:rPr>
        <w:t xml:space="preserve"> ai continui tagli nel finanziamento dei servizi pubblici </w:t>
      </w:r>
      <w:r w:rsidRPr="00C47741">
        <w:rPr>
          <w:rFonts w:ascii="Calibri" w:hAnsi="Calibri"/>
          <w:i/>
        </w:rPr>
        <w:t>sanitari e alla loro privatizzazione</w:t>
      </w:r>
      <w:r>
        <w:rPr>
          <w:rFonts w:ascii="Calibri" w:hAnsi="Calibri"/>
          <w:i/>
        </w:rPr>
        <w:t>.</w:t>
      </w:r>
    </w:p>
    <w:p w:rsidR="00A72951" w:rsidRPr="003144F7" w:rsidRDefault="00A72951" w:rsidP="00A72951">
      <w:pPr>
        <w:pStyle w:val="Standard"/>
        <w:jc w:val="both"/>
        <w:rPr>
          <w:rFonts w:ascii="Calibri" w:hAnsi="Calibri"/>
        </w:rPr>
      </w:pPr>
    </w:p>
    <w:p w:rsidR="00A72951" w:rsidRPr="003144F7" w:rsidRDefault="00A72951" w:rsidP="00A72951">
      <w:pPr>
        <w:pStyle w:val="Standard"/>
        <w:jc w:val="both"/>
        <w:rPr>
          <w:rFonts w:ascii="Calibri" w:hAnsi="Calibri"/>
        </w:rPr>
      </w:pPr>
    </w:p>
    <w:p w:rsidR="00DF09AF" w:rsidRPr="00E57770" w:rsidRDefault="00C47741" w:rsidP="00E57770">
      <w:pPr>
        <w:pStyle w:val="Titolo1"/>
      </w:pPr>
      <w:r>
        <w:t>L’aumento</w:t>
      </w:r>
      <w:r w:rsidR="009C2034">
        <w:t xml:space="preserve"> esponenziale </w:t>
      </w:r>
      <w:r>
        <w:t>del</w:t>
      </w:r>
      <w:r w:rsidR="003677AD">
        <w:t>la povertà</w:t>
      </w:r>
    </w:p>
    <w:p w:rsidR="00E57770" w:rsidRDefault="00E57770" w:rsidP="009A1C42">
      <w:pPr>
        <w:pStyle w:val="grafico"/>
        <w:spacing w:before="0" w:beforeAutospacing="0" w:after="0" w:afterAutospacing="0"/>
        <w:jc w:val="both"/>
        <w:rPr>
          <w:rFonts w:asciiTheme="minorHAnsi" w:hAnsiTheme="minorHAnsi"/>
          <w:i/>
        </w:rPr>
      </w:pPr>
    </w:p>
    <w:p w:rsidR="005362C5" w:rsidRDefault="005362C5" w:rsidP="009A1C42">
      <w:pPr>
        <w:pStyle w:val="grafico"/>
        <w:spacing w:before="0" w:beforeAutospacing="0" w:after="0" w:afterAutospacing="0"/>
        <w:jc w:val="both"/>
        <w:rPr>
          <w:rFonts w:asciiTheme="minorHAnsi" w:hAnsiTheme="minorHAnsi"/>
          <w:i/>
        </w:rPr>
      </w:pPr>
    </w:p>
    <w:p w:rsidR="00A35E29" w:rsidRDefault="00D76D8B" w:rsidP="009A1C42">
      <w:pPr>
        <w:pStyle w:val="grafico"/>
        <w:spacing w:before="0" w:beforeAutospacing="0" w:after="0" w:afterAutospacing="0"/>
        <w:jc w:val="both"/>
        <w:rPr>
          <w:rFonts w:asciiTheme="minorHAnsi" w:hAnsiTheme="minorHAnsi"/>
          <w:i/>
        </w:rPr>
      </w:pPr>
      <w:r>
        <w:rPr>
          <w:rFonts w:asciiTheme="minorHAnsi" w:hAnsiTheme="minorHAnsi"/>
          <w:i/>
        </w:rPr>
        <w:t>L’Istat considera</w:t>
      </w:r>
      <w:r w:rsidR="009A1C42" w:rsidRPr="0091462E">
        <w:rPr>
          <w:rFonts w:asciiTheme="minorHAnsi" w:hAnsiTheme="minorHAnsi"/>
          <w:i/>
        </w:rPr>
        <w:t xml:space="preserve"> in </w:t>
      </w:r>
      <w:r>
        <w:rPr>
          <w:rFonts w:asciiTheme="minorHAnsi" w:hAnsiTheme="minorHAnsi"/>
          <w:i/>
        </w:rPr>
        <w:t xml:space="preserve">condizioni di </w:t>
      </w:r>
      <w:r w:rsidR="009A1C42" w:rsidRPr="0091462E">
        <w:rPr>
          <w:rFonts w:asciiTheme="minorHAnsi" w:hAnsiTheme="minorHAnsi"/>
          <w:i/>
        </w:rPr>
        <w:t>povertà assoluta le persone con una spesa mensile pari o inferiore a quella minima necessaria per acquisire un pani</w:t>
      </w:r>
      <w:r w:rsidR="000E7B94">
        <w:rPr>
          <w:rFonts w:asciiTheme="minorHAnsi" w:hAnsiTheme="minorHAnsi"/>
          <w:i/>
        </w:rPr>
        <w:t>ere di beni e servizi essenziali</w:t>
      </w:r>
      <w:r w:rsidR="009A1C42" w:rsidRPr="0091462E">
        <w:rPr>
          <w:rFonts w:asciiTheme="minorHAnsi" w:hAnsiTheme="minorHAnsi"/>
          <w:i/>
        </w:rPr>
        <w:t xml:space="preserve"> a uno standard </w:t>
      </w:r>
      <w:r w:rsidR="00186B6B">
        <w:rPr>
          <w:rFonts w:asciiTheme="minorHAnsi" w:hAnsiTheme="minorHAnsi"/>
          <w:i/>
        </w:rPr>
        <w:t xml:space="preserve">di vita minimamente accettabile. </w:t>
      </w:r>
      <w:r w:rsidR="009A1C42" w:rsidRPr="0091462E">
        <w:rPr>
          <w:rFonts w:asciiTheme="minorHAnsi" w:hAnsiTheme="minorHAnsi"/>
          <w:i/>
        </w:rPr>
        <w:t>Sono invece in condizioni di povertà relativa le persone con una spesa per consumi pari o in</w:t>
      </w:r>
      <w:r>
        <w:rPr>
          <w:rFonts w:asciiTheme="minorHAnsi" w:hAnsiTheme="minorHAnsi"/>
          <w:i/>
        </w:rPr>
        <w:t>feriore alla linea di povertà, che</w:t>
      </w:r>
      <w:r w:rsidR="009A1C42" w:rsidRPr="0091462E">
        <w:rPr>
          <w:rFonts w:asciiTheme="minorHAnsi" w:hAnsiTheme="minorHAnsi"/>
          <w:i/>
        </w:rPr>
        <w:t xml:space="preserve"> per una famiglia di due componenti è pari alla </w:t>
      </w:r>
      <w:r>
        <w:rPr>
          <w:rFonts w:asciiTheme="minorHAnsi" w:hAnsiTheme="minorHAnsi"/>
          <w:i/>
        </w:rPr>
        <w:t>spesa pro-capite (</w:t>
      </w:r>
      <w:r w:rsidR="00E57C19">
        <w:rPr>
          <w:rFonts w:asciiTheme="minorHAnsi" w:hAnsiTheme="minorHAnsi"/>
          <w:i/>
        </w:rPr>
        <w:t xml:space="preserve">spesa che </w:t>
      </w:r>
      <w:r w:rsidR="009A1C42" w:rsidRPr="0091462E">
        <w:rPr>
          <w:rFonts w:asciiTheme="minorHAnsi" w:hAnsiTheme="minorHAnsi"/>
          <w:i/>
        </w:rPr>
        <w:t>si ottiene dividendo la spesa totale per consumi delle famiglie per i</w:t>
      </w:r>
      <w:r w:rsidR="005A240C">
        <w:rPr>
          <w:rFonts w:asciiTheme="minorHAnsi" w:hAnsiTheme="minorHAnsi"/>
          <w:i/>
        </w:rPr>
        <w:t>l numero totale dei componenti): n</w:t>
      </w:r>
      <w:r w:rsidR="009A1C42" w:rsidRPr="0091462E">
        <w:rPr>
          <w:rFonts w:asciiTheme="minorHAnsi" w:hAnsiTheme="minorHAnsi"/>
          <w:i/>
        </w:rPr>
        <w:t>el 2016 questa spesa è risultata</w:t>
      </w:r>
      <w:r w:rsidR="005A240C">
        <w:rPr>
          <w:rFonts w:asciiTheme="minorHAnsi" w:hAnsiTheme="minorHAnsi"/>
          <w:i/>
        </w:rPr>
        <w:t xml:space="preserve"> di valore</w:t>
      </w:r>
      <w:r>
        <w:rPr>
          <w:rFonts w:asciiTheme="minorHAnsi" w:hAnsiTheme="minorHAnsi"/>
          <w:i/>
        </w:rPr>
        <w:t xml:space="preserve"> pari a 1.061,5</w:t>
      </w:r>
      <w:r w:rsidR="00186B6B">
        <w:rPr>
          <w:rFonts w:asciiTheme="minorHAnsi" w:hAnsiTheme="minorHAnsi"/>
          <w:i/>
        </w:rPr>
        <w:t xml:space="preserve"> euro mensili</w:t>
      </w:r>
      <w:r w:rsidR="009A1C42" w:rsidRPr="0091462E">
        <w:rPr>
          <w:rFonts w:asciiTheme="minorHAnsi" w:hAnsiTheme="minorHAnsi"/>
          <w:i/>
        </w:rPr>
        <w:t>.</w:t>
      </w:r>
      <w:r w:rsidR="00353711">
        <w:rPr>
          <w:rFonts w:asciiTheme="minorHAnsi" w:hAnsiTheme="minorHAnsi"/>
          <w:i/>
        </w:rPr>
        <w:t xml:space="preserve"> </w:t>
      </w:r>
      <w:r w:rsidR="009A1C42" w:rsidRPr="0091462E">
        <w:rPr>
          <w:rFonts w:asciiTheme="minorHAnsi" w:hAnsiTheme="minorHAnsi"/>
          <w:i/>
        </w:rPr>
        <w:t>La povertà assoluta indi</w:t>
      </w:r>
      <w:r w:rsidR="00353711">
        <w:rPr>
          <w:rFonts w:asciiTheme="minorHAnsi" w:hAnsiTheme="minorHAnsi"/>
          <w:i/>
        </w:rPr>
        <w:t>viduale, al</w:t>
      </w:r>
      <w:r w:rsidR="009A1C42" w:rsidRPr="0091462E">
        <w:rPr>
          <w:rFonts w:asciiTheme="minorHAnsi" w:hAnsiTheme="minorHAnsi"/>
          <w:i/>
        </w:rPr>
        <w:t xml:space="preserve"> 3,1%</w:t>
      </w:r>
      <w:r w:rsidR="00353711">
        <w:rPr>
          <w:rFonts w:asciiTheme="minorHAnsi" w:hAnsiTheme="minorHAnsi"/>
          <w:i/>
        </w:rPr>
        <w:t xml:space="preserve"> nel 2007</w:t>
      </w:r>
      <w:r w:rsidR="009A1C42" w:rsidRPr="0091462E">
        <w:rPr>
          <w:rFonts w:asciiTheme="minorHAnsi" w:hAnsiTheme="minorHAnsi"/>
          <w:i/>
        </w:rPr>
        <w:t xml:space="preserve">, </w:t>
      </w:r>
      <w:r w:rsidR="00D45ED5">
        <w:rPr>
          <w:rFonts w:asciiTheme="minorHAnsi" w:hAnsiTheme="minorHAnsi"/>
          <w:i/>
        </w:rPr>
        <w:t xml:space="preserve">è più </w:t>
      </w:r>
      <w:r w:rsidR="00353711">
        <w:rPr>
          <w:rFonts w:asciiTheme="minorHAnsi" w:hAnsiTheme="minorHAnsi"/>
          <w:i/>
        </w:rPr>
        <w:t>che raddoppiata</w:t>
      </w:r>
      <w:r w:rsidR="00CC7A00">
        <w:rPr>
          <w:rFonts w:asciiTheme="minorHAnsi" w:hAnsiTheme="minorHAnsi"/>
          <w:i/>
        </w:rPr>
        <w:t xml:space="preserve"> nel 2016</w:t>
      </w:r>
      <w:r w:rsidR="00353711">
        <w:rPr>
          <w:rFonts w:asciiTheme="minorHAnsi" w:hAnsiTheme="minorHAnsi"/>
          <w:i/>
        </w:rPr>
        <w:t xml:space="preserve"> </w:t>
      </w:r>
      <w:r w:rsidR="00CC7A00">
        <w:rPr>
          <w:rFonts w:asciiTheme="minorHAnsi" w:hAnsiTheme="minorHAnsi"/>
          <w:i/>
        </w:rPr>
        <w:t>raggiungendo</w:t>
      </w:r>
      <w:r w:rsidR="00353711">
        <w:rPr>
          <w:rFonts w:asciiTheme="minorHAnsi" w:hAnsiTheme="minorHAnsi"/>
          <w:i/>
        </w:rPr>
        <w:t xml:space="preserve"> il </w:t>
      </w:r>
      <w:r w:rsidR="00D45ED5">
        <w:rPr>
          <w:rFonts w:asciiTheme="minorHAnsi" w:hAnsiTheme="minorHAnsi"/>
          <w:i/>
        </w:rPr>
        <w:t>7,9%</w:t>
      </w:r>
      <w:r w:rsidR="00353711">
        <w:rPr>
          <w:rFonts w:asciiTheme="minorHAnsi" w:hAnsiTheme="minorHAnsi"/>
          <w:i/>
        </w:rPr>
        <w:t xml:space="preserve"> (</w:t>
      </w:r>
      <w:r w:rsidR="00CC7A00">
        <w:rPr>
          <w:rFonts w:asciiTheme="minorHAnsi" w:hAnsiTheme="minorHAnsi"/>
          <w:i/>
        </w:rPr>
        <w:t xml:space="preserve">un fenomeno che tocca </w:t>
      </w:r>
      <w:r w:rsidR="00353711">
        <w:rPr>
          <w:rFonts w:asciiTheme="minorHAnsi" w:hAnsiTheme="minorHAnsi"/>
          <w:i/>
        </w:rPr>
        <w:t xml:space="preserve">oltre </w:t>
      </w:r>
      <w:r w:rsidR="005A240C">
        <w:rPr>
          <w:rFonts w:asciiTheme="minorHAnsi" w:hAnsiTheme="minorHAnsi"/>
          <w:i/>
        </w:rPr>
        <w:t>un milione e mezzo</w:t>
      </w:r>
      <w:r w:rsidR="00353711">
        <w:rPr>
          <w:rFonts w:asciiTheme="minorHAnsi" w:hAnsiTheme="minorHAnsi"/>
          <w:i/>
        </w:rPr>
        <w:t xml:space="preserve"> di famiglie)</w:t>
      </w:r>
      <w:r w:rsidR="00D45ED5">
        <w:rPr>
          <w:rFonts w:asciiTheme="minorHAnsi" w:hAnsiTheme="minorHAnsi"/>
          <w:i/>
        </w:rPr>
        <w:t xml:space="preserve">. </w:t>
      </w:r>
      <w:r w:rsidR="006C6BBF">
        <w:rPr>
          <w:rFonts w:asciiTheme="minorHAnsi" w:hAnsiTheme="minorHAnsi"/>
          <w:i/>
        </w:rPr>
        <w:t>La povertà</w:t>
      </w:r>
      <w:r w:rsidR="009A1C42" w:rsidRPr="0091462E">
        <w:rPr>
          <w:rFonts w:asciiTheme="minorHAnsi" w:hAnsiTheme="minorHAnsi"/>
          <w:i/>
        </w:rPr>
        <w:t xml:space="preserve"> relativa </w:t>
      </w:r>
      <w:r w:rsidR="00353711">
        <w:rPr>
          <w:rFonts w:asciiTheme="minorHAnsi" w:hAnsiTheme="minorHAnsi"/>
          <w:i/>
        </w:rPr>
        <w:t>aumenta invece nello stesso arco di tempo</w:t>
      </w:r>
      <w:r w:rsidR="009A1C42" w:rsidRPr="0091462E">
        <w:rPr>
          <w:rFonts w:asciiTheme="minorHAnsi" w:hAnsiTheme="minorHAnsi"/>
          <w:i/>
        </w:rPr>
        <w:t xml:space="preserve"> </w:t>
      </w:r>
      <w:r w:rsidR="00353711">
        <w:rPr>
          <w:rFonts w:asciiTheme="minorHAnsi" w:hAnsiTheme="minorHAnsi"/>
          <w:i/>
        </w:rPr>
        <w:t>d</w:t>
      </w:r>
      <w:r w:rsidR="009A1C42" w:rsidRPr="0091462E">
        <w:rPr>
          <w:rFonts w:asciiTheme="minorHAnsi" w:hAnsiTheme="minorHAnsi"/>
          <w:i/>
        </w:rPr>
        <w:t>al 10,5 al 14</w:t>
      </w:r>
      <w:r w:rsidR="00353711">
        <w:rPr>
          <w:rFonts w:asciiTheme="minorHAnsi" w:hAnsiTheme="minorHAnsi"/>
          <w:i/>
        </w:rPr>
        <w:t>% (</w:t>
      </w:r>
      <w:r w:rsidR="003979E9">
        <w:rPr>
          <w:rFonts w:asciiTheme="minorHAnsi" w:hAnsiTheme="minorHAnsi"/>
          <w:i/>
        </w:rPr>
        <w:t xml:space="preserve">con </w:t>
      </w:r>
      <w:r w:rsidR="00353711">
        <w:rPr>
          <w:rFonts w:asciiTheme="minorHAnsi" w:hAnsiTheme="minorHAnsi"/>
          <w:i/>
        </w:rPr>
        <w:t>circa 2,7 milioni di famiglie</w:t>
      </w:r>
      <w:r w:rsidR="00CC7A00">
        <w:rPr>
          <w:rFonts w:asciiTheme="minorHAnsi" w:hAnsiTheme="minorHAnsi"/>
          <w:i/>
        </w:rPr>
        <w:t xml:space="preserve"> </w:t>
      </w:r>
      <w:r w:rsidR="00CC7A00">
        <w:rPr>
          <w:rFonts w:asciiTheme="minorHAnsi" w:hAnsiTheme="minorHAnsi"/>
          <w:i/>
        </w:rPr>
        <w:lastRenderedPageBreak/>
        <w:t>coinvolte</w:t>
      </w:r>
      <w:r w:rsidR="00353711">
        <w:rPr>
          <w:rFonts w:asciiTheme="minorHAnsi" w:hAnsiTheme="minorHAnsi"/>
          <w:i/>
        </w:rPr>
        <w:t>)</w:t>
      </w:r>
      <w:r w:rsidR="009A1C42" w:rsidRPr="0091462E">
        <w:rPr>
          <w:rFonts w:asciiTheme="minorHAnsi" w:hAnsiTheme="minorHAnsi"/>
          <w:i/>
        </w:rPr>
        <w:t>.</w:t>
      </w:r>
      <w:r w:rsidR="00CC7A00">
        <w:rPr>
          <w:rFonts w:asciiTheme="minorHAnsi" w:hAnsiTheme="minorHAnsi"/>
          <w:i/>
        </w:rPr>
        <w:t xml:space="preserve"> La crisi, insomma, ha prodotto effetti devastanti in termini di aumento della povertà in Italia. Di fronte alla gravità di questa situazione, il Rei – così come è pensato e (sotto)finanziato</w:t>
      </w:r>
      <w:r w:rsidR="003979E9">
        <w:rPr>
          <w:rFonts w:asciiTheme="minorHAnsi" w:hAnsiTheme="minorHAnsi"/>
          <w:i/>
        </w:rPr>
        <w:t xml:space="preserve"> </w:t>
      </w:r>
      <w:r w:rsidR="00CC7A00">
        <w:rPr>
          <w:rFonts w:asciiTheme="minorHAnsi" w:hAnsiTheme="minorHAnsi"/>
          <w:i/>
        </w:rPr>
        <w:t>– non basta: occorrono misure ben più ambiziose e strutturali di sostegno al reddito.</w:t>
      </w:r>
    </w:p>
    <w:p w:rsidR="009A1C42" w:rsidRDefault="009A1C42" w:rsidP="009A1C42">
      <w:pPr>
        <w:pStyle w:val="grafico"/>
        <w:spacing w:before="0" w:beforeAutospacing="0" w:after="0" w:afterAutospacing="0"/>
        <w:jc w:val="both"/>
        <w:rPr>
          <w:rFonts w:asciiTheme="minorHAnsi" w:hAnsiTheme="minorHAnsi"/>
          <w:i/>
        </w:rPr>
      </w:pPr>
    </w:p>
    <w:p w:rsidR="00A35E29" w:rsidRPr="00DF09AF" w:rsidRDefault="00A35E29" w:rsidP="009A1C42">
      <w:pPr>
        <w:pStyle w:val="grafico"/>
        <w:spacing w:before="0" w:beforeAutospacing="0" w:after="0" w:afterAutospacing="0"/>
        <w:jc w:val="both"/>
        <w:rPr>
          <w:rFonts w:asciiTheme="minorHAnsi" w:hAnsiTheme="minorHAnsi"/>
          <w:i/>
        </w:rPr>
      </w:pPr>
    </w:p>
    <w:p w:rsidR="00A72951" w:rsidRPr="00C47741" w:rsidRDefault="00C47741" w:rsidP="00A72951">
      <w:pPr>
        <w:pStyle w:val="Titolo1"/>
      </w:pPr>
      <w:r w:rsidRPr="00C47741">
        <w:t>Pagano le donne</w:t>
      </w:r>
      <w:r w:rsidR="00A72951" w:rsidRPr="00C47741">
        <w:t xml:space="preserve">... </w:t>
      </w:r>
    </w:p>
    <w:p w:rsidR="00A72951" w:rsidRPr="00C47741" w:rsidRDefault="00A72951" w:rsidP="00A72951">
      <w:pPr>
        <w:pStyle w:val="grafico"/>
        <w:spacing w:before="0" w:beforeAutospacing="0" w:after="0" w:afterAutospacing="0"/>
        <w:jc w:val="both"/>
        <w:rPr>
          <w:rFonts w:ascii="Calibri" w:hAnsi="Calibri"/>
        </w:rPr>
      </w:pPr>
    </w:p>
    <w:p w:rsidR="00A72951" w:rsidRPr="00C47741" w:rsidRDefault="00A72951" w:rsidP="00A72951">
      <w:pPr>
        <w:pStyle w:val="grafico"/>
        <w:spacing w:before="0" w:beforeAutospacing="0" w:after="0" w:afterAutospacing="0"/>
        <w:jc w:val="both"/>
        <w:rPr>
          <w:rFonts w:ascii="Calibri" w:hAnsi="Calibri"/>
        </w:rPr>
      </w:pPr>
    </w:p>
    <w:p w:rsidR="00DF09AF" w:rsidRPr="00A72951" w:rsidRDefault="00A72951" w:rsidP="00A72951">
      <w:pPr>
        <w:pStyle w:val="grafico"/>
        <w:spacing w:before="0" w:beforeAutospacing="0" w:after="0" w:afterAutospacing="0"/>
        <w:jc w:val="both"/>
        <w:rPr>
          <w:rFonts w:ascii="Calibri" w:hAnsi="Calibri"/>
          <w:i/>
        </w:rPr>
      </w:pPr>
      <w:r w:rsidRPr="00C47741">
        <w:rPr>
          <w:rFonts w:ascii="Calibri" w:hAnsi="Calibri"/>
          <w:i/>
        </w:rPr>
        <w:t>Sul mercato del lavoro sono le donne a subire più pesantemente gli effetti della crisi economica. È quanto emerge dal dato sull’aumento della differenza retributiva tra uomini e donne</w:t>
      </w:r>
      <w:r w:rsidR="00E64BA2">
        <w:rPr>
          <w:rFonts w:ascii="Calibri" w:hAnsi="Calibri"/>
          <w:i/>
        </w:rPr>
        <w:t xml:space="preserve"> (</w:t>
      </w:r>
      <w:r w:rsidR="009C6BE4">
        <w:rPr>
          <w:rFonts w:ascii="Calibri" w:hAnsi="Calibri"/>
          <w:i/>
        </w:rPr>
        <w:t>nei settori industria, costruzioni e servizi</w:t>
      </w:r>
      <w:r w:rsidR="00E64BA2">
        <w:rPr>
          <w:rFonts w:ascii="Calibri" w:hAnsi="Calibri"/>
          <w:i/>
        </w:rPr>
        <w:t>)</w:t>
      </w:r>
      <w:r w:rsidRPr="00C47741">
        <w:rPr>
          <w:rFonts w:ascii="Calibri" w:hAnsi="Calibri"/>
          <w:i/>
        </w:rPr>
        <w:t xml:space="preserve">, che passa dal 4,9% al 5,5% tra il 2008 e 2015. Anche se l’Italia rimane uno dei paesi europei </w:t>
      </w:r>
      <w:r w:rsidR="004C0965">
        <w:rPr>
          <w:rFonts w:ascii="Calibri" w:hAnsi="Calibri"/>
          <w:i/>
        </w:rPr>
        <w:t xml:space="preserve">in cui </w:t>
      </w:r>
      <w:r w:rsidRPr="00C47741">
        <w:rPr>
          <w:rFonts w:ascii="Calibri" w:hAnsi="Calibri"/>
          <w:i/>
        </w:rPr>
        <w:t>la disparità tra quanto guadagnano gli uomini e quanto le donne</w:t>
      </w:r>
      <w:r w:rsidR="004C0965" w:rsidRPr="004C0965">
        <w:rPr>
          <w:rFonts w:ascii="Calibri" w:hAnsi="Calibri"/>
          <w:i/>
        </w:rPr>
        <w:t xml:space="preserve"> </w:t>
      </w:r>
      <w:r w:rsidR="004C0965">
        <w:rPr>
          <w:rFonts w:ascii="Calibri" w:hAnsi="Calibri"/>
          <w:i/>
        </w:rPr>
        <w:t>è tra le più contenute</w:t>
      </w:r>
      <w:r w:rsidRPr="00C47741">
        <w:rPr>
          <w:rFonts w:ascii="Calibri" w:hAnsi="Calibri"/>
          <w:i/>
        </w:rPr>
        <w:t>, è</w:t>
      </w:r>
      <w:r w:rsidR="004C0965">
        <w:rPr>
          <w:rFonts w:ascii="Calibri" w:hAnsi="Calibri"/>
          <w:i/>
        </w:rPr>
        <w:t xml:space="preserve"> comunque</w:t>
      </w:r>
      <w:r w:rsidRPr="00C47741">
        <w:rPr>
          <w:rFonts w:ascii="Calibri" w:hAnsi="Calibri"/>
          <w:i/>
        </w:rPr>
        <w:t xml:space="preserve"> evidente che il peso della crisi ricada più sulle seconde che sui primi. Ad eccezione del Portogallo (dove il differenziale è aumentato dal 9,2% del 2008 al 17,8% del 2016), il differenziale retributivo nella Ue a 28 tende a scendere (dal 17,3 al 16,4% la media europea), mentre in Italia tra il 2008 e il 2014 è cresciuto di 0,6 punti percen</w:t>
      </w:r>
      <w:r w:rsidR="00E32D94">
        <w:rPr>
          <w:rFonts w:ascii="Calibri" w:hAnsi="Calibri"/>
          <w:i/>
        </w:rPr>
        <w:t xml:space="preserve">tuali. Occorre dunque rimarcare </w:t>
      </w:r>
      <w:r w:rsidRPr="00C47741">
        <w:rPr>
          <w:rFonts w:ascii="Calibri" w:hAnsi="Calibri"/>
          <w:i/>
        </w:rPr>
        <w:t>che qualsiasi disparità di trattamento salariale tra uomini e donne è, ovunque, ingiustificata e ingiustificabile</w:t>
      </w:r>
      <w:r w:rsidR="00E138DD">
        <w:rPr>
          <w:rFonts w:ascii="Calibri" w:hAnsi="Calibri"/>
          <w:i/>
        </w:rPr>
        <w:t>.</w:t>
      </w:r>
    </w:p>
    <w:p w:rsidR="00A72951" w:rsidRDefault="00A72951" w:rsidP="00A72951">
      <w:pPr>
        <w:pStyle w:val="grafico"/>
        <w:spacing w:before="0" w:beforeAutospacing="0" w:after="0" w:afterAutospacing="0"/>
        <w:jc w:val="both"/>
        <w:rPr>
          <w:rFonts w:asciiTheme="minorHAnsi" w:hAnsiTheme="minorHAnsi"/>
          <w:i/>
        </w:rPr>
      </w:pPr>
    </w:p>
    <w:p w:rsidR="00A72951" w:rsidRPr="00DF09AF" w:rsidRDefault="00A72951" w:rsidP="00A72951">
      <w:pPr>
        <w:pStyle w:val="grafico"/>
        <w:spacing w:before="0" w:beforeAutospacing="0" w:after="0" w:afterAutospacing="0"/>
        <w:jc w:val="both"/>
        <w:rPr>
          <w:rFonts w:asciiTheme="minorHAnsi" w:hAnsiTheme="minorHAnsi"/>
          <w:i/>
        </w:rPr>
      </w:pPr>
    </w:p>
    <w:p w:rsidR="00DF09AF" w:rsidRPr="00A35E29" w:rsidRDefault="00DF09AF" w:rsidP="00A35E29">
      <w:pPr>
        <w:pStyle w:val="Titolo1"/>
      </w:pPr>
      <w:r w:rsidRPr="00A35E29">
        <w:t>Gente senza casa, case senza gente</w:t>
      </w:r>
    </w:p>
    <w:p w:rsidR="00A35E29" w:rsidRDefault="00A35E29" w:rsidP="00DF09AF">
      <w:pPr>
        <w:pStyle w:val="grafico"/>
        <w:spacing w:before="0" w:beforeAutospacing="0" w:after="0" w:afterAutospacing="0"/>
        <w:jc w:val="both"/>
        <w:rPr>
          <w:rFonts w:asciiTheme="minorHAnsi" w:hAnsiTheme="minorHAnsi"/>
          <w:i/>
        </w:rPr>
      </w:pPr>
    </w:p>
    <w:p w:rsidR="00A35E29" w:rsidRDefault="00A35E29" w:rsidP="00DF09AF">
      <w:pPr>
        <w:pStyle w:val="grafico"/>
        <w:spacing w:before="0" w:beforeAutospacing="0" w:after="0" w:afterAutospacing="0"/>
        <w:jc w:val="both"/>
        <w:rPr>
          <w:rFonts w:asciiTheme="minorHAnsi" w:hAnsiTheme="minorHAnsi"/>
          <w:i/>
        </w:rPr>
      </w:pPr>
    </w:p>
    <w:p w:rsidR="00DF09AF" w:rsidRDefault="00DF09AF" w:rsidP="00DF09AF">
      <w:pPr>
        <w:pStyle w:val="grafico"/>
        <w:spacing w:before="0" w:beforeAutospacing="0" w:after="0" w:afterAutospacing="0"/>
        <w:jc w:val="both"/>
        <w:rPr>
          <w:rFonts w:asciiTheme="minorHAnsi" w:hAnsiTheme="minorHAnsi"/>
          <w:i/>
        </w:rPr>
      </w:pPr>
      <w:r w:rsidRPr="00DF09AF">
        <w:rPr>
          <w:rFonts w:asciiTheme="minorHAnsi" w:hAnsiTheme="minorHAnsi"/>
          <w:i/>
        </w:rPr>
        <w:t xml:space="preserve">Se prima della crisi gli sfratti emessi in Italia erano circa 40mila ogni anno, nel 2014 sono stati più di 77mila, nel 2015 più di 64mila, nel 2016 oltre 61mila. Il numero delle richieste di esecuzione forzata, nel frattempo, è aumentato del 50%: un incremento dovuto sostanzialmente all’esplosione della morosità, che prima della crisi rappresentava il 65% del totale degli sfratti e che oggi tocca </w:t>
      </w:r>
      <w:r w:rsidR="00A20A6A">
        <w:rPr>
          <w:rFonts w:asciiTheme="minorHAnsi" w:hAnsiTheme="minorHAnsi"/>
          <w:i/>
        </w:rPr>
        <w:t>quota</w:t>
      </w:r>
      <w:r w:rsidRPr="00DF09AF">
        <w:rPr>
          <w:rFonts w:asciiTheme="minorHAnsi" w:hAnsiTheme="minorHAnsi"/>
          <w:i/>
        </w:rPr>
        <w:t xml:space="preserve"> 90%. Inoltre, sono circa 700mila le famiglie che, pur certificate dai comuni come utilmente collocate nelle graduatorie per ottenere una casa popolare, rimangono senza risposta. E sono 1 milione e 700mila quelle in condizione di disagio abitativo, che pagano cioè un affitto superiore al 30% del loro reddito complessivo. Un ultimo dato: la stima di alloggi vuoti e inutilizzati nel nostro paese è di circa 4 milioni. A fronte di numeri come questi, non c’è alcun intervento strategico per affrontare il nodo di f</w:t>
      </w:r>
      <w:r w:rsidR="003979E9">
        <w:rPr>
          <w:rFonts w:asciiTheme="minorHAnsi" w:hAnsiTheme="minorHAnsi"/>
          <w:i/>
        </w:rPr>
        <w:t xml:space="preserve">ondo della sofferenza abitativa. Infatti </w:t>
      </w:r>
      <w:r w:rsidRPr="00DF09AF">
        <w:rPr>
          <w:rFonts w:asciiTheme="minorHAnsi" w:hAnsiTheme="minorHAnsi"/>
          <w:i/>
        </w:rPr>
        <w:t>il Fondo sociale affitti per le famiglie in difficoltà è azzerato da due anni e non è rifinanziato, mentre il Fondo sociale per la morosità incolpevole è un vuoto simulacro: prendendo a base il numero di sentenze di sfratto per l’anno 2016, siamo a una media di contributo di 20 euro.</w:t>
      </w:r>
    </w:p>
    <w:p w:rsidR="00DF09AF" w:rsidRPr="0008613C" w:rsidRDefault="00DF09AF" w:rsidP="0096335F">
      <w:pPr>
        <w:pStyle w:val="grafico"/>
        <w:spacing w:before="0" w:beforeAutospacing="0" w:after="0" w:afterAutospacing="0"/>
        <w:jc w:val="both"/>
        <w:rPr>
          <w:rFonts w:asciiTheme="minorHAnsi" w:hAnsiTheme="minorHAnsi"/>
          <w:i/>
        </w:rPr>
      </w:pPr>
    </w:p>
    <w:p w:rsidR="00F9378A" w:rsidRDefault="00F9378A" w:rsidP="0096335F">
      <w:pPr>
        <w:pStyle w:val="grafico"/>
        <w:spacing w:before="0" w:beforeAutospacing="0" w:after="0" w:afterAutospacing="0"/>
        <w:jc w:val="both"/>
        <w:rPr>
          <w:rFonts w:asciiTheme="minorHAnsi" w:hAnsiTheme="minorHAnsi"/>
          <w:i/>
        </w:rPr>
      </w:pPr>
    </w:p>
    <w:p w:rsidR="00767C1C" w:rsidRDefault="00767C1C" w:rsidP="0096335F">
      <w:pPr>
        <w:pStyle w:val="grafico"/>
        <w:spacing w:before="0" w:beforeAutospacing="0" w:after="0" w:afterAutospacing="0"/>
        <w:jc w:val="both"/>
        <w:rPr>
          <w:rFonts w:asciiTheme="minorHAnsi" w:hAnsiTheme="minorHAnsi"/>
          <w:i/>
        </w:rPr>
      </w:pPr>
    </w:p>
    <w:p w:rsidR="00595B11" w:rsidRDefault="00595B11" w:rsidP="0096335F">
      <w:pPr>
        <w:pStyle w:val="grafico"/>
        <w:spacing w:before="0" w:beforeAutospacing="0" w:after="0" w:afterAutospacing="0"/>
        <w:jc w:val="both"/>
        <w:rPr>
          <w:rFonts w:asciiTheme="minorHAnsi" w:hAnsiTheme="minorHAnsi"/>
          <w:i/>
        </w:rPr>
      </w:pPr>
    </w:p>
    <w:p w:rsidR="00595B11" w:rsidRDefault="00595B11" w:rsidP="0096335F">
      <w:pPr>
        <w:pStyle w:val="grafico"/>
        <w:spacing w:before="0" w:beforeAutospacing="0" w:after="0" w:afterAutospacing="0"/>
        <w:jc w:val="both"/>
        <w:rPr>
          <w:rFonts w:asciiTheme="minorHAnsi" w:hAnsiTheme="minorHAnsi"/>
          <w:i/>
        </w:rPr>
      </w:pPr>
    </w:p>
    <w:p w:rsidR="00595B11" w:rsidRDefault="00595B11" w:rsidP="0096335F">
      <w:pPr>
        <w:pStyle w:val="grafico"/>
        <w:spacing w:before="0" w:beforeAutospacing="0" w:after="0" w:afterAutospacing="0"/>
        <w:jc w:val="both"/>
        <w:rPr>
          <w:rFonts w:asciiTheme="minorHAnsi" w:hAnsiTheme="minorHAnsi"/>
          <w:i/>
        </w:rPr>
      </w:pPr>
    </w:p>
    <w:p w:rsidR="00E23F73" w:rsidRDefault="00E23F73" w:rsidP="0096335F">
      <w:pPr>
        <w:pStyle w:val="grafico"/>
        <w:spacing w:before="0" w:beforeAutospacing="0" w:after="0" w:afterAutospacing="0"/>
        <w:jc w:val="both"/>
        <w:rPr>
          <w:rFonts w:asciiTheme="minorHAnsi" w:hAnsiTheme="minorHAnsi"/>
          <w:i/>
        </w:rPr>
      </w:pPr>
    </w:p>
    <w:p w:rsidR="00E23F73" w:rsidRDefault="00E23F73" w:rsidP="0096335F">
      <w:pPr>
        <w:pStyle w:val="grafico"/>
        <w:spacing w:before="0" w:beforeAutospacing="0" w:after="0" w:afterAutospacing="0"/>
        <w:jc w:val="both"/>
        <w:rPr>
          <w:rFonts w:asciiTheme="minorHAnsi" w:hAnsiTheme="minorHAnsi"/>
          <w:i/>
        </w:rPr>
      </w:pPr>
    </w:p>
    <w:p w:rsidR="00595B11" w:rsidRDefault="00595B11" w:rsidP="0096335F">
      <w:pPr>
        <w:pStyle w:val="grafico"/>
        <w:spacing w:before="0" w:beforeAutospacing="0" w:after="0" w:afterAutospacing="0"/>
        <w:jc w:val="both"/>
        <w:rPr>
          <w:rFonts w:asciiTheme="minorHAnsi" w:hAnsiTheme="minorHAnsi"/>
          <w:i/>
        </w:rPr>
      </w:pPr>
    </w:p>
    <w:p w:rsidR="003979E9" w:rsidRDefault="003979E9" w:rsidP="0096335F">
      <w:pPr>
        <w:pStyle w:val="grafico"/>
        <w:spacing w:before="0" w:beforeAutospacing="0" w:after="0" w:afterAutospacing="0"/>
        <w:jc w:val="both"/>
        <w:rPr>
          <w:rFonts w:asciiTheme="minorHAnsi" w:hAnsiTheme="minorHAnsi"/>
          <w:i/>
        </w:rPr>
      </w:pPr>
    </w:p>
    <w:p w:rsidR="0096335F" w:rsidRPr="00992830" w:rsidRDefault="0096335F" w:rsidP="0096335F">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96335F" w:rsidRDefault="0096335F" w:rsidP="0096335F">
      <w:pPr>
        <w:pBdr>
          <w:top w:val="single" w:sz="4" w:space="1" w:color="auto"/>
          <w:left w:val="single" w:sz="4" w:space="4" w:color="auto"/>
          <w:bottom w:val="single" w:sz="4" w:space="1" w:color="auto"/>
          <w:right w:val="single" w:sz="4" w:space="4" w:color="auto"/>
        </w:pBdr>
        <w:shd w:val="clear" w:color="auto" w:fill="FFC000"/>
        <w:spacing w:after="0" w:line="240" w:lineRule="auto"/>
        <w:rPr>
          <w:b/>
          <w:sz w:val="32"/>
        </w:rPr>
      </w:pPr>
      <w:r>
        <w:rPr>
          <w:b/>
          <w:sz w:val="32"/>
        </w:rPr>
        <w:t>CULTURA E CONOSCENZA</w:t>
      </w:r>
    </w:p>
    <w:p w:rsidR="0096335F" w:rsidRPr="00992830" w:rsidRDefault="0096335F" w:rsidP="0096335F">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96335F" w:rsidRDefault="0096335F" w:rsidP="00767C1C">
      <w:pPr>
        <w:pStyle w:val="grafico"/>
        <w:spacing w:before="0" w:beforeAutospacing="0" w:after="0" w:afterAutospacing="0"/>
        <w:jc w:val="both"/>
        <w:rPr>
          <w:rFonts w:asciiTheme="minorHAnsi" w:hAnsiTheme="minorHAnsi"/>
          <w:i/>
        </w:rPr>
      </w:pPr>
    </w:p>
    <w:p w:rsidR="00767C1C" w:rsidRDefault="00767C1C" w:rsidP="00767C1C">
      <w:pPr>
        <w:spacing w:after="0" w:line="240" w:lineRule="auto"/>
        <w:jc w:val="both"/>
        <w:rPr>
          <w:sz w:val="24"/>
          <w:szCs w:val="24"/>
        </w:rPr>
      </w:pPr>
    </w:p>
    <w:p w:rsidR="00767C1C" w:rsidRPr="00767C1C" w:rsidRDefault="00767C1C" w:rsidP="00767C1C">
      <w:pPr>
        <w:pStyle w:val="Titolo1"/>
      </w:pPr>
      <w:r>
        <w:t>Scelte miopi sull’istruzione e la formazione</w:t>
      </w:r>
    </w:p>
    <w:p w:rsidR="00767C1C" w:rsidRDefault="00767C1C" w:rsidP="00767C1C">
      <w:pPr>
        <w:spacing w:after="0" w:line="240" w:lineRule="auto"/>
        <w:jc w:val="both"/>
        <w:rPr>
          <w:sz w:val="24"/>
          <w:szCs w:val="24"/>
        </w:rPr>
      </w:pPr>
    </w:p>
    <w:p w:rsidR="00767C1C" w:rsidRDefault="00767C1C" w:rsidP="00767C1C">
      <w:pPr>
        <w:spacing w:after="0" w:line="240" w:lineRule="auto"/>
        <w:jc w:val="both"/>
        <w:rPr>
          <w:sz w:val="24"/>
          <w:szCs w:val="24"/>
        </w:rPr>
      </w:pPr>
    </w:p>
    <w:p w:rsidR="00767C1C" w:rsidRPr="00767C1C" w:rsidRDefault="00767C1C" w:rsidP="00767C1C">
      <w:pPr>
        <w:spacing w:after="0" w:line="240" w:lineRule="auto"/>
        <w:jc w:val="both"/>
        <w:rPr>
          <w:i/>
          <w:sz w:val="24"/>
          <w:szCs w:val="24"/>
        </w:rPr>
      </w:pPr>
      <w:r w:rsidRPr="00767C1C">
        <w:rPr>
          <w:i/>
          <w:sz w:val="24"/>
          <w:szCs w:val="24"/>
        </w:rPr>
        <w:t>Nel 2015 (ultimo dato disponibile) l’Italia ha destinato soltanto il 4% del proprio Pil all’istruzione e alla formazione, con una diminuzione di 0,1% rispetto al 2014 e di ben mezzo punto percentuale rispetto al 2007. Dopo più di un decennio di tagli a questi fondamentali capitoli di spesa, il risultato è scontato: ci troviamo molto al di sotto della media europea (4,9%), e spendiamo come la Bulgaria e meno di Grecia (4,3%), Regno Unito (5,1), Portogallo (6), Francia (5,5), Germania (4,2). Ma mentre in molti di questi paesi, proprio negli anni della crisi, si è scelto di destinare maggiori risorse alla formazione e all’istruzione, in Italia si è proceduto in direzione opposta. A dimostrazione del disinteresse nei confronti delle generazioni più giovani, e della grave miopia che una simile decisione comporta in termini di disinvestimento sul nostro futuro.</w:t>
      </w:r>
    </w:p>
    <w:p w:rsidR="00767C1C" w:rsidRDefault="00767C1C" w:rsidP="00767C1C">
      <w:pPr>
        <w:spacing w:after="0" w:line="240" w:lineRule="auto"/>
        <w:jc w:val="both"/>
        <w:rPr>
          <w:sz w:val="24"/>
          <w:szCs w:val="24"/>
        </w:rPr>
      </w:pPr>
    </w:p>
    <w:p w:rsidR="00767C1C" w:rsidRDefault="00767C1C" w:rsidP="00767C1C">
      <w:pPr>
        <w:spacing w:after="0" w:line="240" w:lineRule="auto"/>
        <w:jc w:val="both"/>
        <w:rPr>
          <w:sz w:val="24"/>
          <w:szCs w:val="24"/>
        </w:rPr>
      </w:pPr>
    </w:p>
    <w:p w:rsidR="00767C1C" w:rsidRPr="00767C1C" w:rsidRDefault="00937CD1" w:rsidP="006B3DF7">
      <w:pPr>
        <w:pStyle w:val="Titolo1"/>
      </w:pPr>
      <w:r>
        <w:t>Migliorarsi è d’obbligo</w:t>
      </w:r>
    </w:p>
    <w:p w:rsidR="006B3DF7" w:rsidRDefault="006B3DF7" w:rsidP="00767C1C">
      <w:pPr>
        <w:pStyle w:val="grafico"/>
        <w:spacing w:before="0" w:beforeAutospacing="0" w:after="0" w:afterAutospacing="0"/>
        <w:jc w:val="both"/>
        <w:rPr>
          <w:rFonts w:asciiTheme="minorHAnsi" w:hAnsiTheme="minorHAnsi"/>
          <w:i/>
        </w:rPr>
      </w:pPr>
    </w:p>
    <w:p w:rsidR="006B3DF7" w:rsidRDefault="006B3DF7" w:rsidP="00767C1C">
      <w:pPr>
        <w:pStyle w:val="grafico"/>
        <w:spacing w:before="0" w:beforeAutospacing="0" w:after="0" w:afterAutospacing="0"/>
        <w:jc w:val="both"/>
        <w:rPr>
          <w:rFonts w:asciiTheme="minorHAnsi" w:hAnsiTheme="minorHAnsi"/>
          <w:i/>
        </w:rPr>
      </w:pPr>
    </w:p>
    <w:p w:rsidR="00767C1C" w:rsidRPr="006B396D" w:rsidRDefault="00767C1C" w:rsidP="00767C1C">
      <w:pPr>
        <w:pStyle w:val="grafico"/>
        <w:spacing w:before="0" w:beforeAutospacing="0" w:after="0" w:afterAutospacing="0"/>
        <w:jc w:val="both"/>
        <w:rPr>
          <w:rFonts w:asciiTheme="minorHAnsi" w:hAnsiTheme="minorHAnsi"/>
          <w:i/>
        </w:rPr>
      </w:pPr>
      <w:r w:rsidRPr="006B396D">
        <w:rPr>
          <w:rFonts w:asciiTheme="minorHAnsi" w:hAnsiTheme="minorHAnsi"/>
          <w:i/>
        </w:rPr>
        <w:t>Quasi il 40% degli italiani di età compresa tra i 25 e i 64 anni ha un titolo di studio non superiore al diploma di scuola secondaria di primo grado, ovvero ha in tasca solta</w:t>
      </w:r>
      <w:r w:rsidR="00CC719E">
        <w:rPr>
          <w:rFonts w:asciiTheme="minorHAnsi" w:hAnsiTheme="minorHAnsi"/>
          <w:i/>
        </w:rPr>
        <w:t xml:space="preserve">nto la licenza di scuola media. </w:t>
      </w:r>
      <w:r w:rsidRPr="006B396D">
        <w:rPr>
          <w:rFonts w:asciiTheme="minorHAnsi" w:hAnsiTheme="minorHAnsi"/>
          <w:i/>
        </w:rPr>
        <w:t xml:space="preserve">Questo </w:t>
      </w:r>
      <w:r w:rsidR="006B3DF7">
        <w:rPr>
          <w:rFonts w:asciiTheme="minorHAnsi" w:hAnsiTheme="minorHAnsi"/>
          <w:i/>
        </w:rPr>
        <w:t>risultato non certo brillante</w:t>
      </w:r>
      <w:r w:rsidRPr="006B396D">
        <w:rPr>
          <w:rFonts w:asciiTheme="minorHAnsi" w:hAnsiTheme="minorHAnsi"/>
          <w:i/>
        </w:rPr>
        <w:t xml:space="preserve"> colloca l’Italia molto al di sopra della media europea (23,1%). </w:t>
      </w:r>
      <w:r w:rsidR="006B3DF7">
        <w:rPr>
          <w:rFonts w:asciiTheme="minorHAnsi" w:hAnsiTheme="minorHAnsi"/>
          <w:i/>
        </w:rPr>
        <w:t>E s</w:t>
      </w:r>
      <w:r w:rsidRPr="006B396D">
        <w:rPr>
          <w:rFonts w:asciiTheme="minorHAnsi" w:hAnsiTheme="minorHAnsi"/>
          <w:i/>
        </w:rPr>
        <w:t>e da un lato è vero che il dato migliora sensibilmente dal 2007 (</w:t>
      </w:r>
      <w:r w:rsidR="00244021">
        <w:rPr>
          <w:rFonts w:asciiTheme="minorHAnsi" w:hAnsiTheme="minorHAnsi"/>
          <w:i/>
        </w:rPr>
        <w:t xml:space="preserve">quando </w:t>
      </w:r>
      <w:r w:rsidRPr="006B396D">
        <w:rPr>
          <w:rFonts w:asciiTheme="minorHAnsi" w:hAnsiTheme="minorHAnsi"/>
          <w:i/>
        </w:rPr>
        <w:t>la percentuale era pari al 47,8), dall’altro lato è altrettanto vero che occorre mettere in campo un piano di investimento strutturale volto al rapido miglioramento dei livelli di istruzione nel nostro paese.</w:t>
      </w:r>
    </w:p>
    <w:p w:rsidR="00767C1C" w:rsidRDefault="00767C1C" w:rsidP="00767C1C">
      <w:pPr>
        <w:spacing w:after="0" w:line="240" w:lineRule="auto"/>
        <w:jc w:val="both"/>
        <w:rPr>
          <w:sz w:val="24"/>
          <w:szCs w:val="24"/>
        </w:rPr>
      </w:pPr>
    </w:p>
    <w:p w:rsidR="00BF0FD3" w:rsidRDefault="00BF0FD3" w:rsidP="00767C1C">
      <w:pPr>
        <w:spacing w:after="0" w:line="240" w:lineRule="auto"/>
        <w:jc w:val="both"/>
        <w:rPr>
          <w:sz w:val="24"/>
          <w:szCs w:val="24"/>
        </w:rPr>
      </w:pPr>
    </w:p>
    <w:p w:rsidR="00767C1C" w:rsidRPr="00BF0FD3" w:rsidRDefault="00757154" w:rsidP="00BF0FD3">
      <w:pPr>
        <w:pStyle w:val="Titolo1"/>
      </w:pPr>
      <w:r w:rsidRPr="00BF0FD3">
        <w:t xml:space="preserve">Pochi laureati, e </w:t>
      </w:r>
      <w:r w:rsidR="00BF0FD3">
        <w:t>sempre meno</w:t>
      </w:r>
      <w:r w:rsidRPr="00BF0FD3">
        <w:t xml:space="preserve"> universitari</w:t>
      </w:r>
    </w:p>
    <w:p w:rsidR="00BF0FD3" w:rsidRDefault="00BF0FD3" w:rsidP="00767C1C">
      <w:pPr>
        <w:pStyle w:val="grafico"/>
        <w:spacing w:before="0" w:beforeAutospacing="0" w:after="0" w:afterAutospacing="0"/>
        <w:jc w:val="both"/>
        <w:rPr>
          <w:rFonts w:asciiTheme="minorHAnsi" w:hAnsiTheme="minorHAnsi"/>
          <w:i/>
        </w:rPr>
      </w:pPr>
    </w:p>
    <w:p w:rsidR="00BF0FD3" w:rsidRDefault="00BF0FD3" w:rsidP="00767C1C">
      <w:pPr>
        <w:pStyle w:val="grafico"/>
        <w:spacing w:before="0" w:beforeAutospacing="0" w:after="0" w:afterAutospacing="0"/>
        <w:jc w:val="both"/>
        <w:rPr>
          <w:rFonts w:asciiTheme="minorHAnsi" w:hAnsiTheme="minorHAnsi"/>
          <w:i/>
        </w:rPr>
      </w:pPr>
    </w:p>
    <w:p w:rsidR="00767C1C" w:rsidRPr="006B396D" w:rsidRDefault="00767C1C" w:rsidP="00767C1C">
      <w:pPr>
        <w:pStyle w:val="grafico"/>
        <w:spacing w:before="0" w:beforeAutospacing="0" w:after="0" w:afterAutospacing="0"/>
        <w:jc w:val="both"/>
        <w:rPr>
          <w:rFonts w:asciiTheme="minorHAnsi" w:hAnsiTheme="minorHAnsi"/>
          <w:i/>
        </w:rPr>
      </w:pPr>
      <w:r w:rsidRPr="006B396D">
        <w:rPr>
          <w:rFonts w:asciiTheme="minorHAnsi" w:hAnsiTheme="minorHAnsi"/>
          <w:i/>
        </w:rPr>
        <w:t xml:space="preserve">In Italia, la percentuale di persone di età compresa tra i 30 e i 34 anni in possesso di una laurea (26,2) risulta tra le più basse d’Europa, molto al di sotto della media europea (39,1). Anche in questo caso, </w:t>
      </w:r>
      <w:r w:rsidR="00881519">
        <w:rPr>
          <w:rFonts w:asciiTheme="minorHAnsi" w:hAnsiTheme="minorHAnsi"/>
          <w:i/>
        </w:rPr>
        <w:t xml:space="preserve">così </w:t>
      </w:r>
      <w:r w:rsidRPr="006B396D">
        <w:rPr>
          <w:rFonts w:asciiTheme="minorHAnsi" w:hAnsiTheme="minorHAnsi"/>
          <w:i/>
        </w:rPr>
        <w:t xml:space="preserve">come per </w:t>
      </w:r>
      <w:r w:rsidR="00881519">
        <w:rPr>
          <w:rFonts w:asciiTheme="minorHAnsi" w:hAnsiTheme="minorHAnsi"/>
          <w:i/>
        </w:rPr>
        <w:t xml:space="preserve">la </w:t>
      </w:r>
      <w:r w:rsidRPr="006B396D">
        <w:rPr>
          <w:rFonts w:asciiTheme="minorHAnsi" w:hAnsiTheme="minorHAnsi"/>
          <w:i/>
        </w:rPr>
        <w:t xml:space="preserve">percentuale di popolazione con la licenza media, si evidenzia un miglioramento rispetto ai livelli del 2007. Tuttavia, è necessario prendere in considerazione – e registrare con preoccupazione – il </w:t>
      </w:r>
      <w:r w:rsidR="00881519">
        <w:rPr>
          <w:rFonts w:asciiTheme="minorHAnsi" w:hAnsiTheme="minorHAnsi"/>
          <w:i/>
        </w:rPr>
        <w:t>dato</w:t>
      </w:r>
      <w:r w:rsidRPr="006B396D">
        <w:rPr>
          <w:rFonts w:asciiTheme="minorHAnsi" w:hAnsiTheme="minorHAnsi"/>
          <w:i/>
        </w:rPr>
        <w:t xml:space="preserve"> relativo al passaggio dalle scuole superiori all’università: se nel 2008 il 63,6% dei diplomati si iscriveva all’università, nel 2015 siamo calati drammaticamente al 50,3%.</w:t>
      </w:r>
      <w:r w:rsidR="00DE733E">
        <w:rPr>
          <w:rFonts w:asciiTheme="minorHAnsi" w:hAnsiTheme="minorHAnsi"/>
          <w:i/>
        </w:rPr>
        <w:t xml:space="preserve"> Infatti g</w:t>
      </w:r>
      <w:r w:rsidRPr="006B396D">
        <w:rPr>
          <w:rFonts w:asciiTheme="minorHAnsi" w:hAnsiTheme="minorHAnsi"/>
          <w:i/>
        </w:rPr>
        <w:t xml:space="preserve">li iscritti all’università nel 2016/2017 sono 1.683.307, 62mila in meno </w:t>
      </w:r>
      <w:r w:rsidR="00DE733E">
        <w:rPr>
          <w:rFonts w:asciiTheme="minorHAnsi" w:hAnsiTheme="minorHAnsi"/>
          <w:i/>
        </w:rPr>
        <w:t>rispetto a</w:t>
      </w:r>
      <w:r w:rsidRPr="006B396D">
        <w:rPr>
          <w:rFonts w:asciiTheme="minorHAnsi" w:hAnsiTheme="minorHAnsi"/>
          <w:i/>
        </w:rPr>
        <w:t xml:space="preserve"> </w:t>
      </w:r>
      <w:r w:rsidR="00DE733E">
        <w:rPr>
          <w:rFonts w:asciiTheme="minorHAnsi" w:hAnsiTheme="minorHAnsi"/>
          <w:i/>
        </w:rPr>
        <w:t>otto</w:t>
      </w:r>
      <w:r w:rsidRPr="006B396D">
        <w:rPr>
          <w:rFonts w:asciiTheme="minorHAnsi" w:hAnsiTheme="minorHAnsi"/>
          <w:i/>
        </w:rPr>
        <w:t xml:space="preserve"> anni</w:t>
      </w:r>
      <w:r w:rsidR="00DE733E">
        <w:rPr>
          <w:rFonts w:asciiTheme="minorHAnsi" w:hAnsiTheme="minorHAnsi"/>
          <w:i/>
        </w:rPr>
        <w:t xml:space="preserve"> fa</w:t>
      </w:r>
      <w:r w:rsidRPr="006B396D">
        <w:rPr>
          <w:rFonts w:asciiTheme="minorHAnsi" w:hAnsiTheme="minorHAnsi"/>
          <w:i/>
        </w:rPr>
        <w:t xml:space="preserve">. E ancora più accentuato è il calo del personale docente strutturato: da 62.772 unità nel 2008 a 48.881 nel 2016. </w:t>
      </w:r>
      <w:r w:rsidR="006B396D">
        <w:rPr>
          <w:rFonts w:asciiTheme="minorHAnsi" w:hAnsiTheme="minorHAnsi"/>
          <w:i/>
        </w:rPr>
        <w:t xml:space="preserve">Di fronte a questa traiettoria, frenare l’involuzione del </w:t>
      </w:r>
      <w:r w:rsidR="006B3DF7">
        <w:rPr>
          <w:rFonts w:asciiTheme="minorHAnsi" w:hAnsiTheme="minorHAnsi"/>
          <w:i/>
        </w:rPr>
        <w:t xml:space="preserve">nostro </w:t>
      </w:r>
      <w:r w:rsidR="006B396D">
        <w:rPr>
          <w:rFonts w:asciiTheme="minorHAnsi" w:hAnsiTheme="minorHAnsi"/>
          <w:i/>
        </w:rPr>
        <w:t xml:space="preserve">sistema universitario dovrebbe essere </w:t>
      </w:r>
      <w:r w:rsidR="006B3DF7">
        <w:rPr>
          <w:rFonts w:asciiTheme="minorHAnsi" w:hAnsiTheme="minorHAnsi"/>
          <w:i/>
        </w:rPr>
        <w:t xml:space="preserve">una </w:t>
      </w:r>
      <w:r w:rsidR="006B396D">
        <w:rPr>
          <w:rFonts w:asciiTheme="minorHAnsi" w:hAnsiTheme="minorHAnsi"/>
          <w:i/>
        </w:rPr>
        <w:t xml:space="preserve">priorità </w:t>
      </w:r>
      <w:r w:rsidR="006B3DF7">
        <w:rPr>
          <w:rFonts w:asciiTheme="minorHAnsi" w:hAnsiTheme="minorHAnsi"/>
          <w:i/>
        </w:rPr>
        <w:t>per</w:t>
      </w:r>
      <w:r w:rsidR="006B396D">
        <w:rPr>
          <w:rFonts w:asciiTheme="minorHAnsi" w:hAnsiTheme="minorHAnsi"/>
          <w:i/>
        </w:rPr>
        <w:t xml:space="preserve"> tutti.</w:t>
      </w:r>
    </w:p>
    <w:p w:rsidR="00767C1C" w:rsidRDefault="00767C1C" w:rsidP="00767C1C">
      <w:pPr>
        <w:pStyle w:val="grafico"/>
        <w:spacing w:before="0" w:beforeAutospacing="0" w:after="0" w:afterAutospacing="0"/>
        <w:jc w:val="both"/>
        <w:rPr>
          <w:rFonts w:asciiTheme="minorHAnsi" w:hAnsiTheme="minorHAnsi"/>
        </w:rPr>
      </w:pPr>
    </w:p>
    <w:p w:rsidR="00BF0FD3" w:rsidRDefault="00BF0FD3" w:rsidP="00767C1C">
      <w:pPr>
        <w:pStyle w:val="grafico"/>
        <w:spacing w:before="0" w:beforeAutospacing="0" w:after="0" w:afterAutospacing="0"/>
        <w:jc w:val="both"/>
        <w:rPr>
          <w:rFonts w:asciiTheme="minorHAnsi" w:hAnsiTheme="minorHAnsi"/>
        </w:rPr>
      </w:pPr>
    </w:p>
    <w:p w:rsidR="00767C1C" w:rsidRPr="00767C1C" w:rsidRDefault="00767C1C" w:rsidP="00767C1C">
      <w:pPr>
        <w:pStyle w:val="Titolo1"/>
      </w:pPr>
      <w:r w:rsidRPr="00767C1C">
        <w:lastRenderedPageBreak/>
        <w:t>Senza ricerca, la strada è sbagliata</w:t>
      </w:r>
    </w:p>
    <w:p w:rsidR="00767C1C" w:rsidRDefault="00767C1C" w:rsidP="00767C1C">
      <w:pPr>
        <w:pStyle w:val="grafico"/>
        <w:spacing w:before="0" w:beforeAutospacing="0" w:after="0" w:afterAutospacing="0"/>
        <w:jc w:val="both"/>
        <w:rPr>
          <w:rFonts w:asciiTheme="minorHAnsi" w:hAnsiTheme="minorHAnsi"/>
        </w:rPr>
      </w:pPr>
    </w:p>
    <w:p w:rsidR="00767C1C" w:rsidRDefault="00767C1C" w:rsidP="00767C1C">
      <w:pPr>
        <w:pStyle w:val="grafico"/>
        <w:spacing w:before="0" w:beforeAutospacing="0" w:after="0" w:afterAutospacing="0"/>
        <w:jc w:val="both"/>
        <w:rPr>
          <w:rFonts w:asciiTheme="minorHAnsi" w:hAnsiTheme="minorHAnsi"/>
        </w:rPr>
      </w:pPr>
    </w:p>
    <w:p w:rsidR="00767C1C" w:rsidRPr="00767C1C" w:rsidRDefault="00DE733E" w:rsidP="00767C1C">
      <w:pPr>
        <w:pStyle w:val="grafico"/>
        <w:spacing w:before="0" w:beforeAutospacing="0" w:after="0" w:afterAutospacing="0"/>
        <w:jc w:val="both"/>
        <w:rPr>
          <w:rFonts w:asciiTheme="minorHAnsi" w:hAnsiTheme="minorHAnsi"/>
          <w:i/>
        </w:rPr>
      </w:pPr>
      <w:r>
        <w:rPr>
          <w:rFonts w:asciiTheme="minorHAnsi" w:hAnsiTheme="minorHAnsi"/>
          <w:i/>
        </w:rPr>
        <w:t xml:space="preserve">Nell’attuale mercato globale, specialmente in Europa, </w:t>
      </w:r>
      <w:r w:rsidR="00767C1C" w:rsidRPr="00767C1C">
        <w:rPr>
          <w:rFonts w:asciiTheme="minorHAnsi" w:hAnsiTheme="minorHAnsi"/>
          <w:i/>
        </w:rPr>
        <w:t>una seria politica di investimenti nella ricerca specifica e applicata e in quella di base è fondamentale</w:t>
      </w:r>
      <w:r>
        <w:rPr>
          <w:rFonts w:asciiTheme="minorHAnsi" w:hAnsiTheme="minorHAnsi"/>
          <w:i/>
        </w:rPr>
        <w:t xml:space="preserve">. </w:t>
      </w:r>
      <w:r w:rsidR="00767C1C" w:rsidRPr="00767C1C">
        <w:rPr>
          <w:rFonts w:asciiTheme="minorHAnsi" w:hAnsiTheme="minorHAnsi"/>
          <w:i/>
        </w:rPr>
        <w:t>Perseguire obiettivi di crescita e competitività senza investire in ricerca e sviluppo sembra essere invece la strategia – assolutamente perdente e incoerente – dell’Italia. La spesa totale del nostro paese in ricerca e sviluppo è pari infatti all’1,33% del Pil, lo 0,7% in meno rispetto alla media europea. Per avere un altro termine di confronto, e capire qual è la distanza che ci separa dall’intraprendere un sentiero virtuoso, Svezia e Germania destinano rispettivamente a questo capitolo di spesa il 3,26 e</w:t>
      </w:r>
      <w:r w:rsidR="00E06602">
        <w:rPr>
          <w:rFonts w:asciiTheme="minorHAnsi" w:hAnsiTheme="minorHAnsi"/>
          <w:i/>
        </w:rPr>
        <w:t xml:space="preserve"> il 2,87%.</w:t>
      </w:r>
    </w:p>
    <w:p w:rsidR="0096335F" w:rsidRDefault="0096335F" w:rsidP="00767C1C">
      <w:pPr>
        <w:pStyle w:val="grafico"/>
        <w:spacing w:before="0" w:beforeAutospacing="0" w:after="0" w:afterAutospacing="0"/>
        <w:jc w:val="both"/>
        <w:rPr>
          <w:rFonts w:asciiTheme="minorHAnsi" w:hAnsiTheme="minorHAnsi"/>
          <w:i/>
        </w:rPr>
      </w:pPr>
    </w:p>
    <w:p w:rsidR="00767C1C" w:rsidRDefault="00767C1C" w:rsidP="00767C1C">
      <w:pPr>
        <w:pStyle w:val="grafico"/>
        <w:spacing w:before="0" w:beforeAutospacing="0" w:after="0" w:afterAutospacing="0"/>
        <w:jc w:val="both"/>
        <w:rPr>
          <w:rFonts w:asciiTheme="minorHAnsi" w:hAnsiTheme="minorHAnsi"/>
          <w:i/>
        </w:rPr>
      </w:pPr>
    </w:p>
    <w:p w:rsidR="0096335F" w:rsidRPr="00BB0EC7" w:rsidRDefault="00BB0EC7" w:rsidP="0096335F">
      <w:pPr>
        <w:pStyle w:val="Titolo1"/>
      </w:pPr>
      <w:r w:rsidRPr="00BB0EC7">
        <w:t>Per un giovane su quattro, né studio, né lavoro, né formazione</w:t>
      </w:r>
    </w:p>
    <w:p w:rsidR="0096335F" w:rsidRPr="00BB0EC7" w:rsidRDefault="0096335F" w:rsidP="0096335F">
      <w:pPr>
        <w:pStyle w:val="grafico"/>
        <w:spacing w:before="0" w:beforeAutospacing="0" w:after="0" w:afterAutospacing="0"/>
        <w:jc w:val="both"/>
        <w:rPr>
          <w:rFonts w:asciiTheme="minorHAnsi" w:hAnsiTheme="minorHAnsi"/>
          <w:i/>
        </w:rPr>
      </w:pPr>
    </w:p>
    <w:p w:rsidR="0096335F" w:rsidRPr="00BB0EC7" w:rsidRDefault="0096335F" w:rsidP="0096335F">
      <w:pPr>
        <w:pStyle w:val="grafico"/>
        <w:spacing w:before="0" w:beforeAutospacing="0" w:after="0" w:afterAutospacing="0"/>
        <w:jc w:val="both"/>
        <w:rPr>
          <w:rFonts w:asciiTheme="minorHAnsi" w:hAnsiTheme="minorHAnsi"/>
          <w:i/>
        </w:rPr>
      </w:pPr>
    </w:p>
    <w:p w:rsidR="0096335F" w:rsidRDefault="0096335F" w:rsidP="0096335F">
      <w:pPr>
        <w:pStyle w:val="grafico"/>
        <w:spacing w:before="0" w:beforeAutospacing="0" w:after="0" w:afterAutospacing="0"/>
        <w:jc w:val="both"/>
        <w:rPr>
          <w:rFonts w:asciiTheme="minorHAnsi" w:hAnsiTheme="minorHAnsi"/>
          <w:i/>
        </w:rPr>
      </w:pPr>
      <w:r w:rsidRPr="00BB0EC7">
        <w:rPr>
          <w:rFonts w:asciiTheme="minorHAnsi" w:hAnsiTheme="minorHAnsi"/>
          <w:i/>
        </w:rPr>
        <w:t xml:space="preserve">Per </w:t>
      </w:r>
      <w:r w:rsidR="00E220AE">
        <w:rPr>
          <w:rFonts w:asciiTheme="minorHAnsi" w:hAnsiTheme="minorHAnsi"/>
          <w:i/>
        </w:rPr>
        <w:t xml:space="preserve">più di </w:t>
      </w:r>
      <w:r w:rsidRPr="00BB0EC7">
        <w:rPr>
          <w:rFonts w:asciiTheme="minorHAnsi" w:hAnsiTheme="minorHAnsi"/>
          <w:i/>
        </w:rPr>
        <w:t xml:space="preserve">un </w:t>
      </w:r>
      <w:r w:rsidR="00BB0EC7" w:rsidRPr="00BB0EC7">
        <w:rPr>
          <w:rFonts w:asciiTheme="minorHAnsi" w:hAnsiTheme="minorHAnsi"/>
          <w:i/>
        </w:rPr>
        <w:t>quarto</w:t>
      </w:r>
      <w:r w:rsidRPr="00BB0EC7">
        <w:rPr>
          <w:rFonts w:asciiTheme="minorHAnsi" w:hAnsiTheme="minorHAnsi"/>
          <w:i/>
        </w:rPr>
        <w:t xml:space="preserve"> dei giovani it</w:t>
      </w:r>
      <w:r w:rsidR="00EF64F0" w:rsidRPr="00BB0EC7">
        <w:rPr>
          <w:rFonts w:asciiTheme="minorHAnsi" w:hAnsiTheme="minorHAnsi"/>
          <w:i/>
        </w:rPr>
        <w:t>aliani non sembra inappropriato</w:t>
      </w:r>
      <w:r w:rsidRPr="00BB0EC7">
        <w:rPr>
          <w:rFonts w:asciiTheme="minorHAnsi" w:hAnsiTheme="minorHAnsi"/>
          <w:i/>
        </w:rPr>
        <w:t xml:space="preserve"> l’utilizzo dell’espressione “generazione no future”. </w:t>
      </w:r>
      <w:r w:rsidR="00BB0EC7" w:rsidRPr="00BB0EC7">
        <w:rPr>
          <w:rFonts w:asciiTheme="minorHAnsi" w:hAnsiTheme="minorHAnsi"/>
          <w:i/>
        </w:rPr>
        <w:t>Nel 2016, in Italia si registra infatti uno sconcertante primato negativo: è il</w:t>
      </w:r>
      <w:r w:rsidR="00E220AE">
        <w:rPr>
          <w:rFonts w:asciiTheme="minorHAnsi" w:hAnsiTheme="minorHAnsi"/>
          <w:i/>
        </w:rPr>
        <w:t xml:space="preserve"> paese in tutta Europa – seguito</w:t>
      </w:r>
      <w:r w:rsidR="00BB0EC7" w:rsidRPr="00BB0EC7">
        <w:rPr>
          <w:rFonts w:asciiTheme="minorHAnsi" w:hAnsiTheme="minorHAnsi"/>
          <w:i/>
        </w:rPr>
        <w:t xml:space="preserve"> nella classifica </w:t>
      </w:r>
      <w:r w:rsidR="00E220AE">
        <w:rPr>
          <w:rFonts w:asciiTheme="minorHAnsi" w:hAnsiTheme="minorHAnsi"/>
          <w:i/>
        </w:rPr>
        <w:t xml:space="preserve">da </w:t>
      </w:r>
      <w:r w:rsidR="00BB0EC7" w:rsidRPr="00BB0EC7">
        <w:rPr>
          <w:rFonts w:asciiTheme="minorHAnsi" w:hAnsiTheme="minorHAnsi"/>
          <w:i/>
        </w:rPr>
        <w:t xml:space="preserve">Bulgaria, Grecia, Romania e Croazia – </w:t>
      </w:r>
      <w:r w:rsidRPr="00BB0EC7">
        <w:rPr>
          <w:rFonts w:asciiTheme="minorHAnsi" w:hAnsiTheme="minorHAnsi"/>
          <w:i/>
        </w:rPr>
        <w:t xml:space="preserve">con il maggior tasso di </w:t>
      </w:r>
      <w:proofErr w:type="spellStart"/>
      <w:r w:rsidRPr="00BB0EC7">
        <w:rPr>
          <w:rFonts w:asciiTheme="minorHAnsi" w:hAnsiTheme="minorHAnsi"/>
          <w:i/>
        </w:rPr>
        <w:t>Neet</w:t>
      </w:r>
      <w:proofErr w:type="spellEnd"/>
      <w:r w:rsidRPr="00BB0EC7">
        <w:rPr>
          <w:rFonts w:asciiTheme="minorHAnsi" w:hAnsiTheme="minorHAnsi"/>
          <w:i/>
        </w:rPr>
        <w:t xml:space="preserve"> (acronimo di “</w:t>
      </w:r>
      <w:proofErr w:type="spellStart"/>
      <w:r w:rsidRPr="00BB0EC7">
        <w:rPr>
          <w:rFonts w:asciiTheme="minorHAnsi" w:hAnsiTheme="minorHAnsi"/>
          <w:i/>
        </w:rPr>
        <w:t>Not</w:t>
      </w:r>
      <w:proofErr w:type="spellEnd"/>
      <w:r w:rsidRPr="00BB0EC7">
        <w:rPr>
          <w:rFonts w:asciiTheme="minorHAnsi" w:hAnsiTheme="minorHAnsi"/>
          <w:i/>
        </w:rPr>
        <w:t xml:space="preserve"> in </w:t>
      </w:r>
      <w:proofErr w:type="spellStart"/>
      <w:r w:rsidRPr="00BB0EC7">
        <w:rPr>
          <w:rFonts w:asciiTheme="minorHAnsi" w:hAnsiTheme="minorHAnsi"/>
          <w:i/>
        </w:rPr>
        <w:t>Education</w:t>
      </w:r>
      <w:proofErr w:type="spellEnd"/>
      <w:r w:rsidRPr="00BB0EC7">
        <w:rPr>
          <w:rFonts w:asciiTheme="minorHAnsi" w:hAnsiTheme="minorHAnsi"/>
          <w:i/>
        </w:rPr>
        <w:t xml:space="preserve">, </w:t>
      </w:r>
      <w:proofErr w:type="spellStart"/>
      <w:r w:rsidRPr="00BB0EC7">
        <w:rPr>
          <w:rFonts w:asciiTheme="minorHAnsi" w:hAnsiTheme="minorHAnsi"/>
          <w:i/>
        </w:rPr>
        <w:t>Employment</w:t>
      </w:r>
      <w:proofErr w:type="spellEnd"/>
      <w:r w:rsidRPr="00BB0EC7">
        <w:rPr>
          <w:rFonts w:asciiTheme="minorHAnsi" w:hAnsiTheme="minorHAnsi"/>
          <w:i/>
        </w:rPr>
        <w:t xml:space="preserve">, or Training”), </w:t>
      </w:r>
      <w:r w:rsidR="00BB0EC7" w:rsidRPr="00BB0EC7">
        <w:rPr>
          <w:rFonts w:asciiTheme="minorHAnsi" w:hAnsiTheme="minorHAnsi"/>
          <w:i/>
        </w:rPr>
        <w:t>persone</w:t>
      </w:r>
      <w:r w:rsidRPr="00BB0EC7">
        <w:rPr>
          <w:rFonts w:asciiTheme="minorHAnsi" w:hAnsiTheme="minorHAnsi"/>
          <w:i/>
        </w:rPr>
        <w:t xml:space="preserve"> di età compresa tra i 15 e i 29 anni che non studiano, non lavoran</w:t>
      </w:r>
      <w:r w:rsidR="00BB0EC7" w:rsidRPr="00BB0EC7">
        <w:rPr>
          <w:rFonts w:asciiTheme="minorHAnsi" w:hAnsiTheme="minorHAnsi"/>
          <w:i/>
        </w:rPr>
        <w:t>o e non sono inserite</w:t>
      </w:r>
      <w:r w:rsidRPr="00BB0EC7">
        <w:rPr>
          <w:rFonts w:asciiTheme="minorHAnsi" w:hAnsiTheme="minorHAnsi"/>
          <w:i/>
        </w:rPr>
        <w:t xml:space="preserve"> in alcun percorso di formazione. Il confronto con Paesi Bassi e Germania </w:t>
      </w:r>
      <w:r w:rsidR="00BB0EC7" w:rsidRPr="00BB0EC7">
        <w:rPr>
          <w:rFonts w:asciiTheme="minorHAnsi" w:hAnsiTheme="minorHAnsi"/>
          <w:i/>
        </w:rPr>
        <w:t>è eloquente</w:t>
      </w:r>
      <w:r w:rsidRPr="00BB0EC7">
        <w:rPr>
          <w:rFonts w:asciiTheme="minorHAnsi" w:hAnsiTheme="minorHAnsi"/>
          <w:i/>
        </w:rPr>
        <w:t xml:space="preserve">: 24,3% di </w:t>
      </w:r>
      <w:proofErr w:type="spellStart"/>
      <w:r w:rsidRPr="00BB0EC7">
        <w:rPr>
          <w:rFonts w:asciiTheme="minorHAnsi" w:hAnsiTheme="minorHAnsi"/>
          <w:i/>
        </w:rPr>
        <w:t>Neet</w:t>
      </w:r>
      <w:proofErr w:type="spellEnd"/>
      <w:r w:rsidRPr="00BB0EC7">
        <w:rPr>
          <w:rFonts w:asciiTheme="minorHAnsi" w:hAnsiTheme="minorHAnsi"/>
          <w:i/>
        </w:rPr>
        <w:t xml:space="preserve"> nel nostro paese contro, rispettivamente, 6,3 e 8,9% (</w:t>
      </w:r>
      <w:r w:rsidR="00BB0EC7" w:rsidRPr="00BB0EC7">
        <w:rPr>
          <w:rFonts w:asciiTheme="minorHAnsi" w:hAnsiTheme="minorHAnsi"/>
          <w:i/>
        </w:rPr>
        <w:t xml:space="preserve">mentre </w:t>
      </w:r>
      <w:r w:rsidRPr="00BB0EC7">
        <w:rPr>
          <w:rFonts w:asciiTheme="minorHAnsi" w:hAnsiTheme="minorHAnsi"/>
          <w:i/>
        </w:rPr>
        <w:t>la media europea è pari al 14,2%).</w:t>
      </w:r>
    </w:p>
    <w:p w:rsidR="00A35E29" w:rsidRDefault="00A35E29" w:rsidP="0096335F">
      <w:pPr>
        <w:pStyle w:val="grafico"/>
        <w:spacing w:before="0" w:beforeAutospacing="0" w:after="0" w:afterAutospacing="0"/>
        <w:jc w:val="both"/>
        <w:rPr>
          <w:rFonts w:asciiTheme="minorHAnsi" w:hAnsiTheme="minorHAnsi"/>
          <w:i/>
        </w:rPr>
      </w:pPr>
    </w:p>
    <w:p w:rsidR="0096335F" w:rsidRDefault="0096335F" w:rsidP="0096335F">
      <w:pPr>
        <w:pStyle w:val="grafico"/>
        <w:spacing w:before="0" w:beforeAutospacing="0" w:after="0" w:afterAutospacing="0"/>
        <w:jc w:val="both"/>
        <w:rPr>
          <w:rFonts w:asciiTheme="minorHAnsi" w:hAnsiTheme="minorHAnsi"/>
          <w:i/>
        </w:rPr>
      </w:pPr>
    </w:p>
    <w:p w:rsidR="0096335F" w:rsidRDefault="0096335F" w:rsidP="0096335F">
      <w:pPr>
        <w:pStyle w:val="grafico"/>
        <w:spacing w:before="0" w:beforeAutospacing="0" w:after="0" w:afterAutospacing="0"/>
        <w:jc w:val="both"/>
        <w:rPr>
          <w:rFonts w:asciiTheme="minorHAnsi" w:hAnsiTheme="minorHAnsi"/>
          <w:i/>
        </w:rPr>
      </w:pPr>
    </w:p>
    <w:p w:rsidR="0096335F" w:rsidRDefault="0096335F" w:rsidP="0096335F">
      <w:pPr>
        <w:pStyle w:val="grafico"/>
        <w:spacing w:before="0" w:beforeAutospacing="0" w:after="0" w:afterAutospacing="0"/>
        <w:jc w:val="both"/>
        <w:rPr>
          <w:rFonts w:asciiTheme="minorHAnsi" w:hAnsiTheme="minorHAnsi"/>
          <w:i/>
        </w:rPr>
      </w:pPr>
    </w:p>
    <w:p w:rsidR="0096335F" w:rsidRDefault="0096335F"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992830" w:rsidRDefault="00992830" w:rsidP="0096335F">
      <w:pPr>
        <w:pStyle w:val="grafico"/>
        <w:spacing w:before="0" w:beforeAutospacing="0" w:after="0" w:afterAutospacing="0"/>
        <w:jc w:val="both"/>
        <w:rPr>
          <w:rFonts w:asciiTheme="minorHAnsi" w:hAnsiTheme="minorHAnsi"/>
          <w:i/>
        </w:rPr>
      </w:pPr>
    </w:p>
    <w:p w:rsidR="00992830" w:rsidRDefault="00992830"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474543" w:rsidRDefault="00474543" w:rsidP="0096335F">
      <w:pPr>
        <w:pStyle w:val="grafico"/>
        <w:spacing w:before="0" w:beforeAutospacing="0" w:after="0" w:afterAutospacing="0"/>
        <w:jc w:val="both"/>
        <w:rPr>
          <w:rFonts w:asciiTheme="minorHAnsi" w:hAnsiTheme="minorHAnsi"/>
          <w:i/>
        </w:rPr>
      </w:pPr>
    </w:p>
    <w:p w:rsidR="00F20C1F" w:rsidRDefault="00F20C1F" w:rsidP="0096335F">
      <w:pPr>
        <w:pStyle w:val="grafico"/>
        <w:spacing w:before="0" w:beforeAutospacing="0" w:after="0" w:afterAutospacing="0"/>
        <w:jc w:val="both"/>
        <w:rPr>
          <w:rFonts w:asciiTheme="minorHAnsi" w:hAnsiTheme="minorHAnsi"/>
          <w:i/>
        </w:rPr>
      </w:pPr>
    </w:p>
    <w:p w:rsidR="00F20C1F" w:rsidRDefault="00F20C1F" w:rsidP="0096335F">
      <w:pPr>
        <w:pStyle w:val="grafico"/>
        <w:spacing w:before="0" w:beforeAutospacing="0" w:after="0" w:afterAutospacing="0"/>
        <w:jc w:val="both"/>
        <w:rPr>
          <w:rFonts w:asciiTheme="minorHAnsi" w:hAnsiTheme="minorHAnsi"/>
          <w:i/>
        </w:rPr>
      </w:pPr>
    </w:p>
    <w:p w:rsidR="00F20C1F" w:rsidRPr="00992830" w:rsidRDefault="00F20C1F" w:rsidP="00F20C1F">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F20C1F" w:rsidRDefault="00F20C1F" w:rsidP="00F20C1F">
      <w:pPr>
        <w:pBdr>
          <w:top w:val="single" w:sz="4" w:space="1" w:color="auto"/>
          <w:left w:val="single" w:sz="4" w:space="4" w:color="auto"/>
          <w:bottom w:val="single" w:sz="4" w:space="1" w:color="auto"/>
          <w:right w:val="single" w:sz="4" w:space="4" w:color="auto"/>
        </w:pBdr>
        <w:shd w:val="clear" w:color="auto" w:fill="FFC000"/>
        <w:spacing w:after="0" w:line="240" w:lineRule="auto"/>
        <w:rPr>
          <w:b/>
          <w:sz w:val="32"/>
        </w:rPr>
      </w:pPr>
      <w:r>
        <w:rPr>
          <w:b/>
          <w:sz w:val="32"/>
        </w:rPr>
        <w:t>AMBIENTE E SVILUPPO SOSTENIBILE</w:t>
      </w:r>
    </w:p>
    <w:p w:rsidR="00F20C1F" w:rsidRPr="00992830" w:rsidRDefault="00F20C1F" w:rsidP="00F20C1F">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F20C1F" w:rsidRDefault="00F20C1F" w:rsidP="007E4A0C">
      <w:pPr>
        <w:spacing w:after="0" w:line="240" w:lineRule="auto"/>
      </w:pPr>
    </w:p>
    <w:p w:rsidR="007540FC" w:rsidRDefault="007540FC" w:rsidP="007E4A0C">
      <w:pPr>
        <w:spacing w:after="0" w:line="240" w:lineRule="auto"/>
        <w:jc w:val="both"/>
        <w:rPr>
          <w:i/>
          <w:sz w:val="24"/>
        </w:rPr>
      </w:pPr>
    </w:p>
    <w:p w:rsidR="008626F5" w:rsidRDefault="008626F5" w:rsidP="007540FC">
      <w:pPr>
        <w:pStyle w:val="Titolo1"/>
      </w:pPr>
    </w:p>
    <w:p w:rsidR="008626F5" w:rsidRDefault="008626F5" w:rsidP="007540FC">
      <w:pPr>
        <w:pStyle w:val="Titolo1"/>
      </w:pPr>
    </w:p>
    <w:p w:rsidR="007540FC" w:rsidRDefault="007540FC" w:rsidP="007540FC">
      <w:pPr>
        <w:pStyle w:val="Titolo1"/>
      </w:pPr>
      <w:r>
        <w:t>Tutti in macchina</w:t>
      </w:r>
    </w:p>
    <w:p w:rsidR="007540FC" w:rsidRDefault="007540FC" w:rsidP="007E4A0C">
      <w:pPr>
        <w:spacing w:after="0" w:line="240" w:lineRule="auto"/>
        <w:jc w:val="both"/>
        <w:rPr>
          <w:i/>
          <w:sz w:val="24"/>
        </w:rPr>
      </w:pPr>
    </w:p>
    <w:p w:rsidR="007540FC" w:rsidRDefault="007540FC" w:rsidP="007E4A0C">
      <w:pPr>
        <w:spacing w:after="0" w:line="240" w:lineRule="auto"/>
        <w:jc w:val="both"/>
        <w:rPr>
          <w:i/>
          <w:sz w:val="24"/>
        </w:rPr>
      </w:pPr>
    </w:p>
    <w:p w:rsidR="007E4A0C" w:rsidRPr="007E4A0C" w:rsidRDefault="00B51DC1" w:rsidP="007E4A0C">
      <w:pPr>
        <w:spacing w:after="0" w:line="240" w:lineRule="auto"/>
        <w:jc w:val="both"/>
        <w:rPr>
          <w:i/>
          <w:sz w:val="24"/>
        </w:rPr>
      </w:pPr>
      <w:r>
        <w:rPr>
          <w:i/>
          <w:sz w:val="24"/>
        </w:rPr>
        <w:t>In Italia ci sono oggi più di 615 autovetture ogni mille abitanti (nel 2004 erano 587), a fronte di 1,6 autobus circolanti</w:t>
      </w:r>
      <w:r w:rsidR="00D8778A">
        <w:rPr>
          <w:i/>
          <w:sz w:val="24"/>
        </w:rPr>
        <w:t xml:space="preserve"> (esattamente come nel 2004)</w:t>
      </w:r>
      <w:r>
        <w:rPr>
          <w:i/>
          <w:sz w:val="24"/>
        </w:rPr>
        <w:t xml:space="preserve">. </w:t>
      </w:r>
      <w:r w:rsidR="007E4A0C" w:rsidRPr="007E4A0C">
        <w:rPr>
          <w:i/>
          <w:sz w:val="24"/>
        </w:rPr>
        <w:t>Dovrebbe bastare sol</w:t>
      </w:r>
      <w:r w:rsidR="00CD67C6">
        <w:rPr>
          <w:i/>
          <w:sz w:val="24"/>
        </w:rPr>
        <w:t>tant</w:t>
      </w:r>
      <w:r w:rsidR="007E4A0C" w:rsidRPr="007E4A0C">
        <w:rPr>
          <w:i/>
          <w:sz w:val="24"/>
        </w:rPr>
        <w:t>o questo dato a esprimere la necessità e l’urgenza di un radicale cambiamento di prospettiva – accompagnato da adeguati investimenti nelle politiche</w:t>
      </w:r>
      <w:r>
        <w:rPr>
          <w:i/>
          <w:sz w:val="24"/>
        </w:rPr>
        <w:t xml:space="preserve"> </w:t>
      </w:r>
      <w:r w:rsidR="007E4A0C" w:rsidRPr="007E4A0C">
        <w:rPr>
          <w:i/>
          <w:sz w:val="24"/>
        </w:rPr>
        <w:t xml:space="preserve">– </w:t>
      </w:r>
      <w:r>
        <w:rPr>
          <w:i/>
          <w:sz w:val="24"/>
        </w:rPr>
        <w:t>in direzione della</w:t>
      </w:r>
      <w:r w:rsidR="007E4A0C" w:rsidRPr="007E4A0C">
        <w:rPr>
          <w:i/>
          <w:sz w:val="24"/>
        </w:rPr>
        <w:t xml:space="preserve"> </w:t>
      </w:r>
      <w:r>
        <w:rPr>
          <w:i/>
          <w:sz w:val="24"/>
        </w:rPr>
        <w:t xml:space="preserve">promozione della </w:t>
      </w:r>
      <w:r w:rsidR="007E4A0C" w:rsidRPr="007E4A0C">
        <w:rPr>
          <w:i/>
          <w:sz w:val="24"/>
        </w:rPr>
        <w:t xml:space="preserve">mobilità sostenibile e </w:t>
      </w:r>
      <w:r>
        <w:rPr>
          <w:i/>
          <w:sz w:val="24"/>
        </w:rPr>
        <w:t>del</w:t>
      </w:r>
      <w:r w:rsidR="007540FC">
        <w:rPr>
          <w:i/>
          <w:sz w:val="24"/>
        </w:rPr>
        <w:t xml:space="preserve"> trasporto pubblico: a</w:t>
      </w:r>
      <w:r w:rsidR="007E4A0C" w:rsidRPr="007E4A0C">
        <w:rPr>
          <w:i/>
          <w:sz w:val="24"/>
        </w:rPr>
        <w:t>bbattere</w:t>
      </w:r>
      <w:r w:rsidR="007540FC">
        <w:rPr>
          <w:i/>
          <w:sz w:val="24"/>
        </w:rPr>
        <w:t xml:space="preserve"> il </w:t>
      </w:r>
      <w:r w:rsidR="007E4A0C" w:rsidRPr="007E4A0C">
        <w:rPr>
          <w:i/>
          <w:sz w:val="24"/>
        </w:rPr>
        <w:t>congestionamento e</w:t>
      </w:r>
      <w:r w:rsidR="007540FC">
        <w:rPr>
          <w:i/>
          <w:sz w:val="24"/>
        </w:rPr>
        <w:t xml:space="preserve"> l’</w:t>
      </w:r>
      <w:r w:rsidR="007E4A0C" w:rsidRPr="007E4A0C">
        <w:rPr>
          <w:i/>
          <w:sz w:val="24"/>
        </w:rPr>
        <w:t xml:space="preserve">inquinamento </w:t>
      </w:r>
      <w:r w:rsidR="007540FC">
        <w:rPr>
          <w:i/>
          <w:sz w:val="24"/>
        </w:rPr>
        <w:t xml:space="preserve">scoraggiando </w:t>
      </w:r>
      <w:r w:rsidR="007E4A0C" w:rsidRPr="007E4A0C">
        <w:rPr>
          <w:i/>
          <w:sz w:val="24"/>
        </w:rPr>
        <w:t xml:space="preserve">l’utilizzo del mezzo privato </w:t>
      </w:r>
      <w:r w:rsidR="007540FC">
        <w:rPr>
          <w:i/>
          <w:sz w:val="24"/>
        </w:rPr>
        <w:t>(soprattutto</w:t>
      </w:r>
      <w:r>
        <w:rPr>
          <w:i/>
          <w:sz w:val="24"/>
        </w:rPr>
        <w:t xml:space="preserve"> nelle aree urbane)</w:t>
      </w:r>
      <w:r w:rsidR="00DB2A1F">
        <w:rPr>
          <w:i/>
          <w:sz w:val="24"/>
        </w:rPr>
        <w:t xml:space="preserve"> deve essere </w:t>
      </w:r>
      <w:r w:rsidR="005E6F89">
        <w:rPr>
          <w:i/>
          <w:sz w:val="24"/>
        </w:rPr>
        <w:t xml:space="preserve">un obiettivo </w:t>
      </w:r>
      <w:r w:rsidR="00E410F3">
        <w:rPr>
          <w:i/>
          <w:sz w:val="24"/>
        </w:rPr>
        <w:t>ineludibile</w:t>
      </w:r>
      <w:r w:rsidR="005E6F89">
        <w:rPr>
          <w:i/>
          <w:sz w:val="24"/>
        </w:rPr>
        <w:t xml:space="preserve"> per tutelare la nostra salute e promuovere la qualità della vita nei nostri territori.</w:t>
      </w:r>
    </w:p>
    <w:p w:rsidR="007E4A0C" w:rsidRDefault="007E4A0C" w:rsidP="007E4A0C">
      <w:pPr>
        <w:spacing w:after="0" w:line="240" w:lineRule="auto"/>
      </w:pPr>
    </w:p>
    <w:p w:rsidR="007E4A0C" w:rsidRDefault="007E4A0C" w:rsidP="007E4A0C">
      <w:pPr>
        <w:spacing w:after="0" w:line="240" w:lineRule="auto"/>
      </w:pPr>
    </w:p>
    <w:p w:rsidR="005B49BA" w:rsidRDefault="005B49BA" w:rsidP="005B49BA">
      <w:pPr>
        <w:pStyle w:val="Titolo1"/>
      </w:pPr>
      <w:r>
        <w:t>Cresce la differenziata (ma non basta)</w:t>
      </w:r>
    </w:p>
    <w:p w:rsidR="005B49BA" w:rsidRDefault="005B49BA" w:rsidP="005B49BA">
      <w:pPr>
        <w:pStyle w:val="grafico"/>
        <w:spacing w:before="0" w:beforeAutospacing="0" w:after="0" w:afterAutospacing="0"/>
        <w:jc w:val="both"/>
        <w:rPr>
          <w:rFonts w:asciiTheme="minorHAnsi" w:hAnsiTheme="minorHAnsi"/>
          <w:i/>
        </w:rPr>
      </w:pPr>
    </w:p>
    <w:p w:rsidR="005B49BA" w:rsidRDefault="005B49BA" w:rsidP="005B49BA">
      <w:pPr>
        <w:pStyle w:val="grafico"/>
        <w:spacing w:before="0" w:beforeAutospacing="0" w:after="0" w:afterAutospacing="0"/>
        <w:jc w:val="both"/>
        <w:rPr>
          <w:rFonts w:asciiTheme="minorHAnsi" w:hAnsiTheme="minorHAnsi"/>
          <w:i/>
        </w:rPr>
      </w:pPr>
    </w:p>
    <w:p w:rsidR="005B49BA" w:rsidRDefault="005B49BA" w:rsidP="005B49BA">
      <w:pPr>
        <w:pStyle w:val="grafico"/>
        <w:spacing w:before="0" w:beforeAutospacing="0" w:after="0" w:afterAutospacing="0"/>
        <w:jc w:val="both"/>
        <w:rPr>
          <w:rFonts w:asciiTheme="minorHAnsi" w:hAnsiTheme="minorHAnsi"/>
          <w:i/>
        </w:rPr>
      </w:pPr>
      <w:r>
        <w:rPr>
          <w:rFonts w:asciiTheme="minorHAnsi" w:hAnsiTheme="minorHAnsi"/>
          <w:i/>
        </w:rPr>
        <w:t>Dal 2004</w:t>
      </w:r>
      <w:r w:rsidR="00A16B24">
        <w:rPr>
          <w:rFonts w:asciiTheme="minorHAnsi" w:hAnsiTheme="minorHAnsi"/>
          <w:i/>
        </w:rPr>
        <w:t xml:space="preserve"> al 2015 si assiste in Italia </w:t>
      </w:r>
      <w:r>
        <w:rPr>
          <w:rFonts w:asciiTheme="minorHAnsi" w:hAnsiTheme="minorHAnsi"/>
          <w:i/>
        </w:rPr>
        <w:t xml:space="preserve">alla diminuzione dei conferimenti in discarica </w:t>
      </w:r>
      <w:r w:rsidR="008A7A27">
        <w:rPr>
          <w:rFonts w:asciiTheme="minorHAnsi" w:hAnsiTheme="minorHAnsi"/>
          <w:i/>
        </w:rPr>
        <w:t xml:space="preserve">dei rifiuti </w:t>
      </w:r>
      <w:r>
        <w:rPr>
          <w:rFonts w:asciiTheme="minorHAnsi" w:hAnsiTheme="minorHAnsi"/>
          <w:i/>
        </w:rPr>
        <w:t>e al corrispondente aumento della</w:t>
      </w:r>
      <w:r w:rsidR="00A16B24">
        <w:rPr>
          <w:rFonts w:asciiTheme="minorHAnsi" w:hAnsiTheme="minorHAnsi"/>
          <w:i/>
        </w:rPr>
        <w:t xml:space="preserve"> raccolta</w:t>
      </w:r>
      <w:r>
        <w:rPr>
          <w:rFonts w:asciiTheme="minorHAnsi" w:hAnsiTheme="minorHAnsi"/>
          <w:i/>
        </w:rPr>
        <w:t xml:space="preserve"> differenziata. Un risultato di certo positivo, che però non basta. Secondo il Testo unico ambientale</w:t>
      </w:r>
      <w:r w:rsidRPr="008F3F58">
        <w:rPr>
          <w:rFonts w:asciiTheme="minorHAnsi" w:hAnsiTheme="minorHAnsi"/>
          <w:i/>
        </w:rPr>
        <w:t>,</w:t>
      </w:r>
      <w:r>
        <w:rPr>
          <w:rFonts w:asciiTheme="minorHAnsi" w:hAnsiTheme="minorHAnsi"/>
          <w:i/>
        </w:rPr>
        <w:t xml:space="preserve"> infatti, </w:t>
      </w:r>
      <w:r w:rsidR="008A7A27">
        <w:rPr>
          <w:rFonts w:asciiTheme="minorHAnsi" w:hAnsiTheme="minorHAnsi"/>
          <w:i/>
        </w:rPr>
        <w:t>nel nostro paese</w:t>
      </w:r>
      <w:r w:rsidRPr="008F3F58">
        <w:rPr>
          <w:rFonts w:asciiTheme="minorHAnsi" w:hAnsiTheme="minorHAnsi"/>
          <w:i/>
        </w:rPr>
        <w:t xml:space="preserve"> la raccolta differenziata dei rifiuti avrebbe dovuto raggiungere almeno il 65% entro il 31 dicembre 2012. </w:t>
      </w:r>
      <w:r>
        <w:rPr>
          <w:rFonts w:asciiTheme="minorHAnsi" w:hAnsiTheme="minorHAnsi"/>
          <w:i/>
        </w:rPr>
        <w:t>A cinque anni di distanza</w:t>
      </w:r>
      <w:r w:rsidRPr="008F3F58">
        <w:rPr>
          <w:rFonts w:asciiTheme="minorHAnsi" w:hAnsiTheme="minorHAnsi"/>
          <w:i/>
        </w:rPr>
        <w:t xml:space="preserve"> </w:t>
      </w:r>
      <w:r>
        <w:rPr>
          <w:rFonts w:asciiTheme="minorHAnsi" w:hAnsiTheme="minorHAnsi"/>
          <w:i/>
        </w:rPr>
        <w:t>l’</w:t>
      </w:r>
      <w:r w:rsidRPr="008F3F58">
        <w:rPr>
          <w:rFonts w:asciiTheme="minorHAnsi" w:hAnsiTheme="minorHAnsi"/>
          <w:i/>
        </w:rPr>
        <w:t>obiettivo è ancor</w:t>
      </w:r>
      <w:r w:rsidR="00D8778A">
        <w:rPr>
          <w:rFonts w:asciiTheme="minorHAnsi" w:hAnsiTheme="minorHAnsi"/>
          <w:i/>
        </w:rPr>
        <w:t>a lontano: dei</w:t>
      </w:r>
      <w:r w:rsidR="002830CB">
        <w:rPr>
          <w:rFonts w:asciiTheme="minorHAnsi" w:hAnsiTheme="minorHAnsi"/>
          <w:i/>
        </w:rPr>
        <w:t xml:space="preserve"> 26</w:t>
      </w:r>
      <w:r w:rsidRPr="008F3F58">
        <w:rPr>
          <w:rFonts w:asciiTheme="minorHAnsi" w:hAnsiTheme="minorHAnsi"/>
          <w:i/>
        </w:rPr>
        <w:t xml:space="preserve">,5 milioni di tonnellate di rifiuti urbani prodotti ogni anno in Italia, solo il 47,5% </w:t>
      </w:r>
      <w:r>
        <w:rPr>
          <w:rFonts w:asciiTheme="minorHAnsi" w:hAnsiTheme="minorHAnsi"/>
          <w:i/>
        </w:rPr>
        <w:t>è</w:t>
      </w:r>
      <w:r w:rsidRPr="008F3F58">
        <w:rPr>
          <w:rFonts w:asciiTheme="minorHAnsi" w:hAnsiTheme="minorHAnsi"/>
          <w:i/>
        </w:rPr>
        <w:t xml:space="preserve"> intercettato </w:t>
      </w:r>
      <w:r>
        <w:rPr>
          <w:rFonts w:asciiTheme="minorHAnsi" w:hAnsiTheme="minorHAnsi"/>
          <w:i/>
        </w:rPr>
        <w:t>dalla raccolta differenziata.</w:t>
      </w:r>
    </w:p>
    <w:p w:rsidR="005B49BA" w:rsidRDefault="005B49BA" w:rsidP="007E4A0C">
      <w:pPr>
        <w:spacing w:after="0" w:line="240" w:lineRule="auto"/>
      </w:pPr>
    </w:p>
    <w:p w:rsidR="005B49BA" w:rsidRDefault="005B49BA" w:rsidP="007E4A0C">
      <w:pPr>
        <w:spacing w:after="0" w:line="240" w:lineRule="auto"/>
      </w:pPr>
    </w:p>
    <w:p w:rsidR="005B49BA" w:rsidRDefault="005B49BA" w:rsidP="005B49BA">
      <w:pPr>
        <w:pStyle w:val="Titolo1"/>
      </w:pPr>
      <w:r>
        <w:t>Più risorse per i trasporti pubblici!</w:t>
      </w:r>
    </w:p>
    <w:p w:rsidR="005B49BA" w:rsidRDefault="005B49BA" w:rsidP="007E4A0C">
      <w:pPr>
        <w:spacing w:after="0" w:line="240" w:lineRule="auto"/>
      </w:pPr>
    </w:p>
    <w:p w:rsidR="005B49BA" w:rsidRDefault="005B49BA" w:rsidP="005B49BA">
      <w:pPr>
        <w:pStyle w:val="Standard"/>
        <w:jc w:val="both"/>
        <w:rPr>
          <w:rFonts w:ascii="Calibri" w:hAnsi="Calibri"/>
          <w:i/>
        </w:rPr>
      </w:pPr>
    </w:p>
    <w:p w:rsidR="005B49BA" w:rsidRPr="005B49BA" w:rsidRDefault="005B49BA" w:rsidP="005B49BA">
      <w:pPr>
        <w:pStyle w:val="Standard"/>
        <w:jc w:val="both"/>
        <w:rPr>
          <w:rFonts w:ascii="Calibri" w:eastAsia="Times New Roman" w:hAnsi="Calibri" w:cs="Times New Roman"/>
          <w:i/>
        </w:rPr>
      </w:pPr>
      <w:r w:rsidRPr="005B49BA">
        <w:rPr>
          <w:rFonts w:ascii="Calibri" w:hAnsi="Calibri"/>
          <w:i/>
        </w:rPr>
        <w:t xml:space="preserve">Tra gli Obiettivi di sviluppo sostenibile che 193 paesi, </w:t>
      </w:r>
      <w:r w:rsidR="00675A29">
        <w:rPr>
          <w:rFonts w:ascii="Calibri" w:hAnsi="Calibri"/>
          <w:i/>
        </w:rPr>
        <w:t>nel</w:t>
      </w:r>
      <w:r w:rsidRPr="005B49BA">
        <w:rPr>
          <w:rFonts w:ascii="Calibri" w:hAnsi="Calibri"/>
          <w:i/>
        </w:rPr>
        <w:t xml:space="preserve"> settembre 2015, si sono impegnati a raggiungere entro il 2030 vi è quello di garantire l’accesso a </w:t>
      </w:r>
      <w:r w:rsidR="00675A29">
        <w:rPr>
          <w:rFonts w:ascii="Calibri" w:hAnsi="Calibri"/>
          <w:i/>
        </w:rPr>
        <w:t xml:space="preserve">un sistema di trasporti sicuro, </w:t>
      </w:r>
      <w:r w:rsidRPr="005B49BA">
        <w:rPr>
          <w:rFonts w:ascii="Calibri" w:hAnsi="Calibri"/>
          <w:i/>
        </w:rPr>
        <w:t xml:space="preserve">accessibile e sostenibile, in particolar modo potenziando i trasporti pubblici. In Italia, sul totale delle persone che si sono spostate per motivi di lavoro e di studio con mezzi di trasporto sia privati sia pubblici, soltanto il 20,2% ha usato quelli pubblici. Incentivare questo utilizzo è quindi assolutamente necessario. </w:t>
      </w:r>
      <w:r w:rsidRPr="005B49BA">
        <w:rPr>
          <w:rFonts w:ascii="Calibri" w:eastAsia="Times New Roman" w:hAnsi="Calibri" w:cs="Times New Roman"/>
          <w:i/>
        </w:rPr>
        <w:t xml:space="preserve">Sbilanciamoci! propone, come </w:t>
      </w:r>
      <w:r w:rsidR="00F53E0F">
        <w:rPr>
          <w:rFonts w:ascii="Calibri" w:eastAsia="Times New Roman" w:hAnsi="Calibri" w:cs="Times New Roman"/>
          <w:i/>
        </w:rPr>
        <w:t xml:space="preserve">primo </w:t>
      </w:r>
      <w:r w:rsidRPr="005B49BA">
        <w:rPr>
          <w:rFonts w:ascii="Calibri" w:eastAsia="Times New Roman" w:hAnsi="Calibri" w:cs="Times New Roman"/>
          <w:i/>
        </w:rPr>
        <w:t>passo concreto in questa direzione, di dirottare le risorse a sostegno dell’autotrasporto nel 2018 (pari a 296 milioni di euro) all’implementazione della Strategia nazionale per lo sviluppo sostenibile, a cominciare proprio dal Piano strategico nazionale per la mobilità sostenibile (che nel 2018 non prevede appositi stanziamenti).</w:t>
      </w:r>
    </w:p>
    <w:p w:rsidR="005B49BA" w:rsidRDefault="005B49BA" w:rsidP="007E4A0C">
      <w:pPr>
        <w:spacing w:after="0" w:line="240" w:lineRule="auto"/>
      </w:pPr>
    </w:p>
    <w:p w:rsidR="005B49BA" w:rsidRDefault="005B49BA" w:rsidP="007E4A0C">
      <w:pPr>
        <w:spacing w:after="0" w:line="240" w:lineRule="auto"/>
      </w:pPr>
    </w:p>
    <w:p w:rsidR="00F20C1F" w:rsidRPr="005A1EFF" w:rsidRDefault="008D1B01" w:rsidP="005A1EFF">
      <w:pPr>
        <w:pStyle w:val="Titolo1"/>
      </w:pPr>
      <w:r>
        <w:t>R</w:t>
      </w:r>
      <w:r w:rsidR="00274CDF">
        <w:t>innovabili</w:t>
      </w:r>
      <w:r>
        <w:t xml:space="preserve"> in aumento</w:t>
      </w:r>
    </w:p>
    <w:p w:rsidR="005A1EFF" w:rsidRDefault="005A1EFF" w:rsidP="00E14671">
      <w:pPr>
        <w:pStyle w:val="grafico"/>
        <w:spacing w:before="0" w:beforeAutospacing="0" w:after="0" w:afterAutospacing="0"/>
        <w:jc w:val="both"/>
        <w:rPr>
          <w:rFonts w:asciiTheme="minorHAnsi" w:hAnsiTheme="minorHAnsi"/>
          <w:i/>
        </w:rPr>
      </w:pPr>
    </w:p>
    <w:p w:rsidR="005A1EFF" w:rsidRDefault="005A1EFF" w:rsidP="00E14671">
      <w:pPr>
        <w:pStyle w:val="grafico"/>
        <w:spacing w:before="0" w:beforeAutospacing="0" w:after="0" w:afterAutospacing="0"/>
        <w:jc w:val="both"/>
        <w:rPr>
          <w:rFonts w:asciiTheme="minorHAnsi" w:hAnsiTheme="minorHAnsi"/>
          <w:i/>
        </w:rPr>
      </w:pPr>
    </w:p>
    <w:p w:rsidR="00F20C1F" w:rsidRPr="00F20C1F" w:rsidRDefault="00F20C1F" w:rsidP="00E14671">
      <w:pPr>
        <w:pStyle w:val="grafico"/>
        <w:spacing w:before="0" w:beforeAutospacing="0" w:after="0" w:afterAutospacing="0"/>
        <w:jc w:val="both"/>
        <w:rPr>
          <w:rFonts w:asciiTheme="minorHAnsi" w:hAnsiTheme="minorHAnsi"/>
          <w:i/>
        </w:rPr>
      </w:pPr>
      <w:r w:rsidRPr="00F20C1F">
        <w:rPr>
          <w:rFonts w:asciiTheme="minorHAnsi" w:hAnsiTheme="minorHAnsi"/>
          <w:i/>
        </w:rPr>
        <w:t>Una buona notizia viene da</w:t>
      </w:r>
      <w:r w:rsidR="005A1EFF">
        <w:rPr>
          <w:rFonts w:asciiTheme="minorHAnsi" w:hAnsiTheme="minorHAnsi"/>
          <w:i/>
        </w:rPr>
        <w:t xml:space="preserve">l fronte delle </w:t>
      </w:r>
      <w:r w:rsidR="00E14671">
        <w:rPr>
          <w:rFonts w:asciiTheme="minorHAnsi" w:hAnsiTheme="minorHAnsi"/>
          <w:i/>
        </w:rPr>
        <w:t xml:space="preserve">rinnovabili: </w:t>
      </w:r>
      <w:r w:rsidRPr="00F20C1F">
        <w:rPr>
          <w:rFonts w:asciiTheme="minorHAnsi" w:hAnsiTheme="minorHAnsi"/>
          <w:i/>
        </w:rPr>
        <w:t>l’Italia fa</w:t>
      </w:r>
      <w:r w:rsidR="00E14671">
        <w:rPr>
          <w:rFonts w:asciiTheme="minorHAnsi" w:hAnsiTheme="minorHAnsi"/>
          <w:i/>
        </w:rPr>
        <w:t xml:space="preserve"> registrare infatti nel periodo </w:t>
      </w:r>
      <w:r w:rsidRPr="00F20C1F">
        <w:rPr>
          <w:rFonts w:asciiTheme="minorHAnsi" w:hAnsiTheme="minorHAnsi"/>
          <w:i/>
        </w:rPr>
        <w:t>200</w:t>
      </w:r>
      <w:r w:rsidR="00E14671">
        <w:rPr>
          <w:rFonts w:asciiTheme="minorHAnsi" w:hAnsiTheme="minorHAnsi"/>
          <w:i/>
        </w:rPr>
        <w:t>7</w:t>
      </w:r>
      <w:r w:rsidRPr="00F20C1F">
        <w:rPr>
          <w:rFonts w:asciiTheme="minorHAnsi" w:hAnsiTheme="minorHAnsi"/>
          <w:i/>
        </w:rPr>
        <w:t>-201</w:t>
      </w:r>
      <w:r w:rsidR="00E14671">
        <w:rPr>
          <w:rFonts w:asciiTheme="minorHAnsi" w:hAnsiTheme="minorHAnsi"/>
          <w:i/>
        </w:rPr>
        <w:t>5</w:t>
      </w:r>
      <w:r w:rsidRPr="00F20C1F">
        <w:rPr>
          <w:rFonts w:asciiTheme="minorHAnsi" w:hAnsiTheme="minorHAnsi"/>
          <w:i/>
        </w:rPr>
        <w:t xml:space="preserve"> una crescita </w:t>
      </w:r>
      <w:r w:rsidR="00274CDF">
        <w:rPr>
          <w:rFonts w:asciiTheme="minorHAnsi" w:hAnsiTheme="minorHAnsi"/>
          <w:i/>
        </w:rPr>
        <w:t>sostenuta</w:t>
      </w:r>
      <w:r w:rsidRPr="00F20C1F">
        <w:rPr>
          <w:rFonts w:asciiTheme="minorHAnsi" w:hAnsiTheme="minorHAnsi"/>
          <w:i/>
        </w:rPr>
        <w:t xml:space="preserve"> dei consumi di ene</w:t>
      </w:r>
      <w:r w:rsidR="00E14671">
        <w:rPr>
          <w:rFonts w:asciiTheme="minorHAnsi" w:hAnsiTheme="minorHAnsi"/>
          <w:i/>
        </w:rPr>
        <w:t xml:space="preserve">rgia elettrica coperti da fonti </w:t>
      </w:r>
      <w:r w:rsidRPr="00F20C1F">
        <w:rPr>
          <w:rFonts w:asciiTheme="minorHAnsi" w:hAnsiTheme="minorHAnsi"/>
          <w:i/>
        </w:rPr>
        <w:t>rinnovabil</w:t>
      </w:r>
      <w:r w:rsidR="00E14671">
        <w:rPr>
          <w:rFonts w:asciiTheme="minorHAnsi" w:hAnsiTheme="minorHAnsi"/>
          <w:i/>
        </w:rPr>
        <w:t>i.</w:t>
      </w:r>
      <w:r w:rsidRPr="00F20C1F">
        <w:rPr>
          <w:rFonts w:asciiTheme="minorHAnsi" w:hAnsiTheme="minorHAnsi"/>
          <w:i/>
        </w:rPr>
        <w:t xml:space="preserve"> </w:t>
      </w:r>
      <w:r w:rsidR="00E14671">
        <w:rPr>
          <w:rFonts w:asciiTheme="minorHAnsi" w:hAnsiTheme="minorHAnsi"/>
          <w:i/>
        </w:rPr>
        <w:t xml:space="preserve">In questo arco di tempo il </w:t>
      </w:r>
      <w:r w:rsidR="003B16DF">
        <w:rPr>
          <w:rFonts w:asciiTheme="minorHAnsi" w:hAnsiTheme="minorHAnsi"/>
          <w:i/>
        </w:rPr>
        <w:t xml:space="preserve">valore </w:t>
      </w:r>
      <w:r w:rsidR="00227E4E">
        <w:rPr>
          <w:rFonts w:asciiTheme="minorHAnsi" w:hAnsiTheme="minorHAnsi"/>
          <w:i/>
        </w:rPr>
        <w:t xml:space="preserve">nazionale </w:t>
      </w:r>
      <w:r w:rsidR="003B16DF">
        <w:rPr>
          <w:rFonts w:asciiTheme="minorHAnsi" w:hAnsiTheme="minorHAnsi"/>
          <w:i/>
        </w:rPr>
        <w:t>della copertura</w:t>
      </w:r>
      <w:r w:rsidR="00E14671">
        <w:rPr>
          <w:rFonts w:asciiTheme="minorHAnsi" w:hAnsiTheme="minorHAnsi"/>
          <w:i/>
        </w:rPr>
        <w:t xml:space="preserve"> è</w:t>
      </w:r>
      <w:r w:rsidRPr="00F20C1F">
        <w:rPr>
          <w:rFonts w:asciiTheme="minorHAnsi" w:hAnsiTheme="minorHAnsi"/>
          <w:i/>
        </w:rPr>
        <w:t xml:space="preserve"> </w:t>
      </w:r>
      <w:r w:rsidR="00227E4E">
        <w:rPr>
          <w:rFonts w:asciiTheme="minorHAnsi" w:hAnsiTheme="minorHAnsi"/>
          <w:i/>
        </w:rPr>
        <w:t xml:space="preserve">infatti </w:t>
      </w:r>
      <w:r w:rsidR="00CF1650">
        <w:rPr>
          <w:rFonts w:asciiTheme="minorHAnsi" w:hAnsiTheme="minorHAnsi"/>
          <w:i/>
        </w:rPr>
        <w:t xml:space="preserve">più </w:t>
      </w:r>
      <w:r w:rsidRPr="00F20C1F">
        <w:rPr>
          <w:rFonts w:asciiTheme="minorHAnsi" w:hAnsiTheme="minorHAnsi"/>
          <w:i/>
        </w:rPr>
        <w:t xml:space="preserve">che </w:t>
      </w:r>
      <w:r w:rsidR="00E14671">
        <w:rPr>
          <w:rFonts w:asciiTheme="minorHAnsi" w:hAnsiTheme="minorHAnsi"/>
          <w:i/>
        </w:rPr>
        <w:t xml:space="preserve">raddoppiato </w:t>
      </w:r>
      <w:r w:rsidRPr="00F20C1F">
        <w:rPr>
          <w:rFonts w:asciiTheme="minorHAnsi" w:hAnsiTheme="minorHAnsi"/>
          <w:i/>
        </w:rPr>
        <w:t>(dal 1</w:t>
      </w:r>
      <w:r w:rsidR="00E14671">
        <w:rPr>
          <w:rFonts w:asciiTheme="minorHAnsi" w:hAnsiTheme="minorHAnsi"/>
          <w:i/>
        </w:rPr>
        <w:t>3,3 al 33,2%)</w:t>
      </w:r>
      <w:r w:rsidR="00227E4E">
        <w:rPr>
          <w:rFonts w:asciiTheme="minorHAnsi" w:hAnsiTheme="minorHAnsi"/>
          <w:i/>
        </w:rPr>
        <w:t>. I</w:t>
      </w:r>
      <w:r w:rsidR="00E14671">
        <w:rPr>
          <w:rFonts w:asciiTheme="minorHAnsi" w:hAnsiTheme="minorHAnsi"/>
          <w:i/>
        </w:rPr>
        <w:t xml:space="preserve">n particolare, merita di essere sottolineato il </w:t>
      </w:r>
      <w:r w:rsidR="00227E4E">
        <w:rPr>
          <w:rFonts w:asciiTheme="minorHAnsi" w:hAnsiTheme="minorHAnsi"/>
          <w:i/>
        </w:rPr>
        <w:t>risultato</w:t>
      </w:r>
      <w:r w:rsidR="00E14671">
        <w:rPr>
          <w:rFonts w:asciiTheme="minorHAnsi" w:hAnsiTheme="minorHAnsi"/>
          <w:i/>
        </w:rPr>
        <w:t xml:space="preserve"> che viene dal Mezzogio</w:t>
      </w:r>
      <w:r w:rsidR="006E6E05">
        <w:rPr>
          <w:rFonts w:asciiTheme="minorHAnsi" w:hAnsiTheme="minorHAnsi"/>
          <w:i/>
        </w:rPr>
        <w:t xml:space="preserve">rno, dove si assiste a un </w:t>
      </w:r>
      <w:r w:rsidR="003B16DF">
        <w:rPr>
          <w:rFonts w:asciiTheme="minorHAnsi" w:hAnsiTheme="minorHAnsi"/>
          <w:i/>
        </w:rPr>
        <w:t>exploit</w:t>
      </w:r>
      <w:r w:rsidR="00E14671">
        <w:rPr>
          <w:rFonts w:asciiTheme="minorHAnsi" w:hAnsiTheme="minorHAnsi"/>
          <w:i/>
        </w:rPr>
        <w:t xml:space="preserve"> </w:t>
      </w:r>
      <w:r w:rsidR="00CF1650">
        <w:rPr>
          <w:rFonts w:asciiTheme="minorHAnsi" w:hAnsiTheme="minorHAnsi"/>
          <w:i/>
        </w:rPr>
        <w:t xml:space="preserve">con una repentina ascesa </w:t>
      </w:r>
      <w:r w:rsidR="00E14671">
        <w:rPr>
          <w:rFonts w:asciiTheme="minorHAnsi" w:hAnsiTheme="minorHAnsi"/>
          <w:i/>
        </w:rPr>
        <w:t>dall’8,3 al 38,9%.</w:t>
      </w:r>
    </w:p>
    <w:p w:rsidR="00EF727D" w:rsidRDefault="00EF727D" w:rsidP="00AE09F2">
      <w:pPr>
        <w:pStyle w:val="grafico"/>
        <w:spacing w:before="0" w:beforeAutospacing="0" w:after="0" w:afterAutospacing="0"/>
        <w:jc w:val="both"/>
        <w:rPr>
          <w:rFonts w:asciiTheme="minorHAnsi" w:hAnsiTheme="minorHAnsi"/>
          <w:i/>
        </w:rPr>
      </w:pPr>
    </w:p>
    <w:p w:rsidR="00EF727D" w:rsidRDefault="00EF727D" w:rsidP="0065724B">
      <w:pPr>
        <w:pStyle w:val="grafico"/>
        <w:spacing w:before="0" w:beforeAutospacing="0" w:after="0" w:afterAutospacing="0"/>
        <w:jc w:val="both"/>
        <w:rPr>
          <w:rFonts w:asciiTheme="minorHAnsi" w:hAnsiTheme="minorHAnsi"/>
          <w:i/>
        </w:rPr>
      </w:pPr>
    </w:p>
    <w:p w:rsidR="00EF727D" w:rsidRDefault="00EF727D" w:rsidP="0065724B">
      <w:pPr>
        <w:pStyle w:val="Titolo1"/>
      </w:pPr>
      <w:r>
        <w:t xml:space="preserve">Un consumo </w:t>
      </w:r>
      <w:r w:rsidR="00EF7895">
        <w:t>davvero dissennato</w:t>
      </w:r>
    </w:p>
    <w:p w:rsidR="00EF727D" w:rsidRDefault="00EF727D" w:rsidP="0065724B">
      <w:pPr>
        <w:spacing w:after="0" w:line="240" w:lineRule="auto"/>
      </w:pPr>
    </w:p>
    <w:p w:rsidR="00EF7895" w:rsidRDefault="00EF7895" w:rsidP="0065724B">
      <w:pPr>
        <w:spacing w:after="0" w:line="240" w:lineRule="auto"/>
      </w:pPr>
    </w:p>
    <w:p w:rsidR="00006CF3" w:rsidRPr="00D81F33" w:rsidRDefault="00EF7895" w:rsidP="009205D6">
      <w:pPr>
        <w:spacing w:after="0" w:line="240" w:lineRule="auto"/>
        <w:jc w:val="both"/>
        <w:rPr>
          <w:i/>
          <w:sz w:val="24"/>
        </w:rPr>
      </w:pPr>
      <w:r w:rsidRPr="00D81F33">
        <w:rPr>
          <w:i/>
          <w:sz w:val="24"/>
        </w:rPr>
        <w:t xml:space="preserve">I dati dell’Ispra, </w:t>
      </w:r>
      <w:r w:rsidR="009205D6" w:rsidRPr="00D81F33">
        <w:rPr>
          <w:i/>
          <w:sz w:val="24"/>
        </w:rPr>
        <w:t>l’</w:t>
      </w:r>
      <w:r w:rsidRPr="00D81F33">
        <w:rPr>
          <w:i/>
          <w:sz w:val="24"/>
        </w:rPr>
        <w:t xml:space="preserve">Istituto superiore per la protezione e la ricerca ambientale, parlano chiaro: dagli anni ’50 a oggi il consumo di suolo </w:t>
      </w:r>
      <w:r w:rsidR="009205D6" w:rsidRPr="00D81F33">
        <w:rPr>
          <w:i/>
          <w:sz w:val="24"/>
        </w:rPr>
        <w:t>in Italia</w:t>
      </w:r>
      <w:r w:rsidRPr="00D81F33">
        <w:rPr>
          <w:i/>
          <w:sz w:val="24"/>
        </w:rPr>
        <w:t xml:space="preserve"> è più che raddoppiato, passando dal 2,7 al 7</w:t>
      </w:r>
      <w:r w:rsidR="009205D6" w:rsidRPr="00D81F33">
        <w:rPr>
          <w:i/>
          <w:sz w:val="24"/>
        </w:rPr>
        <w:t>%. Solo n</w:t>
      </w:r>
      <w:r w:rsidRPr="00D81F33">
        <w:rPr>
          <w:i/>
          <w:sz w:val="24"/>
        </w:rPr>
        <w:t xml:space="preserve">egli ultimi dieci anni (2008-2015) </w:t>
      </w:r>
      <w:r w:rsidR="00BF520D" w:rsidRPr="00D81F33">
        <w:rPr>
          <w:i/>
          <w:sz w:val="24"/>
        </w:rPr>
        <w:t xml:space="preserve">si registra un aumento dello 0,6%, </w:t>
      </w:r>
      <w:r w:rsidR="009205D6" w:rsidRPr="00D81F33">
        <w:rPr>
          <w:i/>
          <w:sz w:val="24"/>
        </w:rPr>
        <w:t>pari a</w:t>
      </w:r>
      <w:r w:rsidR="00BF520D" w:rsidRPr="00D81F33">
        <w:rPr>
          <w:i/>
          <w:sz w:val="24"/>
        </w:rPr>
        <w:t xml:space="preserve"> 1.700 chilometri quadrati di suolo “bruciati” in nuov</w:t>
      </w:r>
      <w:r w:rsidR="009205D6" w:rsidRPr="00D81F33">
        <w:rPr>
          <w:i/>
          <w:sz w:val="24"/>
        </w:rPr>
        <w:t xml:space="preserve">i </w:t>
      </w:r>
      <w:r w:rsidR="00BF520D" w:rsidRPr="00D81F33">
        <w:rPr>
          <w:i/>
          <w:sz w:val="24"/>
        </w:rPr>
        <w:t xml:space="preserve">impianti, infrastrutture e costruzioni. </w:t>
      </w:r>
      <w:r w:rsidR="009205D6" w:rsidRPr="00D81F33">
        <w:rPr>
          <w:i/>
          <w:sz w:val="24"/>
        </w:rPr>
        <w:t xml:space="preserve">È un dato </w:t>
      </w:r>
      <w:r w:rsidR="00E95A1A">
        <w:rPr>
          <w:i/>
          <w:sz w:val="24"/>
        </w:rPr>
        <w:t>su cui riflettere</w:t>
      </w:r>
      <w:r w:rsidR="009205D6" w:rsidRPr="00D81F33">
        <w:rPr>
          <w:i/>
          <w:sz w:val="24"/>
        </w:rPr>
        <w:t xml:space="preserve">. Lo riconosce lo stesso Ispra, secondo cui (cfr. </w:t>
      </w:r>
      <w:r w:rsidR="002C1295" w:rsidRPr="00D81F33">
        <w:rPr>
          <w:i/>
          <w:sz w:val="24"/>
        </w:rPr>
        <w:t>la presentazione de</w:t>
      </w:r>
      <w:r w:rsidR="009205D6" w:rsidRPr="00D81F33">
        <w:rPr>
          <w:i/>
          <w:sz w:val="24"/>
        </w:rPr>
        <w:t xml:space="preserve">l Rapporto “Consumo di suolo, dinamiche territoriali e servizi </w:t>
      </w:r>
      <w:proofErr w:type="spellStart"/>
      <w:r w:rsidR="009205D6" w:rsidRPr="00D81F33">
        <w:rPr>
          <w:i/>
          <w:sz w:val="24"/>
        </w:rPr>
        <w:t>ecosistemici</w:t>
      </w:r>
      <w:proofErr w:type="spellEnd"/>
      <w:r w:rsidR="009205D6" w:rsidRPr="00D81F33">
        <w:rPr>
          <w:i/>
          <w:sz w:val="24"/>
        </w:rPr>
        <w:t>. Edizione 2017”) “</w:t>
      </w:r>
      <w:r w:rsidR="00006CF3" w:rsidRPr="00D81F33">
        <w:rPr>
          <w:i/>
          <w:sz w:val="24"/>
        </w:rPr>
        <w:t>non vi sono ancora strumenti efficaci per il governo del consumo di suolo, e ciò rappresenta un grave vulnus</w:t>
      </w:r>
      <w:r w:rsidR="009205D6" w:rsidRPr="00D81F33">
        <w:rPr>
          <w:i/>
          <w:sz w:val="24"/>
        </w:rPr>
        <w:t xml:space="preserve"> </w:t>
      </w:r>
      <w:r w:rsidR="00006CF3" w:rsidRPr="00D81F33">
        <w:rPr>
          <w:i/>
          <w:sz w:val="24"/>
        </w:rPr>
        <w:t xml:space="preserve">in vista della auspicata ripresa economica, che non dovrà assolutamente accompagnarsi ad una ripresa della </w:t>
      </w:r>
      <w:proofErr w:type="spellStart"/>
      <w:r w:rsidR="00006CF3" w:rsidRPr="00D81F33">
        <w:rPr>
          <w:i/>
          <w:sz w:val="24"/>
        </w:rPr>
        <w:t>artificializzazione</w:t>
      </w:r>
      <w:proofErr w:type="spellEnd"/>
      <w:r w:rsidR="00006CF3" w:rsidRPr="00D81F33">
        <w:rPr>
          <w:i/>
          <w:sz w:val="24"/>
        </w:rPr>
        <w:t xml:space="preserve"> del suolo che i fragili territori italiani non possono più permettersi.</w:t>
      </w:r>
      <w:r w:rsidR="009205D6" w:rsidRPr="00D81F33">
        <w:rPr>
          <w:i/>
          <w:sz w:val="24"/>
        </w:rPr>
        <w:t xml:space="preserve"> </w:t>
      </w:r>
      <w:r w:rsidR="00006CF3" w:rsidRPr="00D81F33">
        <w:rPr>
          <w:i/>
          <w:sz w:val="24"/>
        </w:rPr>
        <w:t>(…)</w:t>
      </w:r>
      <w:r w:rsidR="009205D6" w:rsidRPr="00D81F33">
        <w:rPr>
          <w:i/>
          <w:sz w:val="24"/>
        </w:rPr>
        <w:t xml:space="preserve">. </w:t>
      </w:r>
      <w:r w:rsidR="00006CF3" w:rsidRPr="00D81F33">
        <w:rPr>
          <w:i/>
          <w:sz w:val="24"/>
        </w:rPr>
        <w:t>Un consistente contenimento del consumo di suolo è la premessa per garantire una ripresa sostenibile dei nostri territori attraverso la promozione del capitale naturale e del paesaggio, l’edilizia di qualità, la riqualificazione e rigenerazione urbana, oltre al riuso de</w:t>
      </w:r>
      <w:r w:rsidR="00D8778A">
        <w:rPr>
          <w:i/>
          <w:sz w:val="24"/>
        </w:rPr>
        <w:t>lle aree contaminate o dismesse</w:t>
      </w:r>
      <w:r w:rsidR="009205D6" w:rsidRPr="00D81F33">
        <w:rPr>
          <w:i/>
          <w:sz w:val="24"/>
        </w:rPr>
        <w:t>.” Più chiaro (e condivisibile) di così…</w:t>
      </w:r>
    </w:p>
    <w:p w:rsidR="00006CF3" w:rsidRDefault="00006CF3" w:rsidP="0065724B">
      <w:pPr>
        <w:spacing w:after="0" w:line="240" w:lineRule="auto"/>
        <w:jc w:val="both"/>
        <w:rPr>
          <w:i/>
        </w:rPr>
      </w:pPr>
    </w:p>
    <w:p w:rsidR="00006CF3" w:rsidRDefault="00006CF3" w:rsidP="0065724B">
      <w:pPr>
        <w:spacing w:after="0" w:line="240" w:lineRule="auto"/>
        <w:jc w:val="both"/>
        <w:rPr>
          <w:i/>
        </w:rPr>
      </w:pPr>
    </w:p>
    <w:p w:rsidR="00006CF3" w:rsidRDefault="00006CF3" w:rsidP="0065724B">
      <w:pPr>
        <w:spacing w:after="0" w:line="240" w:lineRule="auto"/>
        <w:jc w:val="both"/>
        <w:rPr>
          <w:i/>
        </w:rPr>
      </w:pPr>
    </w:p>
    <w:p w:rsidR="0065724B" w:rsidRDefault="0065724B"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B9570E" w:rsidRDefault="00B9570E" w:rsidP="0065724B">
      <w:pPr>
        <w:spacing w:after="0" w:line="240" w:lineRule="auto"/>
        <w:jc w:val="both"/>
        <w:rPr>
          <w:i/>
        </w:rPr>
      </w:pPr>
    </w:p>
    <w:p w:rsidR="00EB6A4F" w:rsidRDefault="00EB6A4F" w:rsidP="0065724B">
      <w:pPr>
        <w:spacing w:after="0" w:line="240" w:lineRule="auto"/>
        <w:jc w:val="both"/>
        <w:rPr>
          <w:i/>
        </w:rPr>
      </w:pPr>
    </w:p>
    <w:p w:rsidR="00D8778A" w:rsidRDefault="00D8778A" w:rsidP="0065724B">
      <w:pPr>
        <w:spacing w:after="0" w:line="240" w:lineRule="auto"/>
        <w:jc w:val="both"/>
        <w:rPr>
          <w:i/>
        </w:rPr>
      </w:pPr>
    </w:p>
    <w:p w:rsidR="00D8778A" w:rsidRDefault="00D8778A" w:rsidP="0065724B">
      <w:pPr>
        <w:spacing w:after="0" w:line="240" w:lineRule="auto"/>
        <w:jc w:val="both"/>
        <w:rPr>
          <w:i/>
        </w:rPr>
      </w:pPr>
    </w:p>
    <w:p w:rsidR="00EB6A4F" w:rsidRDefault="00EB6A4F" w:rsidP="0065724B">
      <w:pPr>
        <w:spacing w:after="0" w:line="240" w:lineRule="auto"/>
        <w:jc w:val="both"/>
        <w:rPr>
          <w:i/>
        </w:rPr>
      </w:pPr>
    </w:p>
    <w:p w:rsidR="00EB6A4F" w:rsidRDefault="00EB6A4F" w:rsidP="0065724B">
      <w:pPr>
        <w:spacing w:after="0" w:line="240" w:lineRule="auto"/>
        <w:jc w:val="both"/>
        <w:rPr>
          <w:i/>
        </w:rPr>
      </w:pPr>
    </w:p>
    <w:p w:rsidR="00B9570E" w:rsidRDefault="00B9570E" w:rsidP="0065724B">
      <w:pPr>
        <w:spacing w:after="0" w:line="240" w:lineRule="auto"/>
        <w:jc w:val="both"/>
        <w:rPr>
          <w:i/>
        </w:rPr>
      </w:pPr>
    </w:p>
    <w:p w:rsidR="00992830" w:rsidRDefault="00992830" w:rsidP="0065724B">
      <w:pPr>
        <w:spacing w:after="0" w:line="240" w:lineRule="auto"/>
        <w:jc w:val="both"/>
        <w:rPr>
          <w:i/>
        </w:rPr>
      </w:pPr>
    </w:p>
    <w:p w:rsidR="00B9570E" w:rsidRDefault="00B9570E" w:rsidP="0065724B">
      <w:pPr>
        <w:spacing w:after="0" w:line="240" w:lineRule="auto"/>
        <w:jc w:val="both"/>
        <w:rPr>
          <w:i/>
        </w:rPr>
      </w:pPr>
    </w:p>
    <w:p w:rsidR="00D20660" w:rsidRPr="00992830" w:rsidRDefault="00D20660"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p>
    <w:p w:rsidR="00074CB5" w:rsidRDefault="00ED0D85"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32"/>
        </w:rPr>
      </w:pPr>
      <w:r w:rsidRPr="00ED0D85">
        <w:rPr>
          <w:b/>
          <w:sz w:val="32"/>
        </w:rPr>
        <w:t>COOPERAZIONE, PACE E DISARMO</w:t>
      </w:r>
    </w:p>
    <w:p w:rsidR="00D20660" w:rsidRPr="00992830" w:rsidRDefault="00D20660" w:rsidP="00897165">
      <w:pPr>
        <w:pBdr>
          <w:top w:val="single" w:sz="4" w:space="1" w:color="auto"/>
          <w:left w:val="single" w:sz="4" w:space="4" w:color="auto"/>
          <w:bottom w:val="single" w:sz="4" w:space="1" w:color="auto"/>
          <w:right w:val="single" w:sz="4" w:space="4" w:color="auto"/>
        </w:pBdr>
        <w:shd w:val="clear" w:color="auto" w:fill="FFC000"/>
        <w:spacing w:after="0" w:line="240" w:lineRule="auto"/>
        <w:rPr>
          <w:b/>
          <w:sz w:val="16"/>
        </w:rPr>
      </w:pPr>
      <w:bookmarkStart w:id="0" w:name="_GoBack"/>
      <w:bookmarkEnd w:id="0"/>
    </w:p>
    <w:p w:rsidR="00ED0D85" w:rsidRDefault="00ED0D85" w:rsidP="00F9378A">
      <w:pPr>
        <w:pStyle w:val="grafico"/>
        <w:spacing w:before="0" w:beforeAutospacing="0" w:after="0" w:afterAutospacing="0"/>
        <w:jc w:val="both"/>
        <w:rPr>
          <w:rFonts w:asciiTheme="minorHAnsi" w:hAnsiTheme="minorHAnsi"/>
        </w:rPr>
      </w:pPr>
    </w:p>
    <w:p w:rsidR="00EB6A4F" w:rsidRDefault="00EB6A4F" w:rsidP="00F9378A">
      <w:pPr>
        <w:pStyle w:val="grafico"/>
        <w:spacing w:before="0" w:beforeAutospacing="0" w:after="0" w:afterAutospacing="0"/>
        <w:jc w:val="both"/>
        <w:rPr>
          <w:rFonts w:asciiTheme="minorHAnsi" w:hAnsiTheme="minorHAnsi"/>
        </w:rPr>
      </w:pPr>
    </w:p>
    <w:p w:rsidR="00F9378A" w:rsidRPr="00475018" w:rsidRDefault="00F9378A" w:rsidP="00475018">
      <w:pPr>
        <w:pStyle w:val="Titolo1"/>
      </w:pPr>
      <w:r w:rsidRPr="00475018">
        <w:t>Armati fino ai denti</w:t>
      </w:r>
    </w:p>
    <w:p w:rsidR="00EB6A4F" w:rsidRDefault="00EB6A4F" w:rsidP="00F9378A">
      <w:pPr>
        <w:pStyle w:val="grafico"/>
        <w:spacing w:before="0" w:beforeAutospacing="0" w:after="0" w:afterAutospacing="0"/>
        <w:jc w:val="both"/>
        <w:rPr>
          <w:rFonts w:asciiTheme="minorHAnsi" w:hAnsiTheme="minorHAnsi"/>
        </w:rPr>
      </w:pPr>
    </w:p>
    <w:p w:rsidR="00475018" w:rsidRDefault="00475018" w:rsidP="00F9378A">
      <w:pPr>
        <w:pStyle w:val="grafico"/>
        <w:spacing w:before="0" w:beforeAutospacing="0" w:after="0" w:afterAutospacing="0"/>
        <w:jc w:val="both"/>
        <w:rPr>
          <w:rFonts w:asciiTheme="minorHAnsi" w:hAnsiTheme="minorHAnsi"/>
        </w:rPr>
      </w:pPr>
    </w:p>
    <w:p w:rsidR="00F9378A" w:rsidRPr="00475018" w:rsidRDefault="005D726A" w:rsidP="00F9378A">
      <w:pPr>
        <w:pStyle w:val="grafico"/>
        <w:spacing w:before="0" w:beforeAutospacing="0" w:after="0" w:afterAutospacing="0"/>
        <w:jc w:val="both"/>
        <w:rPr>
          <w:rFonts w:asciiTheme="minorHAnsi" w:hAnsiTheme="minorHAnsi"/>
          <w:i/>
        </w:rPr>
      </w:pPr>
      <w:r>
        <w:rPr>
          <w:rFonts w:asciiTheme="minorHAnsi" w:hAnsiTheme="minorHAnsi"/>
          <w:i/>
        </w:rPr>
        <w:t>In Italia, s</w:t>
      </w:r>
      <w:r w:rsidR="00F9378A" w:rsidRPr="00475018">
        <w:rPr>
          <w:rFonts w:asciiTheme="minorHAnsi" w:hAnsiTheme="minorHAnsi"/>
          <w:i/>
        </w:rPr>
        <w:t xml:space="preserve">e c’è un capitolo di spesa pubblica che </w:t>
      </w:r>
      <w:r w:rsidR="00093CEB" w:rsidRPr="00475018">
        <w:rPr>
          <w:rFonts w:asciiTheme="minorHAnsi" w:hAnsiTheme="minorHAnsi"/>
          <w:i/>
        </w:rPr>
        <w:t xml:space="preserve">proprio </w:t>
      </w:r>
      <w:r w:rsidR="00F9378A" w:rsidRPr="00475018">
        <w:rPr>
          <w:rFonts w:asciiTheme="minorHAnsi" w:hAnsiTheme="minorHAnsi"/>
          <w:i/>
        </w:rPr>
        <w:t>non</w:t>
      </w:r>
      <w:r w:rsidR="005C4277" w:rsidRPr="00475018">
        <w:rPr>
          <w:rFonts w:asciiTheme="minorHAnsi" w:hAnsiTheme="minorHAnsi"/>
          <w:i/>
        </w:rPr>
        <w:t xml:space="preserve"> conosce crisi, </w:t>
      </w:r>
      <w:r w:rsidR="00F9378A" w:rsidRPr="00475018">
        <w:rPr>
          <w:rFonts w:asciiTheme="minorHAnsi" w:hAnsiTheme="minorHAnsi"/>
          <w:i/>
        </w:rPr>
        <w:t xml:space="preserve">senza dubbio </w:t>
      </w:r>
      <w:r w:rsidR="00093CEB" w:rsidRPr="00475018">
        <w:rPr>
          <w:rFonts w:asciiTheme="minorHAnsi" w:hAnsiTheme="minorHAnsi"/>
          <w:i/>
        </w:rPr>
        <w:t>è</w:t>
      </w:r>
      <w:r w:rsidR="005C4277" w:rsidRPr="00475018">
        <w:rPr>
          <w:rFonts w:asciiTheme="minorHAnsi" w:hAnsiTheme="minorHAnsi"/>
          <w:i/>
        </w:rPr>
        <w:t xml:space="preserve"> </w:t>
      </w:r>
      <w:r w:rsidR="00F9378A" w:rsidRPr="00475018">
        <w:rPr>
          <w:rFonts w:asciiTheme="minorHAnsi" w:hAnsiTheme="minorHAnsi"/>
          <w:i/>
        </w:rPr>
        <w:t xml:space="preserve">quello </w:t>
      </w:r>
      <w:r w:rsidR="005C4277" w:rsidRPr="00475018">
        <w:rPr>
          <w:rFonts w:asciiTheme="minorHAnsi" w:hAnsiTheme="minorHAnsi"/>
          <w:i/>
        </w:rPr>
        <w:t>relativo al</w:t>
      </w:r>
      <w:r w:rsidR="00F9378A" w:rsidRPr="00475018">
        <w:rPr>
          <w:rFonts w:asciiTheme="minorHAnsi" w:hAnsiTheme="minorHAnsi"/>
          <w:i/>
        </w:rPr>
        <w:t xml:space="preserve">l’acquisto di armamenti. Nell’arco di dieci anni, si registra </w:t>
      </w:r>
      <w:r w:rsidR="00141D5C" w:rsidRPr="00475018">
        <w:rPr>
          <w:rFonts w:asciiTheme="minorHAnsi" w:hAnsiTheme="minorHAnsi"/>
          <w:i/>
        </w:rPr>
        <w:t xml:space="preserve">infatti </w:t>
      </w:r>
      <w:r w:rsidR="00475018" w:rsidRPr="00475018">
        <w:rPr>
          <w:rFonts w:asciiTheme="minorHAnsi" w:hAnsiTheme="minorHAnsi"/>
          <w:i/>
        </w:rPr>
        <w:t xml:space="preserve">per questa voce </w:t>
      </w:r>
      <w:r w:rsidR="00F9378A" w:rsidRPr="00475018">
        <w:rPr>
          <w:rFonts w:asciiTheme="minorHAnsi" w:hAnsiTheme="minorHAnsi"/>
          <w:i/>
        </w:rPr>
        <w:t>un aumento di oltre 2</w:t>
      </w:r>
      <w:r w:rsidR="00475018" w:rsidRPr="00475018">
        <w:rPr>
          <w:rFonts w:asciiTheme="minorHAnsi" w:hAnsiTheme="minorHAnsi"/>
          <w:i/>
        </w:rPr>
        <w:t>,5</w:t>
      </w:r>
      <w:r w:rsidR="00F9378A" w:rsidRPr="00475018">
        <w:rPr>
          <w:rFonts w:asciiTheme="minorHAnsi" w:hAnsiTheme="minorHAnsi"/>
          <w:i/>
        </w:rPr>
        <w:t xml:space="preserve"> miliardi di euro, da poco più di 3 miliardi nel 2006 agli oltre 5</w:t>
      </w:r>
      <w:r w:rsidR="00475018" w:rsidRPr="00475018">
        <w:rPr>
          <w:rFonts w:asciiTheme="minorHAnsi" w:hAnsiTheme="minorHAnsi"/>
          <w:i/>
        </w:rPr>
        <w:t>,5</w:t>
      </w:r>
      <w:r w:rsidR="00F9378A" w:rsidRPr="00475018">
        <w:rPr>
          <w:rFonts w:asciiTheme="minorHAnsi" w:hAnsiTheme="minorHAnsi"/>
          <w:i/>
        </w:rPr>
        <w:t xml:space="preserve"> di oggi. E nel 2017 si assiste a un aumento rispetto al 2016 sia dello stanziamento a bilancio del Ministero della Difesa per i programmi di acquisizione e ammodernamento di armamenti, sia dei contributi che il Ministero dello Sviluppo economico destina </w:t>
      </w:r>
      <w:r w:rsidR="00093CEB" w:rsidRPr="00475018">
        <w:rPr>
          <w:rFonts w:asciiTheme="minorHAnsi" w:hAnsiTheme="minorHAnsi"/>
          <w:i/>
        </w:rPr>
        <w:t>a questo</w:t>
      </w:r>
      <w:r w:rsidR="00F9378A" w:rsidRPr="00475018">
        <w:rPr>
          <w:rFonts w:asciiTheme="minorHAnsi" w:hAnsiTheme="minorHAnsi"/>
          <w:i/>
        </w:rPr>
        <w:t xml:space="preserve"> </w:t>
      </w:r>
      <w:r w:rsidR="00141D5C" w:rsidRPr="00475018">
        <w:rPr>
          <w:rFonts w:asciiTheme="minorHAnsi" w:hAnsiTheme="minorHAnsi"/>
          <w:i/>
        </w:rPr>
        <w:t xml:space="preserve">stesso </w:t>
      </w:r>
      <w:r w:rsidR="00F9378A" w:rsidRPr="00475018">
        <w:rPr>
          <w:rFonts w:asciiTheme="minorHAnsi" w:hAnsiTheme="minorHAnsi"/>
          <w:i/>
        </w:rPr>
        <w:t>scopo. In base ai calcoli dell’Osservato</w:t>
      </w:r>
      <w:r w:rsidR="00093CEB" w:rsidRPr="00475018">
        <w:rPr>
          <w:rFonts w:asciiTheme="minorHAnsi" w:hAnsiTheme="minorHAnsi"/>
          <w:i/>
        </w:rPr>
        <w:t xml:space="preserve">rio </w:t>
      </w:r>
      <w:proofErr w:type="spellStart"/>
      <w:r w:rsidR="00093CEB" w:rsidRPr="00475018">
        <w:rPr>
          <w:rFonts w:asciiTheme="minorHAnsi" w:hAnsiTheme="minorHAnsi"/>
          <w:i/>
        </w:rPr>
        <w:t>Mil€x</w:t>
      </w:r>
      <w:proofErr w:type="spellEnd"/>
      <w:r w:rsidR="00093CEB" w:rsidRPr="00475018">
        <w:rPr>
          <w:rFonts w:asciiTheme="minorHAnsi" w:hAnsiTheme="minorHAnsi"/>
          <w:i/>
        </w:rPr>
        <w:t xml:space="preserve">, sommando le due voci, </w:t>
      </w:r>
      <w:r w:rsidR="00F9378A" w:rsidRPr="00475018">
        <w:rPr>
          <w:rFonts w:asciiTheme="minorHAnsi" w:hAnsiTheme="minorHAnsi"/>
          <w:i/>
        </w:rPr>
        <w:t xml:space="preserve">la spesa in </w:t>
      </w:r>
      <w:r w:rsidR="00093CEB" w:rsidRPr="00475018">
        <w:rPr>
          <w:rFonts w:asciiTheme="minorHAnsi" w:hAnsiTheme="minorHAnsi"/>
          <w:i/>
        </w:rPr>
        <w:t xml:space="preserve">armamenti </w:t>
      </w:r>
      <w:r w:rsidR="00F9378A" w:rsidRPr="00475018">
        <w:rPr>
          <w:rFonts w:asciiTheme="minorHAnsi" w:hAnsiTheme="minorHAnsi"/>
          <w:i/>
        </w:rPr>
        <w:t>nel 2017 supera i 5,6 miliardi di euro – oltre 15 milioni di euro al giorno, con un aumento di quasi il 10% sul 2016 – arrivando a rappresentare quasi un quarto della spesa militare complessiva.</w:t>
      </w:r>
    </w:p>
    <w:p w:rsidR="00F9378A" w:rsidRDefault="00F9378A" w:rsidP="00F9378A">
      <w:pPr>
        <w:pStyle w:val="grafico"/>
        <w:spacing w:before="0" w:beforeAutospacing="0" w:after="0" w:afterAutospacing="0"/>
        <w:jc w:val="both"/>
        <w:rPr>
          <w:rFonts w:asciiTheme="minorHAnsi" w:hAnsiTheme="minorHAnsi"/>
        </w:rPr>
      </w:pPr>
    </w:p>
    <w:p w:rsidR="00475018" w:rsidRPr="00816C5F" w:rsidRDefault="00475018" w:rsidP="00F9378A">
      <w:pPr>
        <w:pStyle w:val="grafico"/>
        <w:spacing w:before="0" w:beforeAutospacing="0" w:after="0" w:afterAutospacing="0"/>
        <w:jc w:val="both"/>
        <w:rPr>
          <w:rFonts w:asciiTheme="minorHAnsi" w:hAnsiTheme="minorHAnsi"/>
        </w:rPr>
      </w:pPr>
    </w:p>
    <w:p w:rsidR="00F9378A" w:rsidRPr="00302856" w:rsidRDefault="00F9378A" w:rsidP="00302856">
      <w:pPr>
        <w:pStyle w:val="Titolo1"/>
      </w:pPr>
      <w:r w:rsidRPr="00302856">
        <w:t>Più comandanti che comandati</w:t>
      </w:r>
    </w:p>
    <w:p w:rsidR="00302856" w:rsidRDefault="00302856" w:rsidP="00F9378A">
      <w:pPr>
        <w:pStyle w:val="grafico"/>
        <w:spacing w:before="0" w:beforeAutospacing="0" w:after="0" w:afterAutospacing="0"/>
        <w:jc w:val="both"/>
        <w:rPr>
          <w:rFonts w:asciiTheme="minorHAnsi" w:hAnsiTheme="minorHAnsi"/>
          <w:i/>
        </w:rPr>
      </w:pPr>
    </w:p>
    <w:p w:rsidR="00302856" w:rsidRDefault="00302856" w:rsidP="00F9378A">
      <w:pPr>
        <w:pStyle w:val="grafico"/>
        <w:spacing w:before="0" w:beforeAutospacing="0" w:after="0" w:afterAutospacing="0"/>
        <w:jc w:val="both"/>
        <w:rPr>
          <w:rFonts w:asciiTheme="minorHAnsi" w:hAnsiTheme="minorHAnsi"/>
          <w:i/>
        </w:rPr>
      </w:pPr>
    </w:p>
    <w:p w:rsidR="00F9378A" w:rsidRPr="00302856" w:rsidRDefault="00F9378A" w:rsidP="00F9378A">
      <w:pPr>
        <w:pStyle w:val="grafico"/>
        <w:spacing w:before="0" w:beforeAutospacing="0" w:after="0" w:afterAutospacing="0"/>
        <w:jc w:val="both"/>
        <w:rPr>
          <w:rFonts w:asciiTheme="minorHAnsi" w:hAnsiTheme="minorHAnsi"/>
          <w:i/>
        </w:rPr>
      </w:pPr>
      <w:r w:rsidRPr="00302856">
        <w:rPr>
          <w:rFonts w:asciiTheme="minorHAnsi" w:hAnsiTheme="minorHAnsi"/>
          <w:i/>
        </w:rPr>
        <w:t>Le Forze Armate</w:t>
      </w:r>
      <w:r w:rsidR="0041039B" w:rsidRPr="00302856">
        <w:rPr>
          <w:rFonts w:asciiTheme="minorHAnsi" w:hAnsiTheme="minorHAnsi"/>
          <w:i/>
        </w:rPr>
        <w:t xml:space="preserve"> italiane</w:t>
      </w:r>
      <w:r w:rsidRPr="00302856">
        <w:rPr>
          <w:rFonts w:asciiTheme="minorHAnsi" w:hAnsiTheme="minorHAnsi"/>
          <w:i/>
        </w:rPr>
        <w:t xml:space="preserve"> possono vantare una </w:t>
      </w:r>
      <w:r w:rsidR="009F43AF" w:rsidRPr="00302856">
        <w:rPr>
          <w:rFonts w:asciiTheme="minorHAnsi" w:hAnsiTheme="minorHAnsi"/>
          <w:i/>
        </w:rPr>
        <w:t xml:space="preserve">curiosa </w:t>
      </w:r>
      <w:r w:rsidRPr="00302856">
        <w:rPr>
          <w:rFonts w:asciiTheme="minorHAnsi" w:hAnsiTheme="minorHAnsi"/>
          <w:i/>
        </w:rPr>
        <w:t>peculiarità</w:t>
      </w:r>
      <w:r w:rsidR="00475018" w:rsidRPr="00302856">
        <w:rPr>
          <w:rFonts w:asciiTheme="minorHAnsi" w:hAnsiTheme="minorHAnsi"/>
          <w:i/>
        </w:rPr>
        <w:t xml:space="preserve"> – </w:t>
      </w:r>
      <w:r w:rsidR="009F43AF" w:rsidRPr="00302856">
        <w:rPr>
          <w:rFonts w:asciiTheme="minorHAnsi" w:hAnsiTheme="minorHAnsi"/>
          <w:i/>
        </w:rPr>
        <w:t>di cui certamente non andare fieri</w:t>
      </w:r>
      <w:r w:rsidRPr="00302856">
        <w:rPr>
          <w:rFonts w:asciiTheme="minorHAnsi" w:hAnsiTheme="minorHAnsi"/>
          <w:i/>
        </w:rPr>
        <w:t xml:space="preserve">: </w:t>
      </w:r>
      <w:r w:rsidR="00475018" w:rsidRPr="00302856">
        <w:rPr>
          <w:rFonts w:asciiTheme="minorHAnsi" w:hAnsiTheme="minorHAnsi"/>
          <w:i/>
        </w:rPr>
        <w:t>hanno</w:t>
      </w:r>
      <w:r w:rsidRPr="00302856">
        <w:rPr>
          <w:rFonts w:asciiTheme="minorHAnsi" w:hAnsiTheme="minorHAnsi"/>
          <w:i/>
        </w:rPr>
        <w:t xml:space="preserve"> più comandanti che comandati. Il numero dei primi (ufficiali e sottoufficiali) supera infatti quello dei secondi (graduati e truppa) di quasi novemila unità, 90mila contro 81mila circa</w:t>
      </w:r>
      <w:r w:rsidR="00302856" w:rsidRPr="00302856">
        <w:rPr>
          <w:rFonts w:asciiTheme="minorHAnsi" w:hAnsiTheme="minorHAnsi"/>
          <w:i/>
        </w:rPr>
        <w:t>: in valori percentuali i comandanti rappresentano il 52,6% del totale contro il 47,</w:t>
      </w:r>
      <w:r w:rsidR="00C174B1">
        <w:rPr>
          <w:rFonts w:asciiTheme="minorHAnsi" w:hAnsiTheme="minorHAnsi"/>
          <w:i/>
        </w:rPr>
        <w:t>4</w:t>
      </w:r>
      <w:r w:rsidR="00AD2949">
        <w:rPr>
          <w:rFonts w:asciiTheme="minorHAnsi" w:hAnsiTheme="minorHAnsi"/>
          <w:i/>
        </w:rPr>
        <w:t xml:space="preserve"> </w:t>
      </w:r>
      <w:r w:rsidR="00302856" w:rsidRPr="00302856">
        <w:rPr>
          <w:rFonts w:asciiTheme="minorHAnsi" w:hAnsiTheme="minorHAnsi"/>
          <w:i/>
        </w:rPr>
        <w:t>% dei comandati</w:t>
      </w:r>
      <w:r w:rsidRPr="00302856">
        <w:rPr>
          <w:rFonts w:asciiTheme="minorHAnsi" w:hAnsiTheme="minorHAnsi"/>
          <w:i/>
        </w:rPr>
        <w:t xml:space="preserve">. Per i comandanti si spende il doppio che per i comandati: oltre 4 miliardi di euro l’anno per i primi contro i 2 per i secondi. Non è giunto forse il momento di operare una decisa razionalizzazione dell’impianto della struttura delle Forze Armate italiane e di ridurre il numero degli effettivi, portandoli </w:t>
      </w:r>
      <w:r w:rsidR="00D8778A">
        <w:rPr>
          <w:rFonts w:asciiTheme="minorHAnsi" w:hAnsiTheme="minorHAnsi"/>
          <w:i/>
        </w:rPr>
        <w:t xml:space="preserve">subito </w:t>
      </w:r>
      <w:r w:rsidRPr="00302856">
        <w:rPr>
          <w:rFonts w:asciiTheme="minorHAnsi" w:hAnsiTheme="minorHAnsi"/>
          <w:i/>
        </w:rPr>
        <w:t>dagli attuali 179mila a 150mila – con un risparmio solo sugli stipendi di oltre 1,2 miliardi di euro l’anno?</w:t>
      </w:r>
    </w:p>
    <w:p w:rsidR="00F9378A" w:rsidRDefault="00F9378A" w:rsidP="00F9378A">
      <w:pPr>
        <w:pStyle w:val="grafico"/>
        <w:spacing w:before="0" w:beforeAutospacing="0" w:after="0" w:afterAutospacing="0"/>
        <w:jc w:val="both"/>
        <w:rPr>
          <w:rFonts w:asciiTheme="minorHAnsi" w:hAnsiTheme="minorHAnsi"/>
        </w:rPr>
      </w:pPr>
    </w:p>
    <w:p w:rsidR="00351BA7" w:rsidRDefault="00351BA7" w:rsidP="00F9378A">
      <w:pPr>
        <w:pStyle w:val="grafico"/>
        <w:spacing w:before="0" w:beforeAutospacing="0" w:after="0" w:afterAutospacing="0"/>
        <w:jc w:val="both"/>
        <w:rPr>
          <w:rFonts w:asciiTheme="minorHAnsi" w:hAnsiTheme="minorHAnsi"/>
        </w:rPr>
      </w:pPr>
    </w:p>
    <w:p w:rsidR="00351BA7" w:rsidRPr="00816C5F" w:rsidRDefault="008A5465" w:rsidP="008A5465">
      <w:pPr>
        <w:pStyle w:val="Titolo1"/>
      </w:pPr>
      <w:r>
        <w:t>…e la spesa militare continua a lievitare</w:t>
      </w:r>
    </w:p>
    <w:p w:rsidR="008A5465" w:rsidRDefault="008A5465" w:rsidP="00F9378A">
      <w:pPr>
        <w:pStyle w:val="grafico"/>
        <w:spacing w:before="0" w:beforeAutospacing="0" w:after="0" w:afterAutospacing="0"/>
        <w:jc w:val="both"/>
        <w:rPr>
          <w:rFonts w:asciiTheme="minorHAnsi" w:hAnsiTheme="minorHAnsi"/>
          <w:i/>
        </w:rPr>
      </w:pPr>
    </w:p>
    <w:p w:rsidR="008A5465" w:rsidRDefault="008A5465" w:rsidP="00F9378A">
      <w:pPr>
        <w:pStyle w:val="grafico"/>
        <w:spacing w:before="0" w:beforeAutospacing="0" w:after="0" w:afterAutospacing="0"/>
        <w:jc w:val="both"/>
        <w:rPr>
          <w:rFonts w:asciiTheme="minorHAnsi" w:hAnsiTheme="minorHAnsi"/>
          <w:i/>
        </w:rPr>
      </w:pPr>
    </w:p>
    <w:p w:rsidR="0034139E" w:rsidRPr="008A5465" w:rsidRDefault="00F9378A" w:rsidP="00F9378A">
      <w:pPr>
        <w:pStyle w:val="grafico"/>
        <w:spacing w:before="0" w:beforeAutospacing="0" w:after="0" w:afterAutospacing="0"/>
        <w:jc w:val="both"/>
        <w:rPr>
          <w:rFonts w:asciiTheme="minorHAnsi" w:hAnsiTheme="minorHAnsi"/>
          <w:i/>
        </w:rPr>
      </w:pPr>
      <w:r w:rsidRPr="008A5465">
        <w:rPr>
          <w:rFonts w:asciiTheme="minorHAnsi" w:hAnsiTheme="minorHAnsi"/>
          <w:i/>
        </w:rPr>
        <w:t xml:space="preserve">L’Italia, con </w:t>
      </w:r>
      <w:r w:rsidR="008A5465" w:rsidRPr="008A5465">
        <w:rPr>
          <w:rFonts w:asciiTheme="minorHAnsi" w:hAnsiTheme="minorHAnsi"/>
          <w:i/>
        </w:rPr>
        <w:t>una cifra pari a quasi</w:t>
      </w:r>
      <w:r w:rsidRPr="008A5465">
        <w:rPr>
          <w:rFonts w:asciiTheme="minorHAnsi" w:hAnsiTheme="minorHAnsi"/>
          <w:i/>
        </w:rPr>
        <w:t xml:space="preserve"> 28 miliardi di euro nel 2016, si colloca a</w:t>
      </w:r>
      <w:r w:rsidR="004403EE" w:rsidRPr="008A5465">
        <w:rPr>
          <w:rFonts w:asciiTheme="minorHAnsi" w:hAnsiTheme="minorHAnsi"/>
          <w:i/>
        </w:rPr>
        <w:t>ll’undicesimo</w:t>
      </w:r>
      <w:r w:rsidRPr="008A5465">
        <w:rPr>
          <w:rFonts w:asciiTheme="minorHAnsi" w:hAnsiTheme="minorHAnsi"/>
          <w:i/>
        </w:rPr>
        <w:t xml:space="preserve"> posto nella classifica </w:t>
      </w:r>
      <w:r w:rsidR="00C7164B" w:rsidRPr="008A5465">
        <w:rPr>
          <w:rFonts w:asciiTheme="minorHAnsi" w:hAnsiTheme="minorHAnsi"/>
          <w:i/>
        </w:rPr>
        <w:t xml:space="preserve">mondiale </w:t>
      </w:r>
      <w:r w:rsidRPr="008A5465">
        <w:rPr>
          <w:rFonts w:asciiTheme="minorHAnsi" w:hAnsiTheme="minorHAnsi"/>
          <w:i/>
        </w:rPr>
        <w:t>sul</w:t>
      </w:r>
      <w:r w:rsidR="00C7164B" w:rsidRPr="008A5465">
        <w:rPr>
          <w:rFonts w:asciiTheme="minorHAnsi" w:hAnsiTheme="minorHAnsi"/>
          <w:i/>
        </w:rPr>
        <w:t>la</w:t>
      </w:r>
      <w:r w:rsidR="007A4C06" w:rsidRPr="008A5465">
        <w:rPr>
          <w:rFonts w:asciiTheme="minorHAnsi" w:hAnsiTheme="minorHAnsi"/>
          <w:i/>
        </w:rPr>
        <w:t xml:space="preserve"> spe</w:t>
      </w:r>
      <w:r w:rsidR="004403EE" w:rsidRPr="008A5465">
        <w:rPr>
          <w:rFonts w:asciiTheme="minorHAnsi" w:hAnsiTheme="minorHAnsi"/>
          <w:i/>
        </w:rPr>
        <w:t xml:space="preserve">sa militare elaborata dal </w:t>
      </w:r>
      <w:proofErr w:type="spellStart"/>
      <w:r w:rsidR="004403EE" w:rsidRPr="008A5465">
        <w:rPr>
          <w:rFonts w:asciiTheme="minorHAnsi" w:hAnsiTheme="minorHAnsi"/>
          <w:i/>
        </w:rPr>
        <w:t>Sipri</w:t>
      </w:r>
      <w:proofErr w:type="spellEnd"/>
      <w:r w:rsidR="004403EE" w:rsidRPr="008A5465">
        <w:rPr>
          <w:rFonts w:asciiTheme="minorHAnsi" w:hAnsiTheme="minorHAnsi"/>
          <w:i/>
        </w:rPr>
        <w:t xml:space="preserve"> (</w:t>
      </w:r>
      <w:proofErr w:type="spellStart"/>
      <w:r w:rsidRPr="008A5465">
        <w:rPr>
          <w:rFonts w:asciiTheme="minorHAnsi" w:hAnsiTheme="minorHAnsi"/>
          <w:i/>
        </w:rPr>
        <w:t>Stockholm</w:t>
      </w:r>
      <w:proofErr w:type="spellEnd"/>
      <w:r w:rsidRPr="008A5465">
        <w:rPr>
          <w:rFonts w:asciiTheme="minorHAnsi" w:hAnsiTheme="minorHAnsi"/>
          <w:i/>
        </w:rPr>
        <w:t xml:space="preserve"> International </w:t>
      </w:r>
      <w:proofErr w:type="spellStart"/>
      <w:r w:rsidRPr="008A5465">
        <w:rPr>
          <w:rFonts w:asciiTheme="minorHAnsi" w:hAnsiTheme="minorHAnsi"/>
          <w:i/>
        </w:rPr>
        <w:t>Peace</w:t>
      </w:r>
      <w:proofErr w:type="spellEnd"/>
      <w:r w:rsidRPr="008A5465">
        <w:rPr>
          <w:rFonts w:asciiTheme="minorHAnsi" w:hAnsiTheme="minorHAnsi"/>
          <w:i/>
        </w:rPr>
        <w:t xml:space="preserve"> </w:t>
      </w:r>
      <w:proofErr w:type="spellStart"/>
      <w:r w:rsidRPr="008A5465">
        <w:rPr>
          <w:rFonts w:asciiTheme="minorHAnsi" w:hAnsiTheme="minorHAnsi"/>
          <w:i/>
        </w:rPr>
        <w:t>Research</w:t>
      </w:r>
      <w:proofErr w:type="spellEnd"/>
      <w:r w:rsidRPr="008A5465">
        <w:rPr>
          <w:rFonts w:asciiTheme="minorHAnsi" w:hAnsiTheme="minorHAnsi"/>
          <w:i/>
        </w:rPr>
        <w:t xml:space="preserve"> </w:t>
      </w:r>
      <w:proofErr w:type="spellStart"/>
      <w:r w:rsidRPr="008A5465">
        <w:rPr>
          <w:rFonts w:asciiTheme="minorHAnsi" w:hAnsiTheme="minorHAnsi"/>
          <w:i/>
        </w:rPr>
        <w:t>Institute</w:t>
      </w:r>
      <w:proofErr w:type="spellEnd"/>
      <w:r w:rsidR="004403EE" w:rsidRPr="008A5465">
        <w:rPr>
          <w:rFonts w:asciiTheme="minorHAnsi" w:hAnsiTheme="minorHAnsi"/>
          <w:i/>
        </w:rPr>
        <w:t>)</w:t>
      </w:r>
      <w:r w:rsidRPr="008A5465">
        <w:rPr>
          <w:rFonts w:asciiTheme="minorHAnsi" w:hAnsiTheme="minorHAnsi"/>
          <w:i/>
        </w:rPr>
        <w:t xml:space="preserve">. Se è vero che </w:t>
      </w:r>
      <w:r w:rsidR="004403EE" w:rsidRPr="008A5465">
        <w:rPr>
          <w:rFonts w:asciiTheme="minorHAnsi" w:hAnsiTheme="minorHAnsi"/>
          <w:i/>
        </w:rPr>
        <w:t xml:space="preserve">nel nostro paese si </w:t>
      </w:r>
      <w:r w:rsidR="008A5465" w:rsidRPr="008A5465">
        <w:rPr>
          <w:rFonts w:asciiTheme="minorHAnsi" w:hAnsiTheme="minorHAnsi"/>
          <w:i/>
        </w:rPr>
        <w:t>s</w:t>
      </w:r>
      <w:r w:rsidR="004403EE" w:rsidRPr="008A5465">
        <w:rPr>
          <w:rFonts w:asciiTheme="minorHAnsi" w:hAnsiTheme="minorHAnsi"/>
          <w:i/>
        </w:rPr>
        <w:t>pen</w:t>
      </w:r>
      <w:r w:rsidR="008A5465" w:rsidRPr="008A5465">
        <w:rPr>
          <w:rFonts w:asciiTheme="minorHAnsi" w:hAnsiTheme="minorHAnsi"/>
          <w:i/>
        </w:rPr>
        <w:t>de</w:t>
      </w:r>
      <w:r w:rsidR="004403EE" w:rsidRPr="008A5465">
        <w:rPr>
          <w:rFonts w:asciiTheme="minorHAnsi" w:hAnsiTheme="minorHAnsi"/>
          <w:i/>
        </w:rPr>
        <w:t xml:space="preserve"> meno che in</w:t>
      </w:r>
      <w:r w:rsidRPr="008A5465">
        <w:rPr>
          <w:rFonts w:asciiTheme="minorHAnsi" w:hAnsiTheme="minorHAnsi"/>
          <w:i/>
        </w:rPr>
        <w:t xml:space="preserve"> F</w:t>
      </w:r>
      <w:r w:rsidR="008A5465" w:rsidRPr="008A5465">
        <w:rPr>
          <w:rFonts w:asciiTheme="minorHAnsi" w:hAnsiTheme="minorHAnsi"/>
          <w:i/>
        </w:rPr>
        <w:t xml:space="preserve">rancia, Regno Unito e Germania, occorre comunque sottolineare che </w:t>
      </w:r>
      <w:r w:rsidR="004403EE" w:rsidRPr="008A5465">
        <w:rPr>
          <w:rFonts w:asciiTheme="minorHAnsi" w:hAnsiTheme="minorHAnsi"/>
          <w:i/>
        </w:rPr>
        <w:t>si stanziano</w:t>
      </w:r>
      <w:r w:rsidRPr="008A5465">
        <w:rPr>
          <w:rFonts w:asciiTheme="minorHAnsi" w:hAnsiTheme="minorHAnsi"/>
          <w:i/>
        </w:rPr>
        <w:t xml:space="preserve"> più risorse di paesi </w:t>
      </w:r>
      <w:r w:rsidR="00C7164B" w:rsidRPr="008A5465">
        <w:rPr>
          <w:rFonts w:asciiTheme="minorHAnsi" w:hAnsiTheme="minorHAnsi"/>
          <w:i/>
        </w:rPr>
        <w:t xml:space="preserve">fortemente militaristi </w:t>
      </w:r>
      <w:r w:rsidRPr="008A5465">
        <w:rPr>
          <w:rFonts w:asciiTheme="minorHAnsi" w:hAnsiTheme="minorHAnsi"/>
          <w:i/>
        </w:rPr>
        <w:t>come Israele, Turchia</w:t>
      </w:r>
      <w:r w:rsidR="00C7164B" w:rsidRPr="008A5465">
        <w:rPr>
          <w:rFonts w:asciiTheme="minorHAnsi" w:hAnsiTheme="minorHAnsi"/>
          <w:i/>
        </w:rPr>
        <w:t xml:space="preserve"> e Iran. Una tendenza</w:t>
      </w:r>
      <w:r w:rsidR="004403EE" w:rsidRPr="008A5465">
        <w:rPr>
          <w:rFonts w:asciiTheme="minorHAnsi" w:hAnsiTheme="minorHAnsi"/>
          <w:i/>
        </w:rPr>
        <w:t>, questa,</w:t>
      </w:r>
      <w:r w:rsidR="00C7164B" w:rsidRPr="008A5465">
        <w:rPr>
          <w:rFonts w:asciiTheme="minorHAnsi" w:hAnsiTheme="minorHAnsi"/>
          <w:i/>
        </w:rPr>
        <w:t xml:space="preserve"> che non sembra destinata a invertirsi</w:t>
      </w:r>
      <w:r w:rsidR="00A135FE" w:rsidRPr="008A5465">
        <w:rPr>
          <w:rFonts w:asciiTheme="minorHAnsi" w:hAnsiTheme="minorHAnsi"/>
          <w:i/>
        </w:rPr>
        <w:t xml:space="preserve"> nel prossimo futuro</w:t>
      </w:r>
      <w:r w:rsidR="00C7164B" w:rsidRPr="008A5465">
        <w:rPr>
          <w:rFonts w:asciiTheme="minorHAnsi" w:hAnsiTheme="minorHAnsi"/>
          <w:i/>
        </w:rPr>
        <w:t xml:space="preserve">: </w:t>
      </w:r>
      <w:r w:rsidR="008A5465" w:rsidRPr="008A5465">
        <w:rPr>
          <w:rFonts w:asciiTheme="minorHAnsi" w:hAnsiTheme="minorHAnsi"/>
          <w:i/>
        </w:rPr>
        <w:t xml:space="preserve">al contrario, </w:t>
      </w:r>
      <w:r w:rsidR="00C7164B" w:rsidRPr="008A5465">
        <w:rPr>
          <w:rFonts w:asciiTheme="minorHAnsi" w:hAnsiTheme="minorHAnsi"/>
          <w:i/>
        </w:rPr>
        <w:t xml:space="preserve">secondo l’Osservatorio </w:t>
      </w:r>
      <w:proofErr w:type="spellStart"/>
      <w:r w:rsidR="00C7164B" w:rsidRPr="008A5465">
        <w:rPr>
          <w:rFonts w:asciiTheme="minorHAnsi" w:hAnsiTheme="minorHAnsi"/>
          <w:i/>
        </w:rPr>
        <w:t>Mil€x</w:t>
      </w:r>
      <w:proofErr w:type="spellEnd"/>
      <w:r w:rsidRPr="008A5465">
        <w:rPr>
          <w:rFonts w:asciiTheme="minorHAnsi" w:hAnsiTheme="minorHAnsi"/>
          <w:i/>
        </w:rPr>
        <w:t xml:space="preserve">, </w:t>
      </w:r>
      <w:r w:rsidR="00C7164B" w:rsidRPr="008A5465">
        <w:rPr>
          <w:rFonts w:asciiTheme="minorHAnsi" w:hAnsiTheme="minorHAnsi"/>
          <w:i/>
        </w:rPr>
        <w:t>è previsto</w:t>
      </w:r>
      <w:r w:rsidR="0034139E" w:rsidRPr="008A5465">
        <w:rPr>
          <w:rFonts w:asciiTheme="minorHAnsi" w:hAnsiTheme="minorHAnsi"/>
          <w:i/>
        </w:rPr>
        <w:t xml:space="preserve"> </w:t>
      </w:r>
      <w:r w:rsidRPr="008A5465">
        <w:rPr>
          <w:rFonts w:asciiTheme="minorHAnsi" w:hAnsiTheme="minorHAnsi"/>
          <w:i/>
        </w:rPr>
        <w:t xml:space="preserve">un aumento della spesa militare complessiva </w:t>
      </w:r>
      <w:r w:rsidR="0034139E" w:rsidRPr="008A5465">
        <w:rPr>
          <w:rFonts w:asciiTheme="minorHAnsi" w:hAnsiTheme="minorHAnsi"/>
          <w:i/>
        </w:rPr>
        <w:t xml:space="preserve">per il 2018 </w:t>
      </w:r>
      <w:r w:rsidRPr="008A5465">
        <w:rPr>
          <w:rFonts w:asciiTheme="minorHAnsi" w:hAnsiTheme="minorHAnsi"/>
          <w:i/>
        </w:rPr>
        <w:t xml:space="preserve">del 4%, passando dai 24,1 miliardi </w:t>
      </w:r>
      <w:r w:rsidR="00C7164B" w:rsidRPr="008A5465">
        <w:rPr>
          <w:rFonts w:asciiTheme="minorHAnsi" w:hAnsiTheme="minorHAnsi"/>
          <w:i/>
        </w:rPr>
        <w:t xml:space="preserve">di euro </w:t>
      </w:r>
      <w:r w:rsidR="0034139E" w:rsidRPr="008A5465">
        <w:rPr>
          <w:rFonts w:asciiTheme="minorHAnsi" w:hAnsiTheme="minorHAnsi"/>
          <w:i/>
        </w:rPr>
        <w:t>stimati previsionalmente per il 2017 agli oltre 25 miliardi messi in campo dal Governo</w:t>
      </w:r>
      <w:r w:rsidR="001770CE">
        <w:rPr>
          <w:rFonts w:asciiTheme="minorHAnsi" w:hAnsiTheme="minorHAnsi"/>
          <w:i/>
        </w:rPr>
        <w:t xml:space="preserve"> </w:t>
      </w:r>
      <w:proofErr w:type="spellStart"/>
      <w:r w:rsidR="001770CE">
        <w:rPr>
          <w:rFonts w:asciiTheme="minorHAnsi" w:hAnsiTheme="minorHAnsi"/>
          <w:i/>
        </w:rPr>
        <w:t>Gentiloni</w:t>
      </w:r>
      <w:proofErr w:type="spellEnd"/>
      <w:r w:rsidR="0034139E" w:rsidRPr="008A5465">
        <w:rPr>
          <w:rFonts w:asciiTheme="minorHAnsi" w:hAnsiTheme="minorHAnsi"/>
          <w:i/>
        </w:rPr>
        <w:t xml:space="preserve"> </w:t>
      </w:r>
      <w:r w:rsidR="001770CE">
        <w:rPr>
          <w:rFonts w:asciiTheme="minorHAnsi" w:hAnsiTheme="minorHAnsi"/>
          <w:i/>
        </w:rPr>
        <w:t>nella</w:t>
      </w:r>
      <w:r w:rsidR="0034139E" w:rsidRPr="008A5465">
        <w:rPr>
          <w:rFonts w:asciiTheme="minorHAnsi" w:hAnsiTheme="minorHAnsi"/>
          <w:i/>
        </w:rPr>
        <w:t xml:space="preserve"> Legge di Bilancio 2018.</w:t>
      </w:r>
    </w:p>
    <w:p w:rsidR="0034139E" w:rsidRPr="00816C5F" w:rsidRDefault="0034139E" w:rsidP="00F9378A">
      <w:pPr>
        <w:pStyle w:val="grafico"/>
        <w:spacing w:before="0" w:beforeAutospacing="0" w:after="0" w:afterAutospacing="0"/>
        <w:jc w:val="both"/>
        <w:rPr>
          <w:rFonts w:asciiTheme="minorHAnsi" w:hAnsiTheme="minorHAnsi"/>
        </w:rPr>
      </w:pPr>
    </w:p>
    <w:p w:rsidR="0078174E" w:rsidRDefault="0078174E" w:rsidP="00F9378A">
      <w:pPr>
        <w:pStyle w:val="grafico"/>
        <w:spacing w:before="0" w:beforeAutospacing="0" w:after="0" w:afterAutospacing="0"/>
        <w:jc w:val="both"/>
        <w:rPr>
          <w:rFonts w:asciiTheme="minorHAnsi" w:hAnsiTheme="minorHAnsi"/>
          <w:b/>
          <w:sz w:val="28"/>
        </w:rPr>
      </w:pPr>
    </w:p>
    <w:p w:rsidR="00F9378A" w:rsidRPr="003526D3" w:rsidRDefault="007A4C06" w:rsidP="003526D3">
      <w:pPr>
        <w:pStyle w:val="Titolo1"/>
      </w:pPr>
      <w:r w:rsidRPr="003526D3">
        <w:t xml:space="preserve">63 milioni di euro al giorno </w:t>
      </w:r>
      <w:r w:rsidR="003526D3" w:rsidRPr="003526D3">
        <w:t>per le</w:t>
      </w:r>
      <w:r w:rsidRPr="003526D3">
        <w:t xml:space="preserve"> armi</w:t>
      </w:r>
    </w:p>
    <w:p w:rsidR="003526D3" w:rsidRDefault="003526D3" w:rsidP="00F9378A">
      <w:pPr>
        <w:pStyle w:val="grafico"/>
        <w:spacing w:before="0" w:beforeAutospacing="0" w:after="0" w:afterAutospacing="0"/>
        <w:jc w:val="both"/>
        <w:rPr>
          <w:rFonts w:asciiTheme="minorHAnsi" w:hAnsiTheme="minorHAnsi"/>
        </w:rPr>
      </w:pPr>
    </w:p>
    <w:p w:rsidR="003526D3" w:rsidRDefault="003526D3" w:rsidP="00F9378A">
      <w:pPr>
        <w:pStyle w:val="grafico"/>
        <w:spacing w:before="0" w:beforeAutospacing="0" w:after="0" w:afterAutospacing="0"/>
        <w:jc w:val="both"/>
        <w:rPr>
          <w:rFonts w:asciiTheme="minorHAnsi" w:hAnsiTheme="minorHAnsi"/>
        </w:rPr>
      </w:pPr>
    </w:p>
    <w:p w:rsidR="00ED0D85" w:rsidRPr="003526D3" w:rsidRDefault="003526D3" w:rsidP="00F9378A">
      <w:pPr>
        <w:pStyle w:val="grafico"/>
        <w:spacing w:before="0" w:beforeAutospacing="0" w:after="0" w:afterAutospacing="0"/>
        <w:jc w:val="both"/>
        <w:rPr>
          <w:rFonts w:asciiTheme="minorHAnsi" w:hAnsiTheme="minorHAnsi"/>
          <w:i/>
        </w:rPr>
      </w:pPr>
      <w:r w:rsidRPr="003526D3">
        <w:rPr>
          <w:rFonts w:asciiTheme="minorHAnsi" w:hAnsiTheme="minorHAnsi"/>
          <w:i/>
        </w:rPr>
        <w:t xml:space="preserve">Un’altra </w:t>
      </w:r>
      <w:r w:rsidR="001770CE">
        <w:rPr>
          <w:rFonts w:asciiTheme="minorHAnsi" w:hAnsiTheme="minorHAnsi"/>
          <w:i/>
        </w:rPr>
        <w:t>cattiva</w:t>
      </w:r>
      <w:r w:rsidRPr="003526D3">
        <w:rPr>
          <w:rFonts w:asciiTheme="minorHAnsi" w:hAnsiTheme="minorHAnsi"/>
          <w:i/>
        </w:rPr>
        <w:t xml:space="preserve"> notizia per chi crede nella necessità e nell’urgenza di una drastica riduzione delle spese militari in Italia deriva dal dato sul peso percentuale di questo capitolo di bilancio sul Pil, pari nel 2016 all’1,5%: </w:t>
      </w:r>
      <w:r w:rsidR="001770CE">
        <w:rPr>
          <w:rFonts w:asciiTheme="minorHAnsi" w:hAnsiTheme="minorHAnsi"/>
          <w:i/>
        </w:rPr>
        <w:t xml:space="preserve">un </w:t>
      </w:r>
      <w:r w:rsidR="004F3C39">
        <w:rPr>
          <w:rFonts w:asciiTheme="minorHAnsi" w:hAnsiTheme="minorHAnsi"/>
          <w:i/>
        </w:rPr>
        <w:t>onere</w:t>
      </w:r>
      <w:r w:rsidR="001770CE">
        <w:rPr>
          <w:rFonts w:asciiTheme="minorHAnsi" w:hAnsiTheme="minorHAnsi"/>
          <w:i/>
        </w:rPr>
        <w:t xml:space="preserve"> ben </w:t>
      </w:r>
      <w:r w:rsidRPr="003526D3">
        <w:rPr>
          <w:rFonts w:asciiTheme="minorHAnsi" w:hAnsiTheme="minorHAnsi"/>
          <w:i/>
        </w:rPr>
        <w:t xml:space="preserve">più </w:t>
      </w:r>
      <w:r w:rsidR="001770CE">
        <w:rPr>
          <w:rFonts w:asciiTheme="minorHAnsi" w:hAnsiTheme="minorHAnsi"/>
          <w:i/>
        </w:rPr>
        <w:t xml:space="preserve">gravoso </w:t>
      </w:r>
      <w:r w:rsidRPr="003526D3">
        <w:rPr>
          <w:rFonts w:asciiTheme="minorHAnsi" w:hAnsiTheme="minorHAnsi"/>
          <w:i/>
        </w:rPr>
        <w:t xml:space="preserve">di </w:t>
      </w:r>
      <w:r w:rsidR="001770CE">
        <w:rPr>
          <w:rFonts w:asciiTheme="minorHAnsi" w:hAnsiTheme="minorHAnsi"/>
          <w:i/>
        </w:rPr>
        <w:t xml:space="preserve">quello che si registra in </w:t>
      </w:r>
      <w:r w:rsidRPr="003526D3">
        <w:rPr>
          <w:rFonts w:asciiTheme="minorHAnsi" w:hAnsiTheme="minorHAnsi"/>
          <w:i/>
        </w:rPr>
        <w:t xml:space="preserve">altri grandi paesi </w:t>
      </w:r>
      <w:r w:rsidR="001770CE">
        <w:rPr>
          <w:rFonts w:asciiTheme="minorHAnsi" w:hAnsiTheme="minorHAnsi"/>
          <w:i/>
        </w:rPr>
        <w:t>membri della Nato, a partire da</w:t>
      </w:r>
      <w:r w:rsidRPr="003526D3">
        <w:rPr>
          <w:rFonts w:asciiTheme="minorHAnsi" w:hAnsiTheme="minorHAnsi"/>
          <w:i/>
        </w:rPr>
        <w:t xml:space="preserve"> Germania (1,2%), Spagna (1,2%)</w:t>
      </w:r>
      <w:r w:rsidR="001770CE">
        <w:rPr>
          <w:rFonts w:asciiTheme="minorHAnsi" w:hAnsiTheme="minorHAnsi"/>
          <w:i/>
        </w:rPr>
        <w:t xml:space="preserve"> e</w:t>
      </w:r>
      <w:r w:rsidRPr="003526D3">
        <w:rPr>
          <w:rFonts w:asciiTheme="minorHAnsi" w:hAnsiTheme="minorHAnsi"/>
          <w:i/>
        </w:rPr>
        <w:t xml:space="preserve"> Canada (1%). In Italia</w:t>
      </w:r>
      <w:r w:rsidR="004F3C39">
        <w:rPr>
          <w:rFonts w:asciiTheme="minorHAnsi" w:hAnsiTheme="minorHAnsi"/>
          <w:i/>
        </w:rPr>
        <w:t xml:space="preserve"> infatti</w:t>
      </w:r>
      <w:r w:rsidRPr="003526D3">
        <w:rPr>
          <w:rFonts w:asciiTheme="minorHAnsi" w:hAnsiTheme="minorHAnsi"/>
          <w:i/>
        </w:rPr>
        <w:t>,</w:t>
      </w:r>
      <w:r w:rsidR="007A4C06" w:rsidRPr="003526D3">
        <w:rPr>
          <w:rFonts w:asciiTheme="minorHAnsi" w:hAnsiTheme="minorHAnsi"/>
          <w:i/>
        </w:rPr>
        <w:t xml:space="preserve"> </w:t>
      </w:r>
      <w:r w:rsidRPr="003526D3">
        <w:rPr>
          <w:rFonts w:asciiTheme="minorHAnsi" w:hAnsiTheme="minorHAnsi"/>
          <w:i/>
        </w:rPr>
        <w:t xml:space="preserve">secondo il </w:t>
      </w:r>
      <w:proofErr w:type="spellStart"/>
      <w:r w:rsidRPr="003526D3">
        <w:rPr>
          <w:rFonts w:asciiTheme="minorHAnsi" w:hAnsiTheme="minorHAnsi"/>
          <w:i/>
        </w:rPr>
        <w:t>Sipri</w:t>
      </w:r>
      <w:proofErr w:type="spellEnd"/>
      <w:r w:rsidRPr="003526D3">
        <w:rPr>
          <w:rFonts w:asciiTheme="minorHAnsi" w:hAnsiTheme="minorHAnsi"/>
          <w:i/>
        </w:rPr>
        <w:t xml:space="preserve">, </w:t>
      </w:r>
      <w:r w:rsidR="007A4C06" w:rsidRPr="003526D3">
        <w:rPr>
          <w:rFonts w:asciiTheme="minorHAnsi" w:hAnsiTheme="minorHAnsi"/>
          <w:i/>
        </w:rPr>
        <w:t xml:space="preserve">spendiamo in armi ogni giorno 63 milioni di euro, </w:t>
      </w:r>
      <w:r w:rsidR="001770CE">
        <w:rPr>
          <w:rFonts w:asciiTheme="minorHAnsi" w:hAnsiTheme="minorHAnsi"/>
          <w:i/>
        </w:rPr>
        <w:t xml:space="preserve">2,6 milioni di euro all’ora: non è molto difficile </w:t>
      </w:r>
      <w:r w:rsidR="00AC1CE8">
        <w:rPr>
          <w:rFonts w:asciiTheme="minorHAnsi" w:hAnsiTheme="minorHAnsi"/>
          <w:i/>
        </w:rPr>
        <w:t>immaginare</w:t>
      </w:r>
      <w:r w:rsidR="001770CE">
        <w:rPr>
          <w:rFonts w:asciiTheme="minorHAnsi" w:hAnsiTheme="minorHAnsi"/>
          <w:i/>
        </w:rPr>
        <w:t xml:space="preserve"> un impiego di questa montagna di soldi pi</w:t>
      </w:r>
      <w:r w:rsidR="004F3C39">
        <w:rPr>
          <w:rFonts w:asciiTheme="minorHAnsi" w:hAnsiTheme="minorHAnsi"/>
          <w:i/>
        </w:rPr>
        <w:t xml:space="preserve">ù utile, salutare e redditizio </w:t>
      </w:r>
      <w:r w:rsidR="001770CE">
        <w:rPr>
          <w:rFonts w:asciiTheme="minorHAnsi" w:hAnsiTheme="minorHAnsi"/>
          <w:i/>
        </w:rPr>
        <w:t>per tutti (tranne, ovviamente, che per l’élite militare-industriale).</w:t>
      </w:r>
    </w:p>
    <w:sectPr w:rsidR="00ED0D85" w:rsidRPr="003526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7B"/>
    <w:rsid w:val="00006CF3"/>
    <w:rsid w:val="00022EA0"/>
    <w:rsid w:val="00031EDF"/>
    <w:rsid w:val="00036206"/>
    <w:rsid w:val="00036542"/>
    <w:rsid w:val="00043299"/>
    <w:rsid w:val="00070053"/>
    <w:rsid w:val="00074CB5"/>
    <w:rsid w:val="00076FC0"/>
    <w:rsid w:val="0008613C"/>
    <w:rsid w:val="00093CEB"/>
    <w:rsid w:val="000B20E2"/>
    <w:rsid w:val="000C2D46"/>
    <w:rsid w:val="000D52F1"/>
    <w:rsid w:val="000E1E96"/>
    <w:rsid w:val="000E7B94"/>
    <w:rsid w:val="000F0B99"/>
    <w:rsid w:val="000F5536"/>
    <w:rsid w:val="00100D31"/>
    <w:rsid w:val="00113F4D"/>
    <w:rsid w:val="001215ED"/>
    <w:rsid w:val="00141D5C"/>
    <w:rsid w:val="001436E7"/>
    <w:rsid w:val="00154A40"/>
    <w:rsid w:val="001566AF"/>
    <w:rsid w:val="00160B79"/>
    <w:rsid w:val="001770CE"/>
    <w:rsid w:val="00186B6B"/>
    <w:rsid w:val="001968D4"/>
    <w:rsid w:val="001A50AC"/>
    <w:rsid w:val="001B5E99"/>
    <w:rsid w:val="001E1528"/>
    <w:rsid w:val="001E276B"/>
    <w:rsid w:val="00201C87"/>
    <w:rsid w:val="0020445E"/>
    <w:rsid w:val="00227E4E"/>
    <w:rsid w:val="00244021"/>
    <w:rsid w:val="00274CDF"/>
    <w:rsid w:val="00275D8A"/>
    <w:rsid w:val="002830CB"/>
    <w:rsid w:val="002B0ADF"/>
    <w:rsid w:val="002C1295"/>
    <w:rsid w:val="002C39CC"/>
    <w:rsid w:val="002C542C"/>
    <w:rsid w:val="002D2CC1"/>
    <w:rsid w:val="002D2F0F"/>
    <w:rsid w:val="002E6973"/>
    <w:rsid w:val="002F3E89"/>
    <w:rsid w:val="002F47AA"/>
    <w:rsid w:val="00302856"/>
    <w:rsid w:val="00303CCE"/>
    <w:rsid w:val="00312964"/>
    <w:rsid w:val="00333947"/>
    <w:rsid w:val="0034139E"/>
    <w:rsid w:val="0034468A"/>
    <w:rsid w:val="00347ADB"/>
    <w:rsid w:val="00351BA7"/>
    <w:rsid w:val="003526D3"/>
    <w:rsid w:val="00353711"/>
    <w:rsid w:val="003677AD"/>
    <w:rsid w:val="00375B01"/>
    <w:rsid w:val="003800D5"/>
    <w:rsid w:val="00385465"/>
    <w:rsid w:val="003979E9"/>
    <w:rsid w:val="003A65A0"/>
    <w:rsid w:val="003B16DF"/>
    <w:rsid w:val="003C3186"/>
    <w:rsid w:val="00405785"/>
    <w:rsid w:val="0041039B"/>
    <w:rsid w:val="004403EE"/>
    <w:rsid w:val="00455765"/>
    <w:rsid w:val="004704A7"/>
    <w:rsid w:val="00473535"/>
    <w:rsid w:val="00474543"/>
    <w:rsid w:val="00475018"/>
    <w:rsid w:val="00483B3A"/>
    <w:rsid w:val="004A392B"/>
    <w:rsid w:val="004A7626"/>
    <w:rsid w:val="004C0965"/>
    <w:rsid w:val="004F18CE"/>
    <w:rsid w:val="004F3C39"/>
    <w:rsid w:val="005065C5"/>
    <w:rsid w:val="00524C4E"/>
    <w:rsid w:val="005265FD"/>
    <w:rsid w:val="00533292"/>
    <w:rsid w:val="005362C5"/>
    <w:rsid w:val="005739FD"/>
    <w:rsid w:val="00595B11"/>
    <w:rsid w:val="005A028D"/>
    <w:rsid w:val="005A1EFF"/>
    <w:rsid w:val="005A240C"/>
    <w:rsid w:val="005B49BA"/>
    <w:rsid w:val="005C4277"/>
    <w:rsid w:val="005D275E"/>
    <w:rsid w:val="005D6B94"/>
    <w:rsid w:val="005D726A"/>
    <w:rsid w:val="005E438C"/>
    <w:rsid w:val="005E61AE"/>
    <w:rsid w:val="005E6F89"/>
    <w:rsid w:val="0065724B"/>
    <w:rsid w:val="0067232C"/>
    <w:rsid w:val="00675A29"/>
    <w:rsid w:val="00697845"/>
    <w:rsid w:val="006A0839"/>
    <w:rsid w:val="006A0E02"/>
    <w:rsid w:val="006A689D"/>
    <w:rsid w:val="006B1C91"/>
    <w:rsid w:val="006B396D"/>
    <w:rsid w:val="006B3DF7"/>
    <w:rsid w:val="006C6BBF"/>
    <w:rsid w:val="006D1F8B"/>
    <w:rsid w:val="006D3624"/>
    <w:rsid w:val="006E2D49"/>
    <w:rsid w:val="006E5858"/>
    <w:rsid w:val="006E6E05"/>
    <w:rsid w:val="006F519D"/>
    <w:rsid w:val="0074532B"/>
    <w:rsid w:val="007540FC"/>
    <w:rsid w:val="00757154"/>
    <w:rsid w:val="00763A84"/>
    <w:rsid w:val="0076473A"/>
    <w:rsid w:val="00767C1C"/>
    <w:rsid w:val="0078174E"/>
    <w:rsid w:val="00781960"/>
    <w:rsid w:val="00785F01"/>
    <w:rsid w:val="00796441"/>
    <w:rsid w:val="007A4C06"/>
    <w:rsid w:val="007B0BF2"/>
    <w:rsid w:val="007C4035"/>
    <w:rsid w:val="007D13E6"/>
    <w:rsid w:val="007E4A0C"/>
    <w:rsid w:val="007E77E4"/>
    <w:rsid w:val="008049CA"/>
    <w:rsid w:val="00810FA4"/>
    <w:rsid w:val="0081207E"/>
    <w:rsid w:val="00816C5F"/>
    <w:rsid w:val="008171E3"/>
    <w:rsid w:val="0083413F"/>
    <w:rsid w:val="00836A1D"/>
    <w:rsid w:val="00860C18"/>
    <w:rsid w:val="008626F5"/>
    <w:rsid w:val="00863F41"/>
    <w:rsid w:val="00881519"/>
    <w:rsid w:val="00897165"/>
    <w:rsid w:val="008A182E"/>
    <w:rsid w:val="008A2BC6"/>
    <w:rsid w:val="008A5465"/>
    <w:rsid w:val="008A55F6"/>
    <w:rsid w:val="008A7A27"/>
    <w:rsid w:val="008B3CFE"/>
    <w:rsid w:val="008D1B01"/>
    <w:rsid w:val="008E2969"/>
    <w:rsid w:val="008F3F58"/>
    <w:rsid w:val="0090234F"/>
    <w:rsid w:val="00903239"/>
    <w:rsid w:val="0091462E"/>
    <w:rsid w:val="009205D6"/>
    <w:rsid w:val="009247AD"/>
    <w:rsid w:val="00937CD1"/>
    <w:rsid w:val="00940F8E"/>
    <w:rsid w:val="0096150F"/>
    <w:rsid w:val="0096335F"/>
    <w:rsid w:val="0099165E"/>
    <w:rsid w:val="00992830"/>
    <w:rsid w:val="009A1C42"/>
    <w:rsid w:val="009A63A5"/>
    <w:rsid w:val="009B449F"/>
    <w:rsid w:val="009C2034"/>
    <w:rsid w:val="009C5B8B"/>
    <w:rsid w:val="009C6BE4"/>
    <w:rsid w:val="009E4919"/>
    <w:rsid w:val="009E4ABD"/>
    <w:rsid w:val="009F43AF"/>
    <w:rsid w:val="00A13091"/>
    <w:rsid w:val="00A135FE"/>
    <w:rsid w:val="00A16B24"/>
    <w:rsid w:val="00A20A6A"/>
    <w:rsid w:val="00A35E29"/>
    <w:rsid w:val="00A50537"/>
    <w:rsid w:val="00A57A74"/>
    <w:rsid w:val="00A60991"/>
    <w:rsid w:val="00A65ECB"/>
    <w:rsid w:val="00A72951"/>
    <w:rsid w:val="00A76DFC"/>
    <w:rsid w:val="00A81659"/>
    <w:rsid w:val="00AC1859"/>
    <w:rsid w:val="00AC1CE8"/>
    <w:rsid w:val="00AD2949"/>
    <w:rsid w:val="00AD3B35"/>
    <w:rsid w:val="00AD7730"/>
    <w:rsid w:val="00AE09F2"/>
    <w:rsid w:val="00B10254"/>
    <w:rsid w:val="00B24E37"/>
    <w:rsid w:val="00B51DC1"/>
    <w:rsid w:val="00B52C13"/>
    <w:rsid w:val="00B53A38"/>
    <w:rsid w:val="00B57DD5"/>
    <w:rsid w:val="00B674CB"/>
    <w:rsid w:val="00B81642"/>
    <w:rsid w:val="00B86D34"/>
    <w:rsid w:val="00B91F0A"/>
    <w:rsid w:val="00B9570E"/>
    <w:rsid w:val="00BA4778"/>
    <w:rsid w:val="00BB0EC7"/>
    <w:rsid w:val="00BB486D"/>
    <w:rsid w:val="00BC0D21"/>
    <w:rsid w:val="00BE52C1"/>
    <w:rsid w:val="00BF0FD3"/>
    <w:rsid w:val="00BF40E5"/>
    <w:rsid w:val="00BF42F1"/>
    <w:rsid w:val="00BF520D"/>
    <w:rsid w:val="00C0633D"/>
    <w:rsid w:val="00C174B1"/>
    <w:rsid w:val="00C22379"/>
    <w:rsid w:val="00C363F9"/>
    <w:rsid w:val="00C47741"/>
    <w:rsid w:val="00C62B61"/>
    <w:rsid w:val="00C65E53"/>
    <w:rsid w:val="00C70BF9"/>
    <w:rsid w:val="00C7164B"/>
    <w:rsid w:val="00C8316B"/>
    <w:rsid w:val="00C904EC"/>
    <w:rsid w:val="00CA0424"/>
    <w:rsid w:val="00CA358E"/>
    <w:rsid w:val="00CA7CDE"/>
    <w:rsid w:val="00CC56EE"/>
    <w:rsid w:val="00CC719E"/>
    <w:rsid w:val="00CC7A00"/>
    <w:rsid w:val="00CD4A13"/>
    <w:rsid w:val="00CD67C6"/>
    <w:rsid w:val="00CD7807"/>
    <w:rsid w:val="00CE3D1C"/>
    <w:rsid w:val="00CF1650"/>
    <w:rsid w:val="00CF727B"/>
    <w:rsid w:val="00D06362"/>
    <w:rsid w:val="00D15C3E"/>
    <w:rsid w:val="00D20660"/>
    <w:rsid w:val="00D45E84"/>
    <w:rsid w:val="00D45ED5"/>
    <w:rsid w:val="00D76739"/>
    <w:rsid w:val="00D76D8B"/>
    <w:rsid w:val="00D81F33"/>
    <w:rsid w:val="00D8778A"/>
    <w:rsid w:val="00DA31D6"/>
    <w:rsid w:val="00DB2A1F"/>
    <w:rsid w:val="00DC2E6F"/>
    <w:rsid w:val="00DC524B"/>
    <w:rsid w:val="00DD1502"/>
    <w:rsid w:val="00DD5117"/>
    <w:rsid w:val="00DD61CF"/>
    <w:rsid w:val="00DE733E"/>
    <w:rsid w:val="00DF09AF"/>
    <w:rsid w:val="00E06602"/>
    <w:rsid w:val="00E138DD"/>
    <w:rsid w:val="00E14671"/>
    <w:rsid w:val="00E179C8"/>
    <w:rsid w:val="00E220AE"/>
    <w:rsid w:val="00E23F73"/>
    <w:rsid w:val="00E30AC6"/>
    <w:rsid w:val="00E32D94"/>
    <w:rsid w:val="00E410F3"/>
    <w:rsid w:val="00E57770"/>
    <w:rsid w:val="00E57C19"/>
    <w:rsid w:val="00E61A95"/>
    <w:rsid w:val="00E64BA2"/>
    <w:rsid w:val="00E728B3"/>
    <w:rsid w:val="00E73BBC"/>
    <w:rsid w:val="00E95A1A"/>
    <w:rsid w:val="00EB6A4F"/>
    <w:rsid w:val="00EC10AF"/>
    <w:rsid w:val="00EC2F16"/>
    <w:rsid w:val="00ED0D85"/>
    <w:rsid w:val="00EF64F0"/>
    <w:rsid w:val="00EF727D"/>
    <w:rsid w:val="00EF7895"/>
    <w:rsid w:val="00F03E12"/>
    <w:rsid w:val="00F073D5"/>
    <w:rsid w:val="00F20C1F"/>
    <w:rsid w:val="00F216F7"/>
    <w:rsid w:val="00F30BA5"/>
    <w:rsid w:val="00F316A1"/>
    <w:rsid w:val="00F36D1E"/>
    <w:rsid w:val="00F454D6"/>
    <w:rsid w:val="00F53E0F"/>
    <w:rsid w:val="00F914F3"/>
    <w:rsid w:val="00F9378A"/>
    <w:rsid w:val="00FB302A"/>
    <w:rsid w:val="00FB4C51"/>
    <w:rsid w:val="00FE2683"/>
    <w:rsid w:val="00FF4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34A"/>
  <w15:chartTrackingRefBased/>
  <w15:docId w15:val="{DBA046D4-0B2A-439C-A221-3821F830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A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F7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A729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rafico">
    <w:name w:val="grafico"/>
    <w:basedOn w:val="Normale"/>
    <w:rsid w:val="00CF727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A4778"/>
    <w:rPr>
      <w:b/>
      <w:bCs/>
    </w:rPr>
  </w:style>
  <w:style w:type="character" w:customStyle="1" w:styleId="Titolo1Carattere">
    <w:name w:val="Titolo 1 Carattere"/>
    <w:basedOn w:val="Carpredefinitoparagrafo"/>
    <w:link w:val="Titolo1"/>
    <w:uiPriority w:val="9"/>
    <w:rsid w:val="006A689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EF727D"/>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7E4A0C"/>
    <w:pPr>
      <w:spacing w:after="0" w:line="240" w:lineRule="auto"/>
    </w:pPr>
  </w:style>
  <w:style w:type="character" w:customStyle="1" w:styleId="Titolo3Carattere">
    <w:name w:val="Titolo 3 Carattere"/>
    <w:basedOn w:val="Carpredefinitoparagrafo"/>
    <w:link w:val="Titolo3"/>
    <w:uiPriority w:val="9"/>
    <w:semiHidden/>
    <w:rsid w:val="00A72951"/>
    <w:rPr>
      <w:rFonts w:asciiTheme="majorHAnsi" w:eastAsiaTheme="majorEastAsia" w:hAnsiTheme="majorHAnsi" w:cstheme="majorBidi"/>
      <w:color w:val="1F4D78" w:themeColor="accent1" w:themeShade="7F"/>
      <w:sz w:val="24"/>
      <w:szCs w:val="24"/>
    </w:rPr>
  </w:style>
  <w:style w:type="paragraph" w:customStyle="1" w:styleId="Standard">
    <w:name w:val="Standard"/>
    <w:rsid w:val="00A72951"/>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extbody">
    <w:name w:val="Text body"/>
    <w:basedOn w:val="Standard"/>
    <w:rsid w:val="00A72951"/>
    <w:pPr>
      <w:spacing w:after="140" w:line="288" w:lineRule="auto"/>
    </w:pPr>
  </w:style>
  <w:style w:type="paragraph" w:styleId="Testofumetto">
    <w:name w:val="Balloon Text"/>
    <w:basedOn w:val="Normale"/>
    <w:link w:val="TestofumettoCarattere"/>
    <w:uiPriority w:val="99"/>
    <w:semiHidden/>
    <w:unhideWhenUsed/>
    <w:rsid w:val="00E61A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61A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095">
      <w:bodyDiv w:val="1"/>
      <w:marLeft w:val="0"/>
      <w:marRight w:val="0"/>
      <w:marTop w:val="0"/>
      <w:marBottom w:val="0"/>
      <w:divBdr>
        <w:top w:val="none" w:sz="0" w:space="0" w:color="auto"/>
        <w:left w:val="none" w:sz="0" w:space="0" w:color="auto"/>
        <w:bottom w:val="none" w:sz="0" w:space="0" w:color="auto"/>
        <w:right w:val="none" w:sz="0" w:space="0" w:color="auto"/>
      </w:divBdr>
    </w:div>
    <w:div w:id="150949554">
      <w:bodyDiv w:val="1"/>
      <w:marLeft w:val="0"/>
      <w:marRight w:val="0"/>
      <w:marTop w:val="0"/>
      <w:marBottom w:val="0"/>
      <w:divBdr>
        <w:top w:val="none" w:sz="0" w:space="0" w:color="auto"/>
        <w:left w:val="none" w:sz="0" w:space="0" w:color="auto"/>
        <w:bottom w:val="none" w:sz="0" w:space="0" w:color="auto"/>
        <w:right w:val="none" w:sz="0" w:space="0" w:color="auto"/>
      </w:divBdr>
    </w:div>
    <w:div w:id="245504665">
      <w:bodyDiv w:val="1"/>
      <w:marLeft w:val="0"/>
      <w:marRight w:val="0"/>
      <w:marTop w:val="0"/>
      <w:marBottom w:val="0"/>
      <w:divBdr>
        <w:top w:val="none" w:sz="0" w:space="0" w:color="auto"/>
        <w:left w:val="none" w:sz="0" w:space="0" w:color="auto"/>
        <w:bottom w:val="none" w:sz="0" w:space="0" w:color="auto"/>
        <w:right w:val="none" w:sz="0" w:space="0" w:color="auto"/>
      </w:divBdr>
    </w:div>
    <w:div w:id="274753617">
      <w:bodyDiv w:val="1"/>
      <w:marLeft w:val="0"/>
      <w:marRight w:val="0"/>
      <w:marTop w:val="0"/>
      <w:marBottom w:val="0"/>
      <w:divBdr>
        <w:top w:val="none" w:sz="0" w:space="0" w:color="auto"/>
        <w:left w:val="none" w:sz="0" w:space="0" w:color="auto"/>
        <w:bottom w:val="none" w:sz="0" w:space="0" w:color="auto"/>
        <w:right w:val="none" w:sz="0" w:space="0" w:color="auto"/>
      </w:divBdr>
    </w:div>
    <w:div w:id="407576591">
      <w:bodyDiv w:val="1"/>
      <w:marLeft w:val="0"/>
      <w:marRight w:val="0"/>
      <w:marTop w:val="0"/>
      <w:marBottom w:val="0"/>
      <w:divBdr>
        <w:top w:val="none" w:sz="0" w:space="0" w:color="auto"/>
        <w:left w:val="none" w:sz="0" w:space="0" w:color="auto"/>
        <w:bottom w:val="none" w:sz="0" w:space="0" w:color="auto"/>
        <w:right w:val="none" w:sz="0" w:space="0" w:color="auto"/>
      </w:divBdr>
      <w:divsChild>
        <w:div w:id="645206588">
          <w:marLeft w:val="0"/>
          <w:marRight w:val="0"/>
          <w:marTop w:val="0"/>
          <w:marBottom w:val="0"/>
          <w:divBdr>
            <w:top w:val="none" w:sz="0" w:space="0" w:color="auto"/>
            <w:left w:val="none" w:sz="0" w:space="0" w:color="auto"/>
            <w:bottom w:val="none" w:sz="0" w:space="0" w:color="auto"/>
            <w:right w:val="none" w:sz="0" w:space="0" w:color="auto"/>
          </w:divBdr>
          <w:divsChild>
            <w:div w:id="393965760">
              <w:marLeft w:val="0"/>
              <w:marRight w:val="0"/>
              <w:marTop w:val="0"/>
              <w:marBottom w:val="0"/>
              <w:divBdr>
                <w:top w:val="none" w:sz="0" w:space="0" w:color="auto"/>
                <w:left w:val="none" w:sz="0" w:space="0" w:color="auto"/>
                <w:bottom w:val="none" w:sz="0" w:space="0" w:color="auto"/>
                <w:right w:val="none" w:sz="0" w:space="0" w:color="auto"/>
              </w:divBdr>
              <w:divsChild>
                <w:div w:id="19145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6792">
      <w:bodyDiv w:val="1"/>
      <w:marLeft w:val="0"/>
      <w:marRight w:val="0"/>
      <w:marTop w:val="0"/>
      <w:marBottom w:val="0"/>
      <w:divBdr>
        <w:top w:val="none" w:sz="0" w:space="0" w:color="auto"/>
        <w:left w:val="none" w:sz="0" w:space="0" w:color="auto"/>
        <w:bottom w:val="none" w:sz="0" w:space="0" w:color="auto"/>
        <w:right w:val="none" w:sz="0" w:space="0" w:color="auto"/>
      </w:divBdr>
    </w:div>
    <w:div w:id="512376560">
      <w:bodyDiv w:val="1"/>
      <w:marLeft w:val="0"/>
      <w:marRight w:val="0"/>
      <w:marTop w:val="0"/>
      <w:marBottom w:val="0"/>
      <w:divBdr>
        <w:top w:val="none" w:sz="0" w:space="0" w:color="auto"/>
        <w:left w:val="none" w:sz="0" w:space="0" w:color="auto"/>
        <w:bottom w:val="none" w:sz="0" w:space="0" w:color="auto"/>
        <w:right w:val="none" w:sz="0" w:space="0" w:color="auto"/>
      </w:divBdr>
    </w:div>
    <w:div w:id="544954134">
      <w:bodyDiv w:val="1"/>
      <w:marLeft w:val="0"/>
      <w:marRight w:val="0"/>
      <w:marTop w:val="0"/>
      <w:marBottom w:val="0"/>
      <w:divBdr>
        <w:top w:val="none" w:sz="0" w:space="0" w:color="auto"/>
        <w:left w:val="none" w:sz="0" w:space="0" w:color="auto"/>
        <w:bottom w:val="none" w:sz="0" w:space="0" w:color="auto"/>
        <w:right w:val="none" w:sz="0" w:space="0" w:color="auto"/>
      </w:divBdr>
    </w:div>
    <w:div w:id="986864588">
      <w:bodyDiv w:val="1"/>
      <w:marLeft w:val="0"/>
      <w:marRight w:val="0"/>
      <w:marTop w:val="0"/>
      <w:marBottom w:val="0"/>
      <w:divBdr>
        <w:top w:val="none" w:sz="0" w:space="0" w:color="auto"/>
        <w:left w:val="none" w:sz="0" w:space="0" w:color="auto"/>
        <w:bottom w:val="none" w:sz="0" w:space="0" w:color="auto"/>
        <w:right w:val="none" w:sz="0" w:space="0" w:color="auto"/>
      </w:divBdr>
    </w:div>
    <w:div w:id="1291669059">
      <w:bodyDiv w:val="1"/>
      <w:marLeft w:val="0"/>
      <w:marRight w:val="0"/>
      <w:marTop w:val="0"/>
      <w:marBottom w:val="0"/>
      <w:divBdr>
        <w:top w:val="none" w:sz="0" w:space="0" w:color="auto"/>
        <w:left w:val="none" w:sz="0" w:space="0" w:color="auto"/>
        <w:bottom w:val="none" w:sz="0" w:space="0" w:color="auto"/>
        <w:right w:val="none" w:sz="0" w:space="0" w:color="auto"/>
      </w:divBdr>
    </w:div>
    <w:div w:id="1313094860">
      <w:bodyDiv w:val="1"/>
      <w:marLeft w:val="0"/>
      <w:marRight w:val="0"/>
      <w:marTop w:val="0"/>
      <w:marBottom w:val="0"/>
      <w:divBdr>
        <w:top w:val="none" w:sz="0" w:space="0" w:color="auto"/>
        <w:left w:val="none" w:sz="0" w:space="0" w:color="auto"/>
        <w:bottom w:val="none" w:sz="0" w:space="0" w:color="auto"/>
        <w:right w:val="none" w:sz="0" w:space="0" w:color="auto"/>
      </w:divBdr>
    </w:div>
    <w:div w:id="1858546395">
      <w:bodyDiv w:val="1"/>
      <w:marLeft w:val="0"/>
      <w:marRight w:val="0"/>
      <w:marTop w:val="0"/>
      <w:marBottom w:val="0"/>
      <w:divBdr>
        <w:top w:val="none" w:sz="0" w:space="0" w:color="auto"/>
        <w:left w:val="none" w:sz="0" w:space="0" w:color="auto"/>
        <w:bottom w:val="none" w:sz="0" w:space="0" w:color="auto"/>
        <w:right w:val="none" w:sz="0" w:space="0" w:color="auto"/>
      </w:divBdr>
    </w:div>
    <w:div w:id="1862744157">
      <w:bodyDiv w:val="1"/>
      <w:marLeft w:val="0"/>
      <w:marRight w:val="0"/>
      <w:marTop w:val="0"/>
      <w:marBottom w:val="0"/>
      <w:divBdr>
        <w:top w:val="none" w:sz="0" w:space="0" w:color="auto"/>
        <w:left w:val="none" w:sz="0" w:space="0" w:color="auto"/>
        <w:bottom w:val="none" w:sz="0" w:space="0" w:color="auto"/>
        <w:right w:val="none" w:sz="0" w:space="0" w:color="auto"/>
      </w:divBdr>
      <w:divsChild>
        <w:div w:id="340861720">
          <w:marLeft w:val="0"/>
          <w:marRight w:val="0"/>
          <w:marTop w:val="0"/>
          <w:marBottom w:val="0"/>
          <w:divBdr>
            <w:top w:val="none" w:sz="0" w:space="0" w:color="auto"/>
            <w:left w:val="none" w:sz="0" w:space="0" w:color="auto"/>
            <w:bottom w:val="none" w:sz="0" w:space="0" w:color="auto"/>
            <w:right w:val="none" w:sz="0" w:space="0" w:color="auto"/>
          </w:divBdr>
        </w:div>
      </w:divsChild>
    </w:div>
    <w:div w:id="2008822310">
      <w:bodyDiv w:val="1"/>
      <w:marLeft w:val="0"/>
      <w:marRight w:val="0"/>
      <w:marTop w:val="0"/>
      <w:marBottom w:val="0"/>
      <w:divBdr>
        <w:top w:val="none" w:sz="0" w:space="0" w:color="auto"/>
        <w:left w:val="none" w:sz="0" w:space="0" w:color="auto"/>
        <w:bottom w:val="none" w:sz="0" w:space="0" w:color="auto"/>
        <w:right w:val="none" w:sz="0" w:space="0" w:color="auto"/>
      </w:divBdr>
    </w:div>
    <w:div w:id="205700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CF4F6-04B9-4934-93FA-4659E3BC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14</Pages>
  <Words>4354</Words>
  <Characters>24819</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299</cp:revision>
  <cp:lastPrinted>2017-11-13T15:53:00Z</cp:lastPrinted>
  <dcterms:created xsi:type="dcterms:W3CDTF">2017-11-10T14:50:00Z</dcterms:created>
  <dcterms:modified xsi:type="dcterms:W3CDTF">2017-11-14T14:42:00Z</dcterms:modified>
</cp:coreProperties>
</file>