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
        <w:tblpPr w:leftFromText="180" w:rightFromText="180" w:vertAnchor="text" w:horzAnchor="page" w:tblpX="1706" w:tblpY="1637"/>
        <w:tblOverlap w:val="never"/>
        <w:tblW w:w="927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622"/>
        <w:gridCol w:w="585"/>
        <w:gridCol w:w="870"/>
        <w:gridCol w:w="1883"/>
        <w:gridCol w:w="750"/>
        <w:gridCol w:w="742"/>
        <w:gridCol w:w="2138"/>
        <w:gridCol w:w="1685"/>
      </w:tblGrid>
      <w:tr w14:paraId="6105FC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69C02D">
            <w:pPr>
              <w:keepNext w:val="0"/>
              <w:keepLines w:val="0"/>
              <w:pageBreakBefore w:val="0"/>
              <w:widowControl/>
              <w:suppressLineNumbers w:val="0"/>
              <w:kinsoku/>
              <w:wordWrap/>
              <w:overflowPunct/>
              <w:topLinePunct w:val="0"/>
              <w:autoSpaceDE/>
              <w:autoSpaceDN/>
              <w:bidi w:val="0"/>
              <w:adjustRightInd/>
              <w:snapToGrid/>
              <w:spacing w:after="40" w:line="240" w:lineRule="auto"/>
              <w:jc w:val="center"/>
              <w:textAlignment w:val="center"/>
              <w:rPr>
                <w:rFonts w:hint="eastAsia" w:ascii="宋体" w:hAnsi="宋体" w:eastAsia="宋体" w:cs="宋体"/>
                <w:b/>
                <w:bCs/>
                <w:i w:val="0"/>
                <w:iCs w:val="0"/>
                <w:color w:val="000000"/>
                <w:sz w:val="18"/>
                <w:szCs w:val="18"/>
                <w:u w:val="none"/>
              </w:rPr>
            </w:pPr>
            <w:bookmarkStart w:id="0" w:name="_GoBack"/>
            <w:r>
              <w:rPr>
                <w:rFonts w:hint="eastAsia" w:ascii="宋体" w:hAnsi="宋体" w:eastAsia="宋体" w:cs="宋体"/>
                <w:b/>
                <w:bCs/>
                <w:i w:val="0"/>
                <w:iCs w:val="0"/>
                <w:snapToGrid w:val="0"/>
                <w:color w:val="000000"/>
                <w:kern w:val="0"/>
                <w:sz w:val="18"/>
                <w:szCs w:val="18"/>
                <w:u w:val="none"/>
                <w:lang w:val="en-US" w:eastAsia="zh-CN" w:bidi="ar"/>
              </w:rPr>
              <w:t>一级</w:t>
            </w:r>
            <w:r>
              <w:rPr>
                <w:rStyle w:val="4"/>
                <w:rFonts w:hint="eastAsia" w:ascii="宋体" w:hAnsi="宋体" w:eastAsia="宋体" w:cs="宋体"/>
                <w:snapToGrid w:val="0"/>
                <w:color w:val="000000"/>
                <w:sz w:val="18"/>
                <w:szCs w:val="18"/>
                <w:lang w:val="en-US" w:eastAsia="zh-CN" w:bidi="ar"/>
              </w:rPr>
              <w:t>指标</w:t>
            </w:r>
          </w:p>
        </w:tc>
        <w:tc>
          <w:tcPr>
            <w:tcW w:w="5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9E8F01">
            <w:pPr>
              <w:keepNext w:val="0"/>
              <w:keepLines w:val="0"/>
              <w:pageBreakBefore w:val="0"/>
              <w:widowControl/>
              <w:suppressLineNumbers w:val="0"/>
              <w:kinsoku/>
              <w:wordWrap/>
              <w:overflowPunct/>
              <w:topLinePunct w:val="0"/>
              <w:autoSpaceDE/>
              <w:autoSpaceDN/>
              <w:bidi w:val="0"/>
              <w:adjustRightInd/>
              <w:snapToGrid/>
              <w:spacing w:after="0" w:line="240" w:lineRule="auto"/>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snapToGrid w:val="0"/>
                <w:color w:val="000000"/>
                <w:kern w:val="0"/>
                <w:sz w:val="18"/>
                <w:szCs w:val="18"/>
                <w:u w:val="none"/>
                <w:lang w:val="en-US" w:eastAsia="zh-CN" w:bidi="ar"/>
              </w:rPr>
              <w:t>二级</w:t>
            </w:r>
            <w:r>
              <w:rPr>
                <w:rStyle w:val="4"/>
                <w:rFonts w:hint="eastAsia" w:ascii="宋体" w:hAnsi="宋体" w:eastAsia="宋体" w:cs="宋体"/>
                <w:snapToGrid w:val="0"/>
                <w:color w:val="000000"/>
                <w:sz w:val="18"/>
                <w:szCs w:val="18"/>
                <w:lang w:val="en-US" w:eastAsia="zh-CN" w:bidi="ar"/>
              </w:rPr>
              <w:t>指标</w:t>
            </w:r>
          </w:p>
        </w:tc>
        <w:tc>
          <w:tcPr>
            <w:tcW w:w="8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7A2635">
            <w:pPr>
              <w:keepNext w:val="0"/>
              <w:keepLines w:val="0"/>
              <w:pageBreakBefore w:val="0"/>
              <w:widowControl/>
              <w:suppressLineNumbers w:val="0"/>
              <w:kinsoku/>
              <w:wordWrap/>
              <w:overflowPunct/>
              <w:topLinePunct w:val="0"/>
              <w:autoSpaceDE/>
              <w:autoSpaceDN/>
              <w:bidi w:val="0"/>
              <w:adjustRightInd/>
              <w:snapToGrid/>
              <w:spacing w:after="40" w:line="240" w:lineRule="auto"/>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snapToGrid w:val="0"/>
                <w:color w:val="000000"/>
                <w:kern w:val="0"/>
                <w:sz w:val="18"/>
                <w:szCs w:val="18"/>
                <w:u w:val="none"/>
                <w:lang w:val="en-US" w:eastAsia="zh-CN" w:bidi="ar"/>
              </w:rPr>
              <w:t>三级指标</w:t>
            </w:r>
          </w:p>
        </w:tc>
        <w:tc>
          <w:tcPr>
            <w:tcW w:w="18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B67DC6">
            <w:pPr>
              <w:keepNext w:val="0"/>
              <w:keepLines w:val="0"/>
              <w:pageBreakBefore w:val="0"/>
              <w:widowControl/>
              <w:suppressLineNumbers w:val="0"/>
              <w:kinsoku/>
              <w:wordWrap/>
              <w:overflowPunct/>
              <w:topLinePunct w:val="0"/>
              <w:autoSpaceDE/>
              <w:autoSpaceDN/>
              <w:bidi w:val="0"/>
              <w:adjustRightInd/>
              <w:snapToGrid/>
              <w:spacing w:after="40" w:line="240" w:lineRule="auto"/>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snapToGrid w:val="0"/>
                <w:color w:val="000000"/>
                <w:kern w:val="0"/>
                <w:sz w:val="18"/>
                <w:szCs w:val="18"/>
                <w:u w:val="none"/>
                <w:lang w:val="en-US" w:eastAsia="zh-CN" w:bidi="ar"/>
              </w:rPr>
              <w:t>计算公式</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333BC1">
            <w:pPr>
              <w:keepNext w:val="0"/>
              <w:keepLines w:val="0"/>
              <w:pageBreakBefore w:val="0"/>
              <w:widowControl/>
              <w:suppressLineNumbers w:val="0"/>
              <w:kinsoku/>
              <w:wordWrap/>
              <w:overflowPunct/>
              <w:topLinePunct w:val="0"/>
              <w:autoSpaceDE/>
              <w:autoSpaceDN/>
              <w:bidi w:val="0"/>
              <w:adjustRightInd/>
              <w:snapToGrid/>
              <w:spacing w:after="40" w:line="240" w:lineRule="auto"/>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snapToGrid w:val="0"/>
                <w:color w:val="000000"/>
                <w:kern w:val="0"/>
                <w:sz w:val="18"/>
                <w:szCs w:val="18"/>
                <w:u w:val="none"/>
                <w:lang w:val="en-US" w:eastAsia="zh-CN" w:bidi="ar"/>
              </w:rPr>
              <w:t>总分值</w:t>
            </w:r>
            <w:r>
              <w:rPr>
                <w:rStyle w:val="4"/>
                <w:rFonts w:hint="eastAsia" w:ascii="宋体" w:hAnsi="宋体" w:eastAsia="宋体" w:cs="宋体"/>
                <w:snapToGrid w:val="0"/>
                <w:color w:val="000000"/>
                <w:sz w:val="18"/>
                <w:szCs w:val="18"/>
                <w:lang w:val="en-US" w:eastAsia="zh-CN" w:bidi="ar"/>
              </w:rPr>
              <w:t>权重</w:t>
            </w:r>
          </w:p>
        </w:tc>
        <w:tc>
          <w:tcPr>
            <w:tcW w:w="74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D3308F">
            <w:pPr>
              <w:keepNext w:val="0"/>
              <w:keepLines w:val="0"/>
              <w:pageBreakBefore w:val="0"/>
              <w:widowControl/>
              <w:suppressLineNumbers w:val="0"/>
              <w:kinsoku/>
              <w:wordWrap/>
              <w:overflowPunct/>
              <w:topLinePunct w:val="0"/>
              <w:autoSpaceDE/>
              <w:autoSpaceDN/>
              <w:bidi w:val="0"/>
              <w:adjustRightInd/>
              <w:snapToGrid/>
              <w:spacing w:after="40" w:line="240" w:lineRule="auto"/>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snapToGrid w:val="0"/>
                <w:color w:val="000000"/>
                <w:kern w:val="0"/>
                <w:sz w:val="18"/>
                <w:szCs w:val="18"/>
                <w:u w:val="none"/>
                <w:lang w:val="en-US" w:eastAsia="zh-CN" w:bidi="ar"/>
              </w:rPr>
              <w:t>指标特征</w:t>
            </w:r>
          </w:p>
        </w:tc>
        <w:tc>
          <w:tcPr>
            <w:tcW w:w="21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749CED">
            <w:pPr>
              <w:keepNext w:val="0"/>
              <w:keepLines w:val="0"/>
              <w:pageBreakBefore w:val="0"/>
              <w:widowControl/>
              <w:suppressLineNumbers w:val="0"/>
              <w:kinsoku/>
              <w:wordWrap/>
              <w:overflowPunct/>
              <w:topLinePunct w:val="0"/>
              <w:autoSpaceDE/>
              <w:autoSpaceDN/>
              <w:bidi w:val="0"/>
              <w:adjustRightInd/>
              <w:snapToGrid/>
              <w:spacing w:after="40" w:line="240" w:lineRule="auto"/>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snapToGrid w:val="0"/>
                <w:color w:val="000000"/>
                <w:kern w:val="0"/>
                <w:sz w:val="18"/>
                <w:szCs w:val="18"/>
                <w:u w:val="none"/>
                <w:lang w:val="en-US" w:eastAsia="zh-CN" w:bidi="ar"/>
              </w:rPr>
              <w:t>说明</w:t>
            </w:r>
          </w:p>
        </w:tc>
        <w:tc>
          <w:tcPr>
            <w:tcW w:w="16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514DD4">
            <w:pPr>
              <w:keepNext w:val="0"/>
              <w:keepLines w:val="0"/>
              <w:pageBreakBefore w:val="0"/>
              <w:widowControl/>
              <w:suppressLineNumbers w:val="0"/>
              <w:kinsoku/>
              <w:wordWrap/>
              <w:overflowPunct/>
              <w:topLinePunct w:val="0"/>
              <w:autoSpaceDE/>
              <w:autoSpaceDN/>
              <w:bidi w:val="0"/>
              <w:adjustRightInd/>
              <w:snapToGrid/>
              <w:spacing w:after="40" w:line="240" w:lineRule="auto"/>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snapToGrid w:val="0"/>
                <w:color w:val="000000"/>
                <w:kern w:val="0"/>
                <w:sz w:val="18"/>
                <w:szCs w:val="18"/>
                <w:u w:val="none"/>
                <w:lang w:val="en-US" w:eastAsia="zh-CN" w:bidi="ar"/>
              </w:rPr>
              <w:t>评分标准</w:t>
            </w:r>
          </w:p>
        </w:tc>
      </w:tr>
      <w:tr w14:paraId="3E94DA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51" w:hRule="atLeast"/>
        </w:trPr>
        <w:tc>
          <w:tcPr>
            <w:tcW w:w="622"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AF8A27B">
            <w:pPr>
              <w:keepNext w:val="0"/>
              <w:keepLines w:val="0"/>
              <w:pageBreakBefore w:val="0"/>
              <w:widowControl/>
              <w:suppressLineNumbers w:val="0"/>
              <w:kinsoku/>
              <w:wordWrap/>
              <w:overflowPunct/>
              <w:topLinePunct w:val="0"/>
              <w:autoSpaceDE/>
              <w:autoSpaceDN/>
              <w:bidi w:val="0"/>
              <w:adjustRightInd/>
              <w:snapToGrid/>
              <w:spacing w:after="40" w:line="240" w:lineRule="auto"/>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snapToGrid w:val="0"/>
                <w:color w:val="000000"/>
                <w:kern w:val="0"/>
                <w:sz w:val="18"/>
                <w:szCs w:val="18"/>
                <w:u w:val="none"/>
                <w:lang w:val="en-US" w:eastAsia="zh-CN" w:bidi="ar"/>
              </w:rPr>
              <w:t>环境保护</w:t>
            </w:r>
          </w:p>
        </w:tc>
        <w:tc>
          <w:tcPr>
            <w:tcW w:w="58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447D684">
            <w:pPr>
              <w:keepNext w:val="0"/>
              <w:keepLines w:val="0"/>
              <w:pageBreakBefore w:val="0"/>
              <w:widowControl/>
              <w:suppressLineNumbers w:val="0"/>
              <w:kinsoku/>
              <w:wordWrap/>
              <w:overflowPunct/>
              <w:topLinePunct w:val="0"/>
              <w:autoSpaceDE/>
              <w:autoSpaceDN/>
              <w:bidi w:val="0"/>
              <w:adjustRightInd/>
              <w:snapToGrid/>
              <w:spacing w:after="40" w:line="240" w:lineRule="auto"/>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snapToGrid w:val="0"/>
                <w:color w:val="000000"/>
                <w:kern w:val="0"/>
                <w:sz w:val="18"/>
                <w:szCs w:val="18"/>
                <w:u w:val="none"/>
                <w:lang w:val="en-US" w:eastAsia="zh-CN" w:bidi="ar"/>
              </w:rPr>
              <w:t>温室</w:t>
            </w:r>
            <w:r>
              <w:rPr>
                <w:rStyle w:val="5"/>
                <w:rFonts w:hint="eastAsia" w:ascii="宋体" w:hAnsi="宋体" w:eastAsia="宋体" w:cs="宋体"/>
                <w:snapToGrid w:val="0"/>
                <w:color w:val="000000"/>
                <w:sz w:val="18"/>
                <w:szCs w:val="18"/>
                <w:lang w:val="en-US" w:eastAsia="zh-CN" w:bidi="ar"/>
              </w:rPr>
              <w:t>气体</w:t>
            </w:r>
          </w:p>
        </w:tc>
        <w:tc>
          <w:tcPr>
            <w:tcW w:w="8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661523">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温室气体排放强度千克/万元</w:t>
            </w:r>
          </w:p>
        </w:tc>
        <w:tc>
          <w:tcPr>
            <w:tcW w:w="18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25A212">
            <w:pPr>
              <w:pStyle w:val="6"/>
              <w:widowControl/>
              <w:kinsoku w:val="0"/>
              <w:autoSpaceDE w:val="0"/>
              <w:autoSpaceDN w:val="0"/>
              <w:adjustRightInd w:val="0"/>
              <w:snapToGrid w:val="0"/>
              <w:spacing w:before="117" w:after="0" w:line="219" w:lineRule="auto"/>
              <w:ind w:left="60"/>
              <w:jc w:val="left"/>
              <w:textAlignment w:val="baseline"/>
              <w:rPr>
                <w:rFonts w:hint="eastAsia" w:ascii="宋体" w:hAnsi="宋体" w:eastAsia="宋体" w:cs="宋体"/>
                <w:i w:val="0"/>
                <w:iCs w:val="0"/>
                <w:color w:val="000000"/>
                <w:sz w:val="18"/>
                <w:szCs w:val="18"/>
                <w:u w:val="none"/>
              </w:rPr>
            </w:pPr>
            <w:r>
              <w:rPr>
                <w:rFonts w:hint="eastAsia"/>
                <w:snapToGrid w:val="0"/>
                <w:color w:val="000000"/>
                <w:spacing w:val="-2"/>
                <w:kern w:val="0"/>
                <w:sz w:val="18"/>
                <w:szCs w:val="18"/>
                <w:lang w:val="en-US" w:eastAsia="zh-CN"/>
              </w:rPr>
              <w:t>温室气体排放强度（千克/万元）=温室气体排放总量（千克二氧化碳当量）/营业收入（万元）</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458E5D">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9.00%</w:t>
            </w:r>
          </w:p>
        </w:tc>
        <w:tc>
          <w:tcPr>
            <w:tcW w:w="74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A51E1E">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负向指标、单向指标</w:t>
            </w:r>
          </w:p>
        </w:tc>
        <w:tc>
          <w:tcPr>
            <w:tcW w:w="21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568B0B">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温室气体排放总量包括企业范围一和范围二所产生的所有温室气体排放量</w:t>
            </w:r>
          </w:p>
        </w:tc>
        <w:tc>
          <w:tcPr>
            <w:tcW w:w="168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5D878C9">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能源行业所有披露该指标的企业数据呈正态分 布排列。环境保护和社会责任的正向指标是指该指标数值越大得分越高， 负向指标是指该指标数值越小得分越高。而公司治理主要参考国资委企业绩效评价标准值工业领域优秀值。其中，公司治理的正向指标是数值在优秀值以上的取满分，小于优秀值的依照正态分布曲线上离散程度由优秀值对应的满分向单侧递减修正计算得出各家公司该指标分值；负向指标是数值在优秀值以下的取满分，大于优秀值的依照正态分布曲线上离散程度由优秀值对应的满分向单侧递减修正计算得出各家公司该指标分值；双向指标是指优秀值处 为满分，依照正态分布曲线上的离散程度由优秀值对应的满分向两侧递减修正计算得出各个企业的该项指标得分</w:t>
            </w:r>
          </w:p>
        </w:tc>
      </w:tr>
      <w:tr w14:paraId="23942D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404" w:hRule="atLeast"/>
        </w:trPr>
        <w:tc>
          <w:tcPr>
            <w:tcW w:w="62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6BF742B">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c>
          <w:tcPr>
            <w:tcW w:w="58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4F1419B">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c>
          <w:tcPr>
            <w:tcW w:w="8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235023">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温室气体减排率%</w:t>
            </w:r>
          </w:p>
        </w:tc>
        <w:tc>
          <w:tcPr>
            <w:tcW w:w="18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0426F0">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温室气体减排率（%）=温室气体减排量/温室气体排放总量×100%</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98B2A6">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4.50%</w:t>
            </w:r>
          </w:p>
        </w:tc>
        <w:tc>
          <w:tcPr>
            <w:tcW w:w="74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4C60C5">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正向指标、单向指标</w:t>
            </w:r>
          </w:p>
        </w:tc>
        <w:tc>
          <w:tcPr>
            <w:tcW w:w="21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F216EE">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温室气体减排量是指能源企业生产清洁能源或使用清洁能源、种植森林绿化以及使用碳捕集等固碳技术和产品所产生的温室气体减排量</w:t>
            </w:r>
          </w:p>
        </w:tc>
        <w:tc>
          <w:tcPr>
            <w:tcW w:w="168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BEDF0BF">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r>
      <w:tr w14:paraId="556DD3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1054" w:hRule="atLeast"/>
        </w:trPr>
        <w:tc>
          <w:tcPr>
            <w:tcW w:w="62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EE2B4A4">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c>
          <w:tcPr>
            <w:tcW w:w="58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30445A2">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能源</w:t>
            </w:r>
          </w:p>
        </w:tc>
        <w:tc>
          <w:tcPr>
            <w:tcW w:w="8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942E5D">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综合能源消耗强度千克/万元</w:t>
            </w:r>
          </w:p>
        </w:tc>
        <w:tc>
          <w:tcPr>
            <w:tcW w:w="18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8152C1">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综合能源消耗强度（千克/万元）=能源消耗总量（千克标准煤）/营业收入（万元）</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0430C4">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6.45%</w:t>
            </w:r>
          </w:p>
        </w:tc>
        <w:tc>
          <w:tcPr>
            <w:tcW w:w="74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1E73D4">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负向指标、单向指标</w:t>
            </w:r>
          </w:p>
        </w:tc>
        <w:tc>
          <w:tcPr>
            <w:tcW w:w="21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A20A94">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能源消耗总量是指企业生产经营和日常办公过程中所消耗的所有能源</w:t>
            </w:r>
          </w:p>
        </w:tc>
        <w:tc>
          <w:tcPr>
            <w:tcW w:w="168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8F6E532">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r>
      <w:tr w14:paraId="5BE0CD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28" w:hRule="atLeast"/>
        </w:trPr>
        <w:tc>
          <w:tcPr>
            <w:tcW w:w="62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5A466CD">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c>
          <w:tcPr>
            <w:tcW w:w="58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28BAA8B">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c>
          <w:tcPr>
            <w:tcW w:w="8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FCD7E1">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绿色/可再生/清洁能源生产/使用强度千克/万元</w:t>
            </w:r>
          </w:p>
        </w:tc>
        <w:tc>
          <w:tcPr>
            <w:tcW w:w="18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273170">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绿色/可再生/清洁能源生产/使用强度（千克/万元） =［绿色/可再生/清洁能源生产/使用总量（千克标准煤）］/营业收入（万元）</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ED5DE4">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2.55%</w:t>
            </w:r>
          </w:p>
        </w:tc>
        <w:tc>
          <w:tcPr>
            <w:tcW w:w="74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B20FA2">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正向指标、单向指标</w:t>
            </w:r>
          </w:p>
        </w:tc>
        <w:tc>
          <w:tcPr>
            <w:tcW w:w="21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E96843">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如果企业只生产绿色/可再生/清洁能源，但并不直接使用，那么该指标可以采用绿色/可再生/清洁能源生产强度，如果企业并不直接生产绿色/可再生/清洁能源，那么该指标可以采用使用强度，如果企业同时生产和使用绿色/可再生/清洁能源，该指标可以同时采用生产和使用强度</w:t>
            </w:r>
          </w:p>
        </w:tc>
        <w:tc>
          <w:tcPr>
            <w:tcW w:w="168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DE68CE5">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r>
      <w:tr w14:paraId="6207EF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54" w:hRule="atLeast"/>
        </w:trPr>
        <w:tc>
          <w:tcPr>
            <w:tcW w:w="62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909A6CF">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c>
          <w:tcPr>
            <w:tcW w:w="58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EA135F6">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大气</w:t>
            </w:r>
          </w:p>
        </w:tc>
        <w:tc>
          <w:tcPr>
            <w:tcW w:w="8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9B8040">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氮氧化物（NOx）排放强度克/万元</w:t>
            </w:r>
          </w:p>
        </w:tc>
        <w:tc>
          <w:tcPr>
            <w:tcW w:w="18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A96E29">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氮氧化物（NOx）排放强度（克/万元）=氮氧化物（NOx）排放总量（克）/营业收入（万元）</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0BB1A1">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2.48%</w:t>
            </w:r>
          </w:p>
        </w:tc>
        <w:tc>
          <w:tcPr>
            <w:tcW w:w="74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8A5A7D">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负向指标、单向指标</w:t>
            </w:r>
          </w:p>
        </w:tc>
        <w:tc>
          <w:tcPr>
            <w:tcW w:w="21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1398D6">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c>
          <w:tcPr>
            <w:tcW w:w="168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AFA34F2">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r>
      <w:tr w14:paraId="1D79E0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20" w:hRule="atLeast"/>
        </w:trPr>
        <w:tc>
          <w:tcPr>
            <w:tcW w:w="62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6FAFF8C">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c>
          <w:tcPr>
            <w:tcW w:w="58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A921EF7">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c>
          <w:tcPr>
            <w:tcW w:w="8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214804">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二氧化硫（SO2）排放强度克/万元</w:t>
            </w:r>
          </w:p>
        </w:tc>
        <w:tc>
          <w:tcPr>
            <w:tcW w:w="18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B14725">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二氧化硫（SO2）排放强度（克/万元）=二氧化硫（SO2 ）排放总量（克）/营业收入（万元）</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574A22">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2.48%</w:t>
            </w:r>
          </w:p>
        </w:tc>
        <w:tc>
          <w:tcPr>
            <w:tcW w:w="74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AE29A2">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负向指标、单向指标</w:t>
            </w:r>
          </w:p>
        </w:tc>
        <w:tc>
          <w:tcPr>
            <w:tcW w:w="21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428BAC">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c>
          <w:tcPr>
            <w:tcW w:w="168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39F5AC7">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r>
      <w:tr w14:paraId="774D68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70" w:hRule="atLeast"/>
        </w:trPr>
        <w:tc>
          <w:tcPr>
            <w:tcW w:w="62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B3EF63B">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c>
          <w:tcPr>
            <w:tcW w:w="58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C302357">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c>
          <w:tcPr>
            <w:tcW w:w="8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B53038">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颗粒物排放强度克/万元</w:t>
            </w:r>
          </w:p>
        </w:tc>
        <w:tc>
          <w:tcPr>
            <w:tcW w:w="18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6766A8">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颗粒物排放强度（克/万元）=颗粒物排放总量（克）/营业收入（万元）</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9C378C">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2.48%</w:t>
            </w:r>
          </w:p>
        </w:tc>
        <w:tc>
          <w:tcPr>
            <w:tcW w:w="74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2192E5">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负向指标、单向指标</w:t>
            </w:r>
          </w:p>
        </w:tc>
        <w:tc>
          <w:tcPr>
            <w:tcW w:w="21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1F7208">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c>
          <w:tcPr>
            <w:tcW w:w="168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0EF4FC7">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r>
      <w:tr w14:paraId="629971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38" w:hRule="atLeast"/>
        </w:trPr>
        <w:tc>
          <w:tcPr>
            <w:tcW w:w="622"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8679F21">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环境保护</w:t>
            </w:r>
          </w:p>
        </w:tc>
        <w:tc>
          <w:tcPr>
            <w:tcW w:w="58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3EABEA7">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水</w:t>
            </w:r>
          </w:p>
        </w:tc>
        <w:tc>
          <w:tcPr>
            <w:tcW w:w="8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47BBA6">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废水/污水排放强度千克/万元</w:t>
            </w:r>
          </w:p>
        </w:tc>
        <w:tc>
          <w:tcPr>
            <w:tcW w:w="18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978E6C">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废水/污水排放强度（千克/万元）=［废水/污水排放总量（千克）］/营业收入（万元）</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89DA1A">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2.48%</w:t>
            </w:r>
          </w:p>
        </w:tc>
        <w:tc>
          <w:tcPr>
            <w:tcW w:w="74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35E427">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负向指标、单向指标</w:t>
            </w:r>
          </w:p>
        </w:tc>
        <w:tc>
          <w:tcPr>
            <w:tcW w:w="21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08C143">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废水/污水同时包括企业工业生产废水和员工办公生活污水排放量</w:t>
            </w:r>
          </w:p>
        </w:tc>
        <w:tc>
          <w:tcPr>
            <w:tcW w:w="168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BAD7E5D">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能源行业所有披露该指标的企业数据呈正态分 布排列。环境保护和社会责任的正向指标是指该指标数值越大得分越高， 负向指标是指该指标数值越小得分越高。而公司治理主要参考国资委企业绩效评价标准值工业领域优秀值。其中，公司治理的正向指标是数值在优秀值以上的取满分，小于优秀值的依照正态分布曲线上离散程度由优秀值对应的满分向单侧递减修正计算得出各家公司该指标分值；负向指标是数值在优秀值以下的取满分，大于优秀值的依照正态分布曲线上离散程度由优秀值对应的满分向单侧递减修正计算得出各家公司该指标分值；双向指标是指优秀值处 为满分，依照正态分布曲线上的离散程度由优秀值对应的满分向两侧递减修正计算得出各个企业的该项指标得分</w:t>
            </w:r>
          </w:p>
        </w:tc>
      </w:tr>
      <w:tr w14:paraId="5B8FC4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74" w:hRule="atLeast"/>
        </w:trPr>
        <w:tc>
          <w:tcPr>
            <w:tcW w:w="62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D5DBC26">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c>
          <w:tcPr>
            <w:tcW w:w="58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985D5FB">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c>
          <w:tcPr>
            <w:tcW w:w="8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F3CB29">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水资源使用强度千克/万元</w:t>
            </w:r>
          </w:p>
        </w:tc>
        <w:tc>
          <w:tcPr>
            <w:tcW w:w="18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29A1E1">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水资源使用强度（千克/万元）=总用水量（千克）/营业收入（万元）</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A393CB">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2.48%</w:t>
            </w:r>
          </w:p>
        </w:tc>
        <w:tc>
          <w:tcPr>
            <w:tcW w:w="74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922B15">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负向指标、单向指标</w:t>
            </w:r>
          </w:p>
        </w:tc>
        <w:tc>
          <w:tcPr>
            <w:tcW w:w="21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339E61">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总用水量同时包括企业生产用水和员工办公生活用水量</w:t>
            </w:r>
          </w:p>
        </w:tc>
        <w:tc>
          <w:tcPr>
            <w:tcW w:w="168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1AC6290">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r>
      <w:tr w14:paraId="5C6A4E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25" w:hRule="atLeast"/>
        </w:trPr>
        <w:tc>
          <w:tcPr>
            <w:tcW w:w="62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7C74151">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c>
          <w:tcPr>
            <w:tcW w:w="58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48BF763">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c>
          <w:tcPr>
            <w:tcW w:w="8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115FE5">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再生水或其他替代水源用水量占总用水量比例%</w:t>
            </w:r>
          </w:p>
        </w:tc>
        <w:tc>
          <w:tcPr>
            <w:tcW w:w="18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7B18A2">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再生水或其他替代水源用水量占总用水量比例（%）=再生水或其他替代水源用水量/总用水量×100%</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20E55B">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2.46%</w:t>
            </w:r>
          </w:p>
        </w:tc>
        <w:tc>
          <w:tcPr>
            <w:tcW w:w="74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C26F75">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正向指标、单向指标</w:t>
            </w:r>
          </w:p>
        </w:tc>
        <w:tc>
          <w:tcPr>
            <w:tcW w:w="21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4A5BA7">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c>
          <w:tcPr>
            <w:tcW w:w="168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BE6A46E">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r>
      <w:tr w14:paraId="498AED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91" w:hRule="atLeast"/>
        </w:trPr>
        <w:tc>
          <w:tcPr>
            <w:tcW w:w="62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05D552E">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c>
          <w:tcPr>
            <w:tcW w:w="58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E5ED6F7">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固体废物</w:t>
            </w:r>
          </w:p>
        </w:tc>
        <w:tc>
          <w:tcPr>
            <w:tcW w:w="8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772003">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一般固体废物排放强度千克/万元</w:t>
            </w:r>
          </w:p>
        </w:tc>
        <w:tc>
          <w:tcPr>
            <w:tcW w:w="18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2A637B">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一般固体废物排放强度（千克/万元）=一般固体废物排放总量（千克）/营业收入（万元）</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70C7A5">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3.82%</w:t>
            </w:r>
          </w:p>
        </w:tc>
        <w:tc>
          <w:tcPr>
            <w:tcW w:w="74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237DA0">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负向指标、单向指标</w:t>
            </w:r>
          </w:p>
        </w:tc>
        <w:tc>
          <w:tcPr>
            <w:tcW w:w="21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4A74E3">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c>
          <w:tcPr>
            <w:tcW w:w="168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F1B73DE">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r>
      <w:tr w14:paraId="1F8FBB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78" w:hRule="atLeast"/>
        </w:trPr>
        <w:tc>
          <w:tcPr>
            <w:tcW w:w="62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01642E2">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c>
          <w:tcPr>
            <w:tcW w:w="58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829BFEB">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c>
          <w:tcPr>
            <w:tcW w:w="8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571D39">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危险固体废物排放强度千克/万元</w:t>
            </w:r>
          </w:p>
        </w:tc>
        <w:tc>
          <w:tcPr>
            <w:tcW w:w="18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9B68D7">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危险固体废物排放强度（千克/万元）=危险固体废物排放总量（千克）/营业收入（万元）</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E6DE0C">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3.82%</w:t>
            </w:r>
          </w:p>
        </w:tc>
        <w:tc>
          <w:tcPr>
            <w:tcW w:w="74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2A2235">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负向指标、单向指标</w:t>
            </w:r>
          </w:p>
        </w:tc>
        <w:tc>
          <w:tcPr>
            <w:tcW w:w="21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8A03AD">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c>
          <w:tcPr>
            <w:tcW w:w="168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ABC0782">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r>
      <w:tr w14:paraId="732F91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6" w:hRule="atLeast"/>
        </w:trPr>
        <w:tc>
          <w:tcPr>
            <w:tcW w:w="622"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CE58CB1">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社会责任</w:t>
            </w:r>
          </w:p>
        </w:tc>
        <w:tc>
          <w:tcPr>
            <w:tcW w:w="58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52F29D3">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公共投入</w:t>
            </w:r>
          </w:p>
        </w:tc>
        <w:tc>
          <w:tcPr>
            <w:tcW w:w="8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775D02">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安全生产投入占比%</w:t>
            </w:r>
          </w:p>
        </w:tc>
        <w:tc>
          <w:tcPr>
            <w:tcW w:w="18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326A2A">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安全生产投入占比（%）=安全生产投入/营业收入×100%</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FDBFD6">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2.50%</w:t>
            </w:r>
          </w:p>
        </w:tc>
        <w:tc>
          <w:tcPr>
            <w:tcW w:w="74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98AF2B">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正向指标、单向指标</w:t>
            </w:r>
          </w:p>
        </w:tc>
        <w:tc>
          <w:tcPr>
            <w:tcW w:w="21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037107">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c>
          <w:tcPr>
            <w:tcW w:w="168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683672D">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r>
      <w:tr w14:paraId="359714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91" w:hRule="atLeast"/>
        </w:trPr>
        <w:tc>
          <w:tcPr>
            <w:tcW w:w="62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B7BBBA5">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c>
          <w:tcPr>
            <w:tcW w:w="58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50EB0D1">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c>
          <w:tcPr>
            <w:tcW w:w="8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D7CDD1">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环保投入占比 %</w:t>
            </w:r>
          </w:p>
        </w:tc>
        <w:tc>
          <w:tcPr>
            <w:tcW w:w="18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8F735B">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环保投入占比（%）=环保投入/营业收入×100%</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2E0917">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1.50%</w:t>
            </w:r>
          </w:p>
        </w:tc>
        <w:tc>
          <w:tcPr>
            <w:tcW w:w="74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6FAA67">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正向指标、单向指标</w:t>
            </w:r>
          </w:p>
        </w:tc>
        <w:tc>
          <w:tcPr>
            <w:tcW w:w="21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740C1F">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c>
          <w:tcPr>
            <w:tcW w:w="168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57A1192">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r>
      <w:tr w14:paraId="5935E8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77" w:hRule="atLeast"/>
        </w:trPr>
        <w:tc>
          <w:tcPr>
            <w:tcW w:w="62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F21C5F3">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c>
          <w:tcPr>
            <w:tcW w:w="58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9F13B31">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c>
          <w:tcPr>
            <w:tcW w:w="8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663DCC">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研发费用占比 %</w:t>
            </w:r>
          </w:p>
        </w:tc>
        <w:tc>
          <w:tcPr>
            <w:tcW w:w="18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99C2D0">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研发费用占比（%）=研发费用/营业收入×100%</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B62751">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3.00%</w:t>
            </w:r>
          </w:p>
        </w:tc>
        <w:tc>
          <w:tcPr>
            <w:tcW w:w="74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97FB6C">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正向指标、单向指标</w:t>
            </w:r>
          </w:p>
        </w:tc>
        <w:tc>
          <w:tcPr>
            <w:tcW w:w="21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519757">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c>
          <w:tcPr>
            <w:tcW w:w="168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50A7A0A">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r>
      <w:tr w14:paraId="459805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55" w:hRule="atLeast"/>
        </w:trPr>
        <w:tc>
          <w:tcPr>
            <w:tcW w:w="62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487BABD">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c>
          <w:tcPr>
            <w:tcW w:w="58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56EA93A">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c>
          <w:tcPr>
            <w:tcW w:w="8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F0C379">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社会公益投入占比%</w:t>
            </w:r>
          </w:p>
        </w:tc>
        <w:tc>
          <w:tcPr>
            <w:tcW w:w="18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34060F">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社会公益投入占比（%）=社会公益投入/营业收入×100%</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1643EE">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3.00%</w:t>
            </w:r>
          </w:p>
        </w:tc>
        <w:tc>
          <w:tcPr>
            <w:tcW w:w="74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01ABC2">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正向指标、单向指标</w:t>
            </w:r>
          </w:p>
        </w:tc>
        <w:tc>
          <w:tcPr>
            <w:tcW w:w="21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23C295">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c>
          <w:tcPr>
            <w:tcW w:w="168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769DCD5">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r>
      <w:tr w14:paraId="30830B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2" w:hRule="atLeast"/>
        </w:trPr>
        <w:tc>
          <w:tcPr>
            <w:tcW w:w="62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3188ED6">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c>
          <w:tcPr>
            <w:tcW w:w="58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DE46EEA">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员工福利</w:t>
            </w:r>
          </w:p>
        </w:tc>
        <w:tc>
          <w:tcPr>
            <w:tcW w:w="8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5D99A1">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员工薪酬万元/人</w:t>
            </w:r>
          </w:p>
        </w:tc>
        <w:tc>
          <w:tcPr>
            <w:tcW w:w="18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3BB759">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员工薪酬（万元/人）=员工薪酬总额（万元）/员工总人数（人）</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5441BB">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3.00%</w:t>
            </w:r>
          </w:p>
        </w:tc>
        <w:tc>
          <w:tcPr>
            <w:tcW w:w="74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59C4A0">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正向指标、单向指标</w:t>
            </w:r>
          </w:p>
        </w:tc>
        <w:tc>
          <w:tcPr>
            <w:tcW w:w="21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768F4B">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c>
          <w:tcPr>
            <w:tcW w:w="168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49EC5FF">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r>
      <w:tr w14:paraId="67B2CF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36" w:hRule="atLeast"/>
        </w:trPr>
        <w:tc>
          <w:tcPr>
            <w:tcW w:w="62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9472EE0">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c>
          <w:tcPr>
            <w:tcW w:w="58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B6E5B4A">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c>
          <w:tcPr>
            <w:tcW w:w="8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6D85FD">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员工福利、社保和公积金费用万元/人</w:t>
            </w:r>
          </w:p>
        </w:tc>
        <w:tc>
          <w:tcPr>
            <w:tcW w:w="18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A99E6F">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员工福利、社保和公积金费用（万元/人）=员工福利、社保和公积金费用总额（万元）/员工总人数（人）</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3B31BC">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2.50%</w:t>
            </w:r>
          </w:p>
        </w:tc>
        <w:tc>
          <w:tcPr>
            <w:tcW w:w="74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8A8C67">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正向指标、单向指标</w:t>
            </w:r>
          </w:p>
        </w:tc>
        <w:tc>
          <w:tcPr>
            <w:tcW w:w="21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B4668F">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c>
          <w:tcPr>
            <w:tcW w:w="168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88293D9">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r>
      <w:tr w14:paraId="09C2D7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62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87F27EE">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c>
          <w:tcPr>
            <w:tcW w:w="58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D680CB2">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c>
          <w:tcPr>
            <w:tcW w:w="8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46FBF8">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工会和职工教育经费万元/人</w:t>
            </w:r>
          </w:p>
        </w:tc>
        <w:tc>
          <w:tcPr>
            <w:tcW w:w="18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143E61">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工会和职工教育经费（万元/人）=工会和职工教育经费总额（万元）/员工总人数（人）</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B9958E">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1.50%</w:t>
            </w:r>
          </w:p>
        </w:tc>
        <w:tc>
          <w:tcPr>
            <w:tcW w:w="74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155789">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正向指标、单向指标</w:t>
            </w:r>
          </w:p>
        </w:tc>
        <w:tc>
          <w:tcPr>
            <w:tcW w:w="21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9D21C3">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c>
          <w:tcPr>
            <w:tcW w:w="168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6ADCCC8">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r>
      <w:tr w14:paraId="2F9000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30" w:hRule="atLeast"/>
        </w:trPr>
        <w:tc>
          <w:tcPr>
            <w:tcW w:w="6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88C7FA">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社会责任</w:t>
            </w:r>
          </w:p>
        </w:tc>
        <w:tc>
          <w:tcPr>
            <w:tcW w:w="5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46F03A">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股东回报</w:t>
            </w:r>
          </w:p>
        </w:tc>
        <w:tc>
          <w:tcPr>
            <w:tcW w:w="8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EB7C48">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现金分红 1)元/股</w:t>
            </w:r>
          </w:p>
        </w:tc>
        <w:tc>
          <w:tcPr>
            <w:tcW w:w="18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DD885E">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现金分红（元/股）=现金分红总额（元）/总股数</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9E4FCA">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3.00%</w:t>
            </w:r>
          </w:p>
        </w:tc>
        <w:tc>
          <w:tcPr>
            <w:tcW w:w="74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CECD4A">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正向指标、单向指标</w:t>
            </w:r>
          </w:p>
        </w:tc>
        <w:tc>
          <w:tcPr>
            <w:tcW w:w="21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DC3BD8">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c>
          <w:tcPr>
            <w:tcW w:w="168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A439243">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能源行业所有披露该指标的企业数据呈正态分 布排列。环境保护和社会责任的正向指标是指该指标数值越大得分越高， 负向指标是指该指标数值越小得分越高。而公司治理主要参考国资委企业绩效评价标准值工业领域优秀值。其中，公司治理的正向指标是数值在优秀值以上的取满分，小于优秀值的依照正态分布曲线上离散程度由优秀值对应的满分向单侧递减修正计算得出各家公司该指标分值；负向指标是数值在优秀值以下的取满分，大于优秀值的依照正态分布曲线上离散程度由优秀值对应的满分向单侧递减修正计算得出各家公司该指标分值；双向指标是指优秀值处 为满分，依照正态分布曲线上的离散程度由优秀值对应的满分向两侧递减修正计算得出各个企业的该项指标得分</w:t>
            </w:r>
          </w:p>
        </w:tc>
      </w:tr>
      <w:tr w14:paraId="626EDB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333" w:hRule="atLeast"/>
        </w:trPr>
        <w:tc>
          <w:tcPr>
            <w:tcW w:w="622"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DB5D174">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公司治理</w:t>
            </w:r>
          </w:p>
        </w:tc>
        <w:tc>
          <w:tcPr>
            <w:tcW w:w="58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163E287">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盈利能力</w:t>
            </w:r>
          </w:p>
        </w:tc>
        <w:tc>
          <w:tcPr>
            <w:tcW w:w="8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8781D6">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净资产收益率 %</w:t>
            </w:r>
          </w:p>
        </w:tc>
        <w:tc>
          <w:tcPr>
            <w:tcW w:w="18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64FD6F">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净资产收益率（%）=净利润/平均净资产×100%平均净资产=（年初净资产+年末净资产）/2</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383EEC">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2.10%</w:t>
            </w:r>
          </w:p>
        </w:tc>
        <w:tc>
          <w:tcPr>
            <w:tcW w:w="74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0F9270">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正向指标、单向指标</w:t>
            </w:r>
          </w:p>
        </w:tc>
        <w:tc>
          <w:tcPr>
            <w:tcW w:w="21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CC9A0B">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c>
          <w:tcPr>
            <w:tcW w:w="168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2CA44EB">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r>
      <w:tr w14:paraId="033819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73" w:hRule="atLeast"/>
        </w:trPr>
        <w:tc>
          <w:tcPr>
            <w:tcW w:w="62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5F41134">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c>
          <w:tcPr>
            <w:tcW w:w="58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1B9A035">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c>
          <w:tcPr>
            <w:tcW w:w="8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29FCF9">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总资产报酬率 %</w:t>
            </w:r>
          </w:p>
        </w:tc>
        <w:tc>
          <w:tcPr>
            <w:tcW w:w="18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3AEBFC">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总资产报酬率（%）=息税前利润/平均资产总额×100%</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D435EA">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2.10%</w:t>
            </w:r>
          </w:p>
        </w:tc>
        <w:tc>
          <w:tcPr>
            <w:tcW w:w="74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6C9A63">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正向指标、单向指标</w:t>
            </w:r>
          </w:p>
        </w:tc>
        <w:tc>
          <w:tcPr>
            <w:tcW w:w="21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05D17D">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c>
          <w:tcPr>
            <w:tcW w:w="168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09D5251">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r>
      <w:tr w14:paraId="6A805C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43" w:hRule="atLeast"/>
        </w:trPr>
        <w:tc>
          <w:tcPr>
            <w:tcW w:w="62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5A1B52D">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c>
          <w:tcPr>
            <w:tcW w:w="58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A73A9B9">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c>
          <w:tcPr>
            <w:tcW w:w="8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9ADD51">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营业利润率 %</w:t>
            </w:r>
          </w:p>
        </w:tc>
        <w:tc>
          <w:tcPr>
            <w:tcW w:w="18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55BF38">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营业利润率（%）=营业利润/营业收入×100%</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F02E85">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2.10%</w:t>
            </w:r>
          </w:p>
        </w:tc>
        <w:tc>
          <w:tcPr>
            <w:tcW w:w="74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B76695">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正向指标、单向指标</w:t>
            </w:r>
          </w:p>
        </w:tc>
        <w:tc>
          <w:tcPr>
            <w:tcW w:w="21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06576E">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c>
          <w:tcPr>
            <w:tcW w:w="168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5F6AD72">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r>
      <w:tr w14:paraId="6933B8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66" w:hRule="atLeast"/>
        </w:trPr>
        <w:tc>
          <w:tcPr>
            <w:tcW w:w="62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501C8B8">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c>
          <w:tcPr>
            <w:tcW w:w="58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B9FC904">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c>
          <w:tcPr>
            <w:tcW w:w="8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26AF85">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EBITDA 利润率%</w:t>
            </w:r>
          </w:p>
        </w:tc>
        <w:tc>
          <w:tcPr>
            <w:tcW w:w="18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7D0765">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EBITDA 利润率（%）=（净利润+所得税+利息支出+固定资产折旧+无形资产摊销）/营业收入×100%</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D8543C">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1.40%</w:t>
            </w:r>
          </w:p>
        </w:tc>
        <w:tc>
          <w:tcPr>
            <w:tcW w:w="74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587ED5">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正向指标、单向指标</w:t>
            </w:r>
          </w:p>
        </w:tc>
        <w:tc>
          <w:tcPr>
            <w:tcW w:w="21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9477C0">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c>
          <w:tcPr>
            <w:tcW w:w="168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5F37B42">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r>
      <w:tr w14:paraId="7A6972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6" w:hRule="atLeast"/>
        </w:trPr>
        <w:tc>
          <w:tcPr>
            <w:tcW w:w="62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C110665">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c>
          <w:tcPr>
            <w:tcW w:w="58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4DC02A5">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c>
          <w:tcPr>
            <w:tcW w:w="8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3BBBC3">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营业收现率 %</w:t>
            </w:r>
          </w:p>
        </w:tc>
        <w:tc>
          <w:tcPr>
            <w:tcW w:w="18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436E0B">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营业收现率（%）=经营活动收到的现金/营业收入×100%</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4A4C7F">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1.40%</w:t>
            </w:r>
          </w:p>
        </w:tc>
        <w:tc>
          <w:tcPr>
            <w:tcW w:w="74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0210F5">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正向指标、单向指标</w:t>
            </w:r>
          </w:p>
        </w:tc>
        <w:tc>
          <w:tcPr>
            <w:tcW w:w="21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541D16">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c>
          <w:tcPr>
            <w:tcW w:w="168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E1AF9A8">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r>
      <w:tr w14:paraId="58D701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31" w:hRule="atLeast"/>
        </w:trPr>
        <w:tc>
          <w:tcPr>
            <w:tcW w:w="62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3375613">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c>
          <w:tcPr>
            <w:tcW w:w="58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BAB5584">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c>
          <w:tcPr>
            <w:tcW w:w="8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CE4094">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成本费用占营业收入比例%</w:t>
            </w:r>
          </w:p>
        </w:tc>
        <w:tc>
          <w:tcPr>
            <w:tcW w:w="18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5C4213">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成本费用占营业收入比例（%）=成本费用总额/营业收入×100%</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70BD4C">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1.40%</w:t>
            </w:r>
          </w:p>
        </w:tc>
        <w:tc>
          <w:tcPr>
            <w:tcW w:w="74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4D65C3">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负向指标、单向指标</w:t>
            </w:r>
          </w:p>
        </w:tc>
        <w:tc>
          <w:tcPr>
            <w:tcW w:w="21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45A679">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c>
          <w:tcPr>
            <w:tcW w:w="168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E4D08BF">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r>
      <w:tr w14:paraId="43BCFF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43" w:hRule="atLeast"/>
        </w:trPr>
        <w:tc>
          <w:tcPr>
            <w:tcW w:w="62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6F17F63">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c>
          <w:tcPr>
            <w:tcW w:w="58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1D439DB">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资产质量</w:t>
            </w:r>
          </w:p>
        </w:tc>
        <w:tc>
          <w:tcPr>
            <w:tcW w:w="8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965D4D">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总资产周转率次</w:t>
            </w:r>
          </w:p>
        </w:tc>
        <w:tc>
          <w:tcPr>
            <w:tcW w:w="18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EDFBD0">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总资产周转率（次）=营业收入/平均资产总额</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C5FFE4">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2.10%</w:t>
            </w:r>
          </w:p>
        </w:tc>
        <w:tc>
          <w:tcPr>
            <w:tcW w:w="74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868A08">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正向指标、单向指标</w:t>
            </w:r>
          </w:p>
        </w:tc>
        <w:tc>
          <w:tcPr>
            <w:tcW w:w="21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086485">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c>
          <w:tcPr>
            <w:tcW w:w="168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EA5C207">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r>
      <w:tr w14:paraId="6E8819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83" w:hRule="atLeast"/>
        </w:trPr>
        <w:tc>
          <w:tcPr>
            <w:tcW w:w="62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6906ECF">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c>
          <w:tcPr>
            <w:tcW w:w="58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FB7A7EE">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c>
          <w:tcPr>
            <w:tcW w:w="8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7B2A13">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应收账款周转率次</w:t>
            </w:r>
          </w:p>
        </w:tc>
        <w:tc>
          <w:tcPr>
            <w:tcW w:w="18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514D60">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应收账款周转率（次）=营业收入/应收账款平均余额应收账款平均余额=（年初应收账款净额+年初应收账款坏账准备＋年末应收账款净额+年末应收账款坏账准备）/2</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C9C710">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2.10%</w:t>
            </w:r>
          </w:p>
        </w:tc>
        <w:tc>
          <w:tcPr>
            <w:tcW w:w="74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ADCB96">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正向指标、单向指标</w:t>
            </w:r>
          </w:p>
        </w:tc>
        <w:tc>
          <w:tcPr>
            <w:tcW w:w="21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26EA70">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c>
          <w:tcPr>
            <w:tcW w:w="168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B19D739">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r>
      <w:tr w14:paraId="50046E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08" w:hRule="atLeast"/>
        </w:trPr>
        <w:tc>
          <w:tcPr>
            <w:tcW w:w="62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28E2B8F">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c>
          <w:tcPr>
            <w:tcW w:w="58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7BEDBF0">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c>
          <w:tcPr>
            <w:tcW w:w="8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A7595C">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流动资产周转率次</w:t>
            </w:r>
          </w:p>
        </w:tc>
        <w:tc>
          <w:tcPr>
            <w:tcW w:w="18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654D1B">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流动资产周转率（次）=营业收入/平均流动资产平均流动资产=（年初流动资产+年末流动资产）/2</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66B62C">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2.10%</w:t>
            </w:r>
          </w:p>
        </w:tc>
        <w:tc>
          <w:tcPr>
            <w:tcW w:w="74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781E76">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正向指标、单向指标</w:t>
            </w:r>
          </w:p>
        </w:tc>
        <w:tc>
          <w:tcPr>
            <w:tcW w:w="21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E43013">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c>
          <w:tcPr>
            <w:tcW w:w="168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B1AB62F">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r>
      <w:tr w14:paraId="562CCA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24" w:hRule="atLeast"/>
        </w:trPr>
        <w:tc>
          <w:tcPr>
            <w:tcW w:w="622"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DCA9D43">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公司治理</w:t>
            </w:r>
          </w:p>
        </w:tc>
        <w:tc>
          <w:tcPr>
            <w:tcW w:w="5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AF8BDB">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资产质量</w:t>
            </w:r>
          </w:p>
        </w:tc>
        <w:tc>
          <w:tcPr>
            <w:tcW w:w="8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07347E">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两金占流动资产比例%</w:t>
            </w:r>
          </w:p>
        </w:tc>
        <w:tc>
          <w:tcPr>
            <w:tcW w:w="18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7F5031">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两金占流动资产比例（%）=（应收账款+存货）/流动资产×100%</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DBD0F5">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2.10%</w:t>
            </w:r>
          </w:p>
        </w:tc>
        <w:tc>
          <w:tcPr>
            <w:tcW w:w="74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6B5FA2">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负向指标、单向指标</w:t>
            </w:r>
          </w:p>
        </w:tc>
        <w:tc>
          <w:tcPr>
            <w:tcW w:w="21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A975A8">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c>
          <w:tcPr>
            <w:tcW w:w="168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A3A81D7">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能源行业所有披露该指标的企业数据呈正态分 布排列。环境保护和社会责任的正向指标是指该指标数值越大得分越高， 负向指标是指该指标数值越小得分越高。而公司治理主要参考国资委企业绩效评价标准值工业领域优秀值。其中，公司治理的正向指标是数值在优秀值以上的取满分，小于优秀值的依照正态分布曲线上离散程度由优秀值对应的满分向单侧递减修正计算得出各家公司该指标分值；负向指标是数值在优秀值以下的取满分，大于优秀值的依照正态分布曲线上离散程度由优秀值对应的满分向单侧递减修正计算得出各家公司该指标分值；双向指标是指优秀值处 为满分，依照正态分布曲线上的离散程度由优秀值对应的满分向两侧递减修正计算得出各个企业的该项指标得分</w:t>
            </w:r>
          </w:p>
        </w:tc>
      </w:tr>
      <w:tr w14:paraId="45684B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31" w:hRule="atLeast"/>
        </w:trPr>
        <w:tc>
          <w:tcPr>
            <w:tcW w:w="62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1A7C05D">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c>
          <w:tcPr>
            <w:tcW w:w="58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03DDE13">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债务风险</w:t>
            </w:r>
          </w:p>
        </w:tc>
        <w:tc>
          <w:tcPr>
            <w:tcW w:w="8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CA5E6D">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资产负债率 %</w:t>
            </w:r>
          </w:p>
        </w:tc>
        <w:tc>
          <w:tcPr>
            <w:tcW w:w="18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A5892F">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资产负债率（%）=负债总额/资产总额×100%</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3E880E">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2.80%</w:t>
            </w:r>
          </w:p>
        </w:tc>
        <w:tc>
          <w:tcPr>
            <w:tcW w:w="74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620EED">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双向指标</w:t>
            </w:r>
          </w:p>
        </w:tc>
        <w:tc>
          <w:tcPr>
            <w:tcW w:w="21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5B3FF6">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c>
          <w:tcPr>
            <w:tcW w:w="168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58F1A90">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r>
      <w:tr w14:paraId="641E6F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55" w:hRule="atLeast"/>
        </w:trPr>
        <w:tc>
          <w:tcPr>
            <w:tcW w:w="62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7AE6980">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c>
          <w:tcPr>
            <w:tcW w:w="58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91BABB9">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c>
          <w:tcPr>
            <w:tcW w:w="8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C3210E">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EBITDA利息倍数</w:t>
            </w:r>
          </w:p>
        </w:tc>
        <w:tc>
          <w:tcPr>
            <w:tcW w:w="18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5BFAD6">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已获利息倍数=息税前净利润/利息费用</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531BFD">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2.80%</w:t>
            </w:r>
          </w:p>
        </w:tc>
        <w:tc>
          <w:tcPr>
            <w:tcW w:w="74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B52C14">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双向指标</w:t>
            </w:r>
          </w:p>
        </w:tc>
        <w:tc>
          <w:tcPr>
            <w:tcW w:w="21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D0CE96">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c>
          <w:tcPr>
            <w:tcW w:w="168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FE456A4">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r>
      <w:tr w14:paraId="0AC843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8" w:hRule="atLeast"/>
        </w:trPr>
        <w:tc>
          <w:tcPr>
            <w:tcW w:w="62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C361C51">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c>
          <w:tcPr>
            <w:tcW w:w="58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ED73E13">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c>
          <w:tcPr>
            <w:tcW w:w="8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36F6A1">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速动比率 %</w:t>
            </w:r>
          </w:p>
        </w:tc>
        <w:tc>
          <w:tcPr>
            <w:tcW w:w="18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2F6A4E">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速动比率（%）=速动资产/流动负债×100%</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1A0673">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2.10%</w:t>
            </w:r>
          </w:p>
        </w:tc>
        <w:tc>
          <w:tcPr>
            <w:tcW w:w="74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C2FC75">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双向指标</w:t>
            </w:r>
          </w:p>
        </w:tc>
        <w:tc>
          <w:tcPr>
            <w:tcW w:w="21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020015">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c>
          <w:tcPr>
            <w:tcW w:w="168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5DF9D60">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r>
      <w:tr w14:paraId="5618D4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86" w:hRule="atLeast"/>
        </w:trPr>
        <w:tc>
          <w:tcPr>
            <w:tcW w:w="62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91BA4E0">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c>
          <w:tcPr>
            <w:tcW w:w="58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6D6FBEA">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c>
          <w:tcPr>
            <w:tcW w:w="8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5EB74A">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现金流动负债比率 %</w:t>
            </w:r>
          </w:p>
        </w:tc>
        <w:tc>
          <w:tcPr>
            <w:tcW w:w="18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06BEE2">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现金流动负债比率（%）=经营现金流量净额/年末流动负债×100%</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EA3893">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2.80%</w:t>
            </w:r>
          </w:p>
        </w:tc>
        <w:tc>
          <w:tcPr>
            <w:tcW w:w="74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6FC956">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双向指标</w:t>
            </w:r>
          </w:p>
        </w:tc>
        <w:tc>
          <w:tcPr>
            <w:tcW w:w="21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6960E1">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c>
          <w:tcPr>
            <w:tcW w:w="168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65BB1FD">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r>
      <w:tr w14:paraId="5F7203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16" w:hRule="atLeast"/>
        </w:trPr>
        <w:tc>
          <w:tcPr>
            <w:tcW w:w="62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1AC9B76">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c>
          <w:tcPr>
            <w:tcW w:w="58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09BFD03">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经营增长</w:t>
            </w:r>
          </w:p>
        </w:tc>
        <w:tc>
          <w:tcPr>
            <w:tcW w:w="8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514B15">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营业增长率 %</w:t>
            </w:r>
          </w:p>
        </w:tc>
        <w:tc>
          <w:tcPr>
            <w:tcW w:w="18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9053E3">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营业增长率（%）=（本年营业收入-上年营业收入）/上年营业收入×100%</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6B9E35">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2.10%</w:t>
            </w:r>
          </w:p>
        </w:tc>
        <w:tc>
          <w:tcPr>
            <w:tcW w:w="74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44E860">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正向指标、单向指标</w:t>
            </w:r>
          </w:p>
        </w:tc>
        <w:tc>
          <w:tcPr>
            <w:tcW w:w="21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F9F36C">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c>
          <w:tcPr>
            <w:tcW w:w="168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75A255F">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r>
      <w:tr w14:paraId="673527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73" w:hRule="atLeast"/>
        </w:trPr>
        <w:tc>
          <w:tcPr>
            <w:tcW w:w="62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776B598">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c>
          <w:tcPr>
            <w:tcW w:w="58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8036EF7">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c>
          <w:tcPr>
            <w:tcW w:w="8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2BF6B4">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营业利润增长率%</w:t>
            </w:r>
          </w:p>
        </w:tc>
        <w:tc>
          <w:tcPr>
            <w:tcW w:w="18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D6264A">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营业利润增长率（%）=（本年营业利润-上年营业利润）/上年营业利润×100%</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5AC6B2">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2.10%</w:t>
            </w:r>
          </w:p>
        </w:tc>
        <w:tc>
          <w:tcPr>
            <w:tcW w:w="74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CB6C21">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正向指标、单向指标</w:t>
            </w:r>
          </w:p>
        </w:tc>
        <w:tc>
          <w:tcPr>
            <w:tcW w:w="21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228194">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c>
          <w:tcPr>
            <w:tcW w:w="168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86071F6">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r>
      <w:tr w14:paraId="4D5DAA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48" w:hRule="atLeast"/>
        </w:trPr>
        <w:tc>
          <w:tcPr>
            <w:tcW w:w="62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FD4A14E">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c>
          <w:tcPr>
            <w:tcW w:w="58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8510D1D">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c>
          <w:tcPr>
            <w:tcW w:w="8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23CABF">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资本积累率 %</w:t>
            </w:r>
          </w:p>
        </w:tc>
        <w:tc>
          <w:tcPr>
            <w:tcW w:w="18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ED5A6D">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资本积累率（%）=（年末所有者权益-年初所有者权益）/年初所有者权益×100%</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A12F8D">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1.40%</w:t>
            </w:r>
          </w:p>
        </w:tc>
        <w:tc>
          <w:tcPr>
            <w:tcW w:w="74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A0DC9F">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正向指标、单向指标</w:t>
            </w:r>
          </w:p>
        </w:tc>
        <w:tc>
          <w:tcPr>
            <w:tcW w:w="21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458418">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c>
          <w:tcPr>
            <w:tcW w:w="168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5384E92">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p>
        </w:tc>
      </w:tr>
      <w:tr w14:paraId="1326E3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0" w:hRule="atLeast"/>
        </w:trPr>
        <w:tc>
          <w:tcPr>
            <w:tcW w:w="9275" w:type="dxa"/>
            <w:gridSpan w:val="8"/>
            <w:tcBorders>
              <w:top w:val="single" w:color="000000" w:sz="4" w:space="0"/>
              <w:left w:val="single" w:color="000000" w:sz="4" w:space="0"/>
              <w:bottom w:val="single" w:color="000000" w:sz="4" w:space="0"/>
              <w:right w:val="single" w:color="000000" w:sz="4" w:space="0"/>
            </w:tcBorders>
            <w:shd w:val="clear" w:color="auto" w:fill="auto"/>
            <w:vAlign w:val="center"/>
          </w:tcPr>
          <w:p w14:paraId="6B677E98">
            <w:pPr>
              <w:pStyle w:val="6"/>
              <w:widowControl/>
              <w:kinsoku w:val="0"/>
              <w:autoSpaceDE w:val="0"/>
              <w:autoSpaceDN w:val="0"/>
              <w:adjustRightInd w:val="0"/>
              <w:snapToGrid w:val="0"/>
              <w:spacing w:before="117" w:after="0" w:line="219" w:lineRule="auto"/>
              <w:ind w:left="60"/>
              <w:jc w:val="left"/>
              <w:textAlignment w:val="baseline"/>
              <w:rPr>
                <w:rFonts w:hint="eastAsia"/>
                <w:snapToGrid w:val="0"/>
                <w:color w:val="000000"/>
                <w:spacing w:val="-2"/>
                <w:kern w:val="0"/>
                <w:sz w:val="18"/>
                <w:szCs w:val="18"/>
                <w:lang w:val="en-US" w:eastAsia="zh-CN"/>
              </w:rPr>
            </w:pPr>
            <w:r>
              <w:rPr>
                <w:rFonts w:hint="eastAsia"/>
                <w:snapToGrid w:val="0"/>
                <w:color w:val="000000"/>
                <w:spacing w:val="-2"/>
                <w:kern w:val="0"/>
                <w:sz w:val="18"/>
                <w:szCs w:val="18"/>
                <w:lang w:val="en-US" w:eastAsia="zh-CN"/>
              </w:rPr>
              <w:t>注 1 ：能源企业 ESG（可持续发展）披露指标与评价体系（定量）一级指标包括环境保护、社会责任及公司治理三个维度，二级指标包括温室气体、能源、大气、水、固体废物、公共投入、员工福利、股东分红、盈利能力、资产质量、债务风险和经营增长共 12  个指标。每个二级指标项下又设立三级指标，共包括温室气体排放强度、废水/污水排放强度、氮氧化物排放强度等共计 37 个指标。注 2 ：定量指标满分 100 分。定量指标评价得分采用正态分布函数处理。环境保护和社会责任的正向指标是指该指标数值越大得分越高，负向指标是指该指标数值越小得分越高。而公司治理主要参考国资委企业绩效评价标准值工业领域优秀值。其中，公司治理的正向指标是数值在优秀值以上的取满分，小于优秀值的依照正态分布曲线上离散程度由优秀值对应的满分向单侧递减修正计算得出各家公司该指标分值；负向指标是数值在优秀值以下的取满分，大于优秀值的依照正态分布曲线上离散程度由优秀值对应的满分向单侧递减修正计算得出各家公司该指标分值；双向指标是指优秀值处为满分，依照正态分布曲线上的离散程度由优秀值对应的满分向两侧递减修正计算得出各个企业的该项指标得分。注 3 ：在开展评价工作时，温室气体排放数据范围暂不包括范围三，文件后续版本将根据数据可得性逐步纳入。注 4 ：本文件兼容国际财务报告准则（IFRS），允许企业在海外项目中使用当地合规数据，如《温室气体议定书》范围划分等。</w:t>
            </w:r>
          </w:p>
        </w:tc>
      </w:tr>
      <w:bookmarkEnd w:id="0"/>
    </w:tbl>
    <w:p w14:paraId="2B9C5450"/>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9460FCF"/>
    <w:rsid w:val="79460F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200" w:line="276" w:lineRule="auto"/>
    </w:pPr>
    <w:rPr>
      <w:rFonts w:asciiTheme="minorHAnsi" w:hAnsiTheme="minorHAnsi" w:eastAsiaTheme="minorEastAsia" w:cstheme="minorBidi"/>
      <w:sz w:val="22"/>
      <w:szCs w:val="22"/>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customStyle="1" w:styleId="4">
    <w:name w:val="font11"/>
    <w:basedOn w:val="3"/>
    <w:qFormat/>
    <w:uiPriority w:val="0"/>
    <w:rPr>
      <w:rFonts w:hint="eastAsia" w:ascii="宋体" w:hAnsi="宋体" w:eastAsia="宋体" w:cs="宋体"/>
      <w:b/>
      <w:bCs/>
      <w:color w:val="000000"/>
      <w:sz w:val="18"/>
      <w:szCs w:val="18"/>
      <w:u w:val="none"/>
    </w:rPr>
  </w:style>
  <w:style w:type="character" w:customStyle="1" w:styleId="5">
    <w:name w:val="font21"/>
    <w:basedOn w:val="3"/>
    <w:uiPriority w:val="0"/>
    <w:rPr>
      <w:rFonts w:ascii="Calibri" w:hAnsi="Calibri" w:cs="Calibri"/>
      <w:color w:val="000000"/>
      <w:sz w:val="22"/>
      <w:szCs w:val="22"/>
      <w:u w:val="none"/>
    </w:rPr>
  </w:style>
  <w:style w:type="paragraph" w:customStyle="1" w:styleId="6">
    <w:name w:val="Table Text"/>
    <w:basedOn w:val="1"/>
    <w:semiHidden/>
    <w:qFormat/>
    <w:uiPriority w:val="0"/>
    <w:rPr>
      <w:rFonts w:ascii="宋体" w:hAnsi="宋体" w:eastAsia="宋体" w:cs="宋体"/>
      <w:sz w:val="21"/>
      <w:szCs w:val="21"/>
      <w:lang w:val="en-US" w:eastAsia="en-US"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4</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2026-07-06T14:22:00Z</dcterms:created>
  <dc:creator>松雒</dc:creator>
  <cp:lastModifiedBy>松雒</cp:lastModifiedBy>
  <dcterms:modified xsi:type="dcterms:W3CDTF">2026-07-11T16:18:41Z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DE1142E187EE49E180B38044AE4DC8FF_11</vt:lpwstr>
  </property>
  <property fmtid="{D5CDD505-2E9C-101B-9397-08002B2CF9AE}" pid="4" name="KSOTemplateDocerSaveRecord">
    <vt:lpwstr>eyJoZGlkIjoiY2MzOTBmOWYyODFlNjIzNTVkYTZkMmY0ZDY5MTMwODAiLCJ1c2VySWQiOiI5MTU1ODYyNDIifQ==</vt:lpwstr>
  </property>
</Properties>
</file>