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Empirical Evaluation of Small Language Models for</w:t>
        <w:br/>
        <w:t>Intent-Driven Slice Lifecycle Management in 6G Core Networks</w:t>
      </w:r>
    </w:p>
    <w:p>
      <w:pPr>
        <w:jc w:val="center"/>
      </w:pPr>
      <w:r>
        <w:rPr>
          <w:i/>
        </w:rPr>
        <w:t>Teerapong Somsri, [Co-authors TBD]</w:t>
      </w:r>
    </w:p>
    <w:p>
      <w:pPr>
        <w:jc w:val="center"/>
      </w:pPr>
      <w:r>
        <w:rPr>
          <w:sz w:val="20"/>
        </w:rPr>
        <w:t>Rajabhat Ratchanakarin University (RBRU)</w:t>
      </w:r>
    </w:p>
    <w:p/>
    <w:p>
      <w:pPr>
        <w:pStyle w:val="Heading1"/>
      </w:pPr>
      <w:r>
        <w:t>Abstract</w:t>
      </w:r>
    </w:p>
    <w:p>
      <w:pPr>
        <w:ind w:firstLine="720"/>
      </w:pPr>
      <w:r>
        <w:t>The deployment of intent-based networking (IBN) in 6G core networks requires lightweight, efficient language models capable of translating natural language intents into network orchestration commands. This paper presents a comprehensive empirical evaluation of small language models (SLMs) for intent-driven slice lifecycle management, examining both cross-family performance (Llama, Qwen, Gemma, GLM at ~8B parameters) and the impact of model size scaling (0.5B-7B) with quantization (Q2_K, Q4_K_M, Q8_0). Using a dataset of 200 intents spanning provisioning, scaling, and conflict resolution domains, we evaluate models across seven dimensions: format validity, action accuracy, exact parameter match, inference latency, throughput, memory consumption, and energy efficiency. Our results reveal that Qwen2.5-7B achieves the highest overall accuracy (29.8% exact match, 43.5% action accuracy) while Qwen2.5-3B-Q4_K_M offers the best cost-effectiveness ratio. We also identify diminishing returns beyond 3B parameters and find that quantization degradation (Q8_0 to Q2_K) impacts accuracy by only 1-3 percentage points while reducing energy consumption by up to 40%. These findings provide practical guidelines for deploying SLMs in resource-constrained 6G edge environments.</w:t>
      </w:r>
    </w:p>
    <w:p>
      <w:r>
        <w:rPr>
          <w:b/>
        </w:rPr>
        <w:t xml:space="preserve">Keywords: </w:t>
      </w:r>
      <w:r>
        <w:t>Small Language Models, 6G Networks, Intent-Based Networking, Network Slicing, Model Quantization, Edge AI, Resource Efficiency</w:t>
      </w:r>
    </w:p>
    <w:p/>
    <w:p>
      <w:pPr>
        <w:pStyle w:val="Heading1"/>
      </w:pPr>
      <w:r>
        <w:t>1. Introduction</w:t>
      </w:r>
    </w:p>
    <w:p>
      <w:pPr>
        <w:ind w:firstLine="720"/>
      </w:pPr>
      <w:r>
        <w:t>Sixth-generation (6G) networks are expected to support diverse and demanding use cases including enhanced mobile broadband (eMBB), ultra-reliable low-latency communications (URLLC), and massive machine-type communications (mMTC). Network slicing — the ability to create multiple virtualized and independent logical networks on a shared physical infrastructure — is a cornerstone technology for meeting these heterogeneous requirements [1,2].</w:t>
      </w:r>
    </w:p>
    <w:p>
      <w:pPr>
        <w:ind w:firstLine="720"/>
      </w:pPr>
      <w:r>
        <w:t>Intent-based networking (IBN) has emerged as a promising paradigm that allows network operators to express high-level business goals in natural language, which are then automatically translated into low-level configurations [3]. Large language models (LLMs) have demonstrated remarkable capabilities in understanding and generating structured outputs from natural language, making them natural candidates for the intent translation task in 6G IBN systems [4,5].</w:t>
      </w:r>
    </w:p>
    <w:p>
      <w:pPr>
        <w:ind w:firstLine="720"/>
      </w:pPr>
      <w:r>
        <w:t>However, deploying LLMs in 6G edge environments presents significant challenges. The computational and memory requirements of models with 7-70 billion parameters are often incompatible with the resource constraints of edge nodes, where power budgets may be as low as 10-50W and memory limited to a few gigabytes [6]. Small language models (SLMs) with 0.5-8B parameters, combined with quantization techniques (2-8 bits), offer a potential solution — but their performance on domain-specific networking tasks remains underexplored.</w:t>
      </w:r>
    </w:p>
    <w:p>
      <w:pPr>
        <w:ind w:firstLine="720"/>
      </w:pPr>
      <w:r>
        <w:t>This paper addresses four research questions:</w:t>
      </w:r>
    </w:p>
    <w:p>
      <w:pPr>
        <w:pStyle w:val="ListBullet"/>
      </w:pPr>
      <w:r>
        <w:t>RQ1: How do different SLM architectures (Llama, Qwen, Gemma, GLM) compare in intent translation accuracy?</w:t>
      </w:r>
    </w:p>
    <w:p>
      <w:pPr>
        <w:pStyle w:val="ListBullet"/>
      </w:pPr>
      <w:r>
        <w:t>RQ2: What is the relationship between model size (0.5B-7B) and intent translation performance?</w:t>
      </w:r>
    </w:p>
    <w:p>
      <w:pPr>
        <w:pStyle w:val="ListBullet"/>
      </w:pPr>
      <w:r>
        <w:t>RQ3: How does quantization (Q2_K, Q4_K_M, Q8_0) affect the accuracy-efficiency trade-off?</w:t>
      </w:r>
    </w:p>
    <w:p>
      <w:pPr>
        <w:pStyle w:val="ListBullet"/>
      </w:pPr>
      <w:r>
        <w:t>RQ4: What are the resource consumption characteristics of SLM inference on CPU-only hardware?</w:t>
      </w:r>
    </w:p>
    <w:p>
      <w:pPr>
        <w:ind w:firstLine="720"/>
      </w:pPr>
      <w:r>
        <w:t>We answer these questions through a systematic, reproducible benchmark of 16 model configurations on identical CPU-only hardware. Our contributions include: (1) the first comprehensive comparison of open-weight SLMs for 6G intent translation, (2) a detailed Pareto frontier analysis across model sizes and quantization levels, (3) quantitative evidence of diminishing returns beyond 3B, and (4) practical deployment recommendations for resource-constrained 6G edge infrastructure.</w:t>
      </w:r>
    </w:p>
    <w:p/>
    <w:p>
      <w:pPr>
        <w:pStyle w:val="Heading1"/>
      </w:pPr>
      <w:r>
        <w:t>2. Related Work</w:t>
      </w:r>
    </w:p>
    <w:p>
      <w:pPr>
        <w:pStyle w:val="Heading2"/>
      </w:pPr>
      <w:r>
        <w:t>2.1 Intent-Based Networking in 6G</w:t>
      </w:r>
    </w:p>
    <w:p>
      <w:pPr>
        <w:ind w:firstLine="720"/>
      </w:pPr>
      <w:r>
        <w:t>IBN has been extensively studied in the context of 5G and beyond. ETSI ZSM [7] and 3GPP [8] have standardized frameworks for intent-driven closed-loop automation. Recent works by Mechtri et al. [9] and Abbas et al. [2] have proposed natural language interfaces for network slice management. However, these approaches typically assume cloud-based LLMs, which are impractical for edge deployment.</w:t>
      </w:r>
    </w:p>
    <w:p>
      <w:pPr>
        <w:pStyle w:val="Heading2"/>
      </w:pPr>
      <w:r>
        <w:t>2.2 Small Language Models for Domain Tasks</w:t>
      </w:r>
    </w:p>
    <w:p>
      <w:pPr>
        <w:ind w:firstLine="720"/>
      </w:pPr>
      <w:r>
        <w:t>The emergence of efficient open-weight models such as Llama 3.1 [10], Qwen2.5 [11], Gemma 2 [12], and GLM-4 [13] has made SLM deployment feasible on consumer hardware. Recent benchmarks have evaluated these models on general NLP tasks, but domain-specific evaluation for networking applications remains scarce.</w:t>
      </w:r>
    </w:p>
    <w:p>
      <w:pPr>
        <w:pStyle w:val="Heading2"/>
      </w:pPr>
      <w:r>
        <w:t>2.3 Model Quantization for Edge Deployment</w:t>
      </w:r>
    </w:p>
    <w:p>
      <w:pPr>
        <w:ind w:firstLine="720"/>
      </w:pPr>
      <w:r>
        <w:t>The GGUF format [14] with K-quant methods has become the standard for CPU inference. Dettmers et al. [15] demonstrated that 4-bit quantization preserves model quality for most NLP tasks. Our work extends this analysis to the networking domain.</w:t>
      </w:r>
    </w:p>
    <w:p>
      <w:pPr>
        <w:pStyle w:val="Heading2"/>
      </w:pPr>
      <w:r>
        <w:t>2.4 Resource-Aware Model Selection</w:t>
      </w:r>
    </w:p>
    <w:p>
      <w:pPr>
        <w:ind w:firstLine="720"/>
      </w:pPr>
      <w:r>
        <w:t>Prior work on energy-aware ML has focused on training efficiency [16] or cloud inference cost [17]. For edge deployment, memory bandwidth and CPU utilization are primary bottlenecks [18]. Our work contributes per-intent CPU, memory, and energy measurements across 12 configurations on identical hardware.</w:t>
      </w:r>
    </w:p>
    <w:p/>
    <w:p>
      <w:pPr>
        <w:pStyle w:val="Heading1"/>
      </w:pPr>
      <w:r>
        <w:t>3. Methodology</w:t>
      </w:r>
    </w:p>
    <w:p>
      <w:pPr>
        <w:pStyle w:val="Heading2"/>
      </w:pPr>
      <w:r>
        <w:t>3.1 Dataset</w:t>
      </w:r>
    </w:p>
    <w:p>
      <w:r>
        <w:t>We constructed a dataset of 200 natural language intents spanning three network slice lifecycle domains: Slicing Provisioning (70 intents), Scaling Request (70 intents), and Conflict Resolution (60 intents). Each intent consists of an input_text and a ground_truth JSON object containing expected action, slice type, and domain-specific parameters.</w:t>
      </w:r>
    </w:p>
    <w:p>
      <w:r>
        <w:rPr>
          <w:b/>
        </w:rPr>
        <w:t xml:space="preserve">Example Intent: </w:t>
      </w:r>
      <w:r>
        <w:t>Input: "Create a new eMBB slice for a 4K video streaming event in Bangkok." Ground Truth: {"action": "CREATE", "slice_type": "eMBB", "bandwidth_gbps": 1}</w:t>
      </w:r>
    </w:p>
    <w:p>
      <w:pPr>
        <w:pStyle w:val="Heading2"/>
      </w:pPr>
      <w:r>
        <w:t>3.2 Models</w:t>
      </w:r>
    </w:p>
    <w:p>
      <w:r>
        <w:t>We evaluate models across two experimental phases. Phase 1 compares four open-weight SLM families at ~8B parameters under Q4_K_M quantization: Llama 3.1-8B, Qwen2.5-7B, Gemma 2-9B (custom Q4_K_M), and GLM-4-9B (custom Q4_K_M). DeepSeek-R1-8B was excluded due to CPU-only incompatibility — its reasoning architecture caused infinite chain-of-thought loops on CPU inference [20].</w:t>
      </w:r>
    </w:p>
    <w:p>
      <w:r>
        <w:t>Phase 2 systematically evaluates Qwen2.5 (selected as the top performer from Phase 1) across four sizes (0.5B, 1.5B, 3B, 7B) and three quantization levels (Q2_K, Q4_K_M, Q8_0), resulting in 12 configurations.</w:t>
      </w:r>
    </w:p>
    <w:p>
      <w:pPr>
        <w:pStyle w:val="Heading2"/>
      </w:pPr>
      <w:r>
        <w:t>3.3 Metrics &amp; Statistical Framework</w:t>
      </w:r>
    </w:p>
    <w:p>
      <w:r>
        <w:t>We define seven evaluation metrics: Format Validity (valid JSON with required fields), Action Accuracy (correct CREATE/MODIFY/DELETE), Avg Match% (mean percentage of ground-truth key-value pairs correctly predicted), Inference Time (wall-clock seconds), Throughput (tokens/s), Memory Footprint (peak RSS in MB via psutil), and Energy Consumption (estimated as CPU_utilization × TDP_135W × inference_time). For every continuous metric, we report the mean, standard deviation, and 95% confidence interval [μ ± t₀.₀₂₅ · σ/√n] across n = 200 intents using the t-distribution (df = 199, t ≈ 1.972).</w:t>
      </w:r>
    </w:p>
    <w:p>
      <w:pPr>
        <w:pStyle w:val="Heading2"/>
      </w:pPr>
      <w:r>
        <w:t>3.4 Hardware &amp; Software</w:t>
      </w:r>
    </w:p>
    <w:p>
      <w:r>
        <w:t>All experiments run on identical Proxmox VE 8.2 KVM virtual machines with 16 vCPUs (Intel Xeon E5-2690 v4 @ 2.60GHz), 32GB RAM, and 80GB SSD. Software: Ubuntu 24.04, Ollama 0.5.x (llama.cpp backend), Python 3.12, psutil 6.x. Each configuration is evaluated independently with a 2-intent warmup to ensure consistent model loading and KV-cache state.</w:t>
      </w:r>
    </w:p>
    <w:p/>
    <w:p>
      <w:pPr>
        <w:pStyle w:val="Heading1"/>
      </w:pPr>
      <w:r>
        <w:t>4. Phase 1: Cross-Family Model Comparison</w:t>
      </w:r>
    </w:p>
    <w:p>
      <w:r>
        <w:t>Table 1 presents the results of the cross-family comparison at ~8B parameters with Q4_K_M quantization.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Match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</w:tr>
      <w:tr>
        <w:tc>
          <w:tcPr>
            <w:tcW w:type="dxa" w:w="1728"/>
          </w:tcPr>
          <w:p>
            <w:r>
              <w:t>Llama 3.1 8B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36.5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19.11</w:t>
            </w:r>
          </w:p>
        </w:tc>
      </w:tr>
      <w:tr>
        <w:tc>
          <w:tcPr>
            <w:tcW w:type="dxa" w:w="1728"/>
          </w:tcPr>
          <w:p>
            <w:r>
              <w:t>Qwen2.5 7B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43.5</w:t>
            </w:r>
          </w:p>
        </w:tc>
        <w:tc>
          <w:tcPr>
            <w:tcW w:type="dxa" w:w="1728"/>
          </w:tcPr>
          <w:p>
            <w:r>
              <w:t>29.8</w:t>
            </w:r>
          </w:p>
        </w:tc>
        <w:tc>
          <w:tcPr>
            <w:tcW w:type="dxa" w:w="1728"/>
          </w:tcPr>
          <w:p>
            <w:r>
              <w:t>18.68</w:t>
            </w:r>
          </w:p>
        </w:tc>
      </w:tr>
      <w:tr>
        <w:tc>
          <w:tcPr>
            <w:tcW w:type="dxa" w:w="1728"/>
          </w:tcPr>
          <w:p>
            <w:r>
              <w:t>Gemma 2 9B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39.79</w:t>
            </w:r>
          </w:p>
        </w:tc>
      </w:tr>
      <w:tr>
        <w:tc>
          <w:tcPr>
            <w:tcW w:type="dxa" w:w="1728"/>
          </w:tcPr>
          <w:p>
            <w:r>
              <w:t>GLM-4 9B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22.88</w:t>
            </w:r>
          </w:p>
        </w:tc>
      </w:tr>
    </w:tbl>
    <w:p>
      <w:pPr>
        <w:jc w:val="center"/>
      </w:pPr>
      <w:r>
        <w:rPr>
          <w:b/>
        </w:rPr>
        <w:t xml:space="preserve">Table 1: </w:t>
      </w:r>
      <w:r>
        <w:t>Phase 1 cross-family benchmark results (~8B, Q4_K_M, n=200 intents).</w:t>
      </w:r>
    </w:p>
    <w:p/>
    <w:p>
      <w:pPr>
        <w:pStyle w:val="Heading2"/>
      </w:pPr>
      <w:r>
        <w:t>4.1 Key Findings</w:t>
      </w:r>
    </w:p>
    <w:p>
      <w:pPr>
        <w:pStyle w:val="ListBullet"/>
      </w:pPr>
      <w:r>
        <w:t>Qwen2.5-7B achieves the best overall balance: highest exact match (29.8%) with lowest inference time (18.68s), representing a 14.6% relative improvement over Llama 3.1.</w:t>
      </w:r>
    </w:p>
    <w:p>
      <w:pPr>
        <w:pStyle w:val="ListBullet"/>
      </w:pPr>
      <w:r>
        <w:t>Gemma 2-9B has the highest action accuracy (45.5%) but at 2.1× the latency of Qwen (39.79s vs 18.68s), making it unsuitable for latency-sensitive edge applications.</w:t>
      </w:r>
    </w:p>
    <w:p>
      <w:pPr>
        <w:pStyle w:val="ListBullet"/>
      </w:pPr>
      <w:r>
        <w:t>GLM-4-9B significantly underperforms in action accuracy (29.0%), suggesting its instruction-tuning may be less aligned with structured JSON output tasks.</w:t>
      </w:r>
    </w:p>
    <w:p>
      <w:pPr>
        <w:pStyle w:val="ListBullet"/>
      </w:pPr>
      <w:r>
        <w:t>The 9B models (Gemma, GLM) do not show proportional gains over 7-8B models, indicating that architecture and training quality outweigh raw parameter count for this task.</w:t>
      </w:r>
    </w:p>
    <w:p>
      <w:r>
        <w:t>Based on these results, Qwen2.5 is selected as the reference architecture for Phase 2.</w:t>
      </w:r>
    </w:p>
    <w:p/>
    <w:p>
      <w:pPr>
        <w:pStyle w:val="Heading1"/>
      </w:pPr>
      <w:r>
        <w:t>5. Phase 2: Size Scaling &amp; Quantization</w:t>
      </w:r>
    </w:p>
    <w:p>
      <w:pPr>
        <w:pStyle w:val="Heading2"/>
      </w:pPr>
      <w:r>
        <w:t>5.1 Complete Results with 95% Confidence Intervals</w:t>
      </w:r>
    </w:p>
    <w:p>
      <w:r>
        <w:t>Table 2 presents the complete Phase 2 results with 95% confidence intervals for all metrics.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Config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Match%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95% CI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Action%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Format%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Time(s)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95% CI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Energy(J)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Mem(MB)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0.5B Q2 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[15.8,22.6]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[3.4,3.9]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2619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0.5B Q4 K 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[14.7,21.5]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[3.4,4.0]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0.5B Q8 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[16.1,23.0]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[5.0,6.0]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1.5B Q2 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[18.3,25.6]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[5.2,7.7]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1.5B Q4 K 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[22.4,30.4]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[7.5,8.6]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1.5B Q8 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[21.6,29.7]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[5.2,6.0]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3B Q2 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[20.3,28.0]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[9.1,10.5]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2439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3B Q4 K 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[23.0,31.2]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[9.3,10.6]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3309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3B Q8 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[22.9,31.1]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[6.6,7.6]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5232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7B Q2 K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[24.7,32.8]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[11.3,13.1]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8176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7B Q4 K M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[25.8,33.9]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[15.2,18.0]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4950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7B Q8 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30.3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[26.1,34.5]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[19.2,22.0]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11408</w:t>
            </w:r>
          </w:p>
        </w:tc>
      </w:tr>
    </w:tbl>
    <w:p>
      <w:pPr>
        <w:jc w:val="center"/>
      </w:pPr>
      <w:r>
        <w:rPr>
          <w:b/>
        </w:rPr>
        <w:t xml:space="preserve">Table 2: </w:t>
      </w:r>
      <w:r>
        <w:t>Phase 2 complete results — Qwen2.5 across 4 sizes × 3 quantization levels (n=200, 95% CI).</w:t>
      </w:r>
    </w:p>
    <w:p/>
    <w:p>
      <w:pPr>
        <w:pStyle w:val="Heading2"/>
      </w:pPr>
      <w:r>
        <w:t>5.2 Size Scaling Analysis</w:t>
      </w:r>
    </w:p>
    <w:p>
      <w:pPr>
        <w:pStyle w:val="ListBullet"/>
      </w:pPr>
      <w:r>
        <w:t>0.5B → 1.5B: Avg match improves from 19.0% to 24.7% (+5.7pp, +30% relative). This is the largest single-step gain, indicating 0.5B models lack capacity for structured JSON generation.</w:t>
      </w:r>
    </w:p>
    <w:p>
      <w:pPr>
        <w:pStyle w:val="ListBullet"/>
      </w:pPr>
      <w:r>
        <w:t>1.5B → 3B: Avg match improves from 24.7% to 26.1% (+1.4pp, +5.7% relative). Marginal gain per billion parameters drops significantly.</w:t>
      </w:r>
    </w:p>
    <w:p>
      <w:pPr>
        <w:pStyle w:val="ListBullet"/>
      </w:pPr>
      <w:r>
        <w:t>3B → 7B: Avg match improves from 26.1% to 29.6% (+3.5pp, +13.4% relative), but at 67% more time and 80% more energy. The Pareto frontier reveals a "knee" at 3B.</w:t>
      </w:r>
    </w:p>
    <w:p>
      <w:pPr>
        <w:pStyle w:val="Heading2"/>
      </w:pPr>
      <w:r>
        <w:t>5.3 Quantization Impact</w:t>
      </w:r>
    </w:p>
    <w:p>
      <w:pPr>
        <w:pStyle w:val="ListBullet"/>
      </w:pPr>
      <w:r>
        <w:t>Q8_0 → Q4_K_M: Avg match loss of only 0.2pp across all sizes, while reducing model size by ~50% and memory by ~40%. Q4_K_M is the optimal accuracy-efficiency trade-off.</w:t>
      </w:r>
    </w:p>
    <w:p>
      <w:pPr>
        <w:pStyle w:val="ListBullet"/>
      </w:pPr>
      <w:r>
        <w:t>Q4_K_M → Q2_K: Avg match loss of 1.6pp, with energy savings of 20-30%. The 7B-Q2_K configuration (28.8% match, 12.2s, 1,566J) outperforms 3B-Q8_0 (27.0%) while consuming only 72% more energy.</w:t>
      </w:r>
    </w:p>
    <w:p>
      <w:pPr>
        <w:pStyle w:val="ListBullet"/>
      </w:pPr>
      <w:r>
        <w:t>Quantization sensitivity varies by size: 0.5B shows minimal impact (±1.5pp), while 1.5B is most sensitive (up to 5.3pp loss from Q4_K_M to Q2_K).</w:t>
      </w:r>
    </w:p>
    <w:p/>
    <w:p>
      <w:pPr>
        <w:pStyle w:val="Heading1"/>
      </w:pPr>
      <w:r>
        <w:t>6. Resource Consumption Analysis</w:t>
      </w:r>
    </w:p>
    <w:p>
      <w:pPr>
        <w:pStyle w:val="Heading2"/>
      </w:pPr>
      <w:r>
        <w:t>6.1 Memory Footprint</w:t>
      </w:r>
    </w:p>
    <w:p>
      <w:r>
        <w:t>Memory consumption scales primarily with model size and quantization level. Peak RSS ranges from 575 MB (0.5B-Q4_K_M) to 11,408 MB (7B-Q8_0). Table 3 shows the memory footprint across all configurations.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Q2_K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Q4_K_M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Q8_0 (MB)</w:t>
            </w:r>
          </w:p>
        </w:tc>
      </w:tr>
      <w:tr>
        <w:tc>
          <w:tcPr>
            <w:tcW w:type="dxa" w:w="2160"/>
          </w:tcPr>
          <w:p>
            <w:r>
              <w:t>0.5B</w:t>
            </w:r>
          </w:p>
        </w:tc>
        <w:tc>
          <w:tcPr>
            <w:tcW w:type="dxa" w:w="2160"/>
          </w:tcPr>
          <w:p>
            <w:r>
              <w:t>2619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2167</w:t>
            </w:r>
          </w:p>
        </w:tc>
      </w:tr>
      <w:tr>
        <w:tc>
          <w:tcPr>
            <w:tcW w:type="dxa" w:w="2160"/>
          </w:tcPr>
          <w:p>
            <w:r>
              <w:t>1.5B</w:t>
            </w:r>
          </w:p>
        </w:tc>
        <w:tc>
          <w:tcPr>
            <w:tcW w:type="dxa" w:w="2160"/>
          </w:tcPr>
          <w:p>
            <w:r>
              <w:t>1378</w:t>
            </w:r>
          </w:p>
        </w:tc>
        <w:tc>
          <w:tcPr>
            <w:tcW w:type="dxa" w:w="2160"/>
          </w:tcPr>
          <w:p>
            <w:r>
              <w:t>1718</w:t>
            </w:r>
          </w:p>
        </w:tc>
        <w:tc>
          <w:tcPr>
            <w:tcW w:type="dxa" w:w="2160"/>
          </w:tcPr>
          <w:p>
            <w:r>
              <w:t>2484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2439</w:t>
            </w:r>
          </w:p>
        </w:tc>
        <w:tc>
          <w:tcPr>
            <w:tcW w:type="dxa" w:w="2160"/>
          </w:tcPr>
          <w:p>
            <w:r>
              <w:t>3309</w:t>
            </w:r>
          </w:p>
        </w:tc>
        <w:tc>
          <w:tcPr>
            <w:tcW w:type="dxa" w:w="2160"/>
          </w:tcPr>
          <w:p>
            <w:r>
              <w:t>5232</w:t>
            </w:r>
          </w:p>
        </w:tc>
      </w:tr>
      <w:tr>
        <w:tc>
          <w:tcPr>
            <w:tcW w:type="dxa" w:w="2160"/>
          </w:tcPr>
          <w:p>
            <w:r>
              <w:t>7B</w:t>
            </w:r>
          </w:p>
        </w:tc>
        <w:tc>
          <w:tcPr>
            <w:tcW w:type="dxa" w:w="2160"/>
          </w:tcPr>
          <w:p>
            <w:r>
              <w:t>8176</w:t>
            </w:r>
          </w:p>
        </w:tc>
        <w:tc>
          <w:tcPr>
            <w:tcW w:type="dxa" w:w="2160"/>
          </w:tcPr>
          <w:p>
            <w:r>
              <w:t>4950</w:t>
            </w:r>
          </w:p>
        </w:tc>
        <w:tc>
          <w:tcPr>
            <w:tcW w:type="dxa" w:w="2160"/>
          </w:tcPr>
          <w:p>
            <w:r>
              <w:t>11408</w:t>
            </w:r>
          </w:p>
        </w:tc>
      </w:tr>
    </w:tbl>
    <w:p>
      <w:pPr>
        <w:jc w:val="center"/>
      </w:pPr>
      <w:r>
        <w:rPr>
          <w:b/>
        </w:rPr>
        <w:t xml:space="preserve">Table 3: </w:t>
      </w:r>
      <w:r>
        <w:t>Peak memory footprint (RSS in MB) by model size and quantization.</w:t>
      </w:r>
    </w:p>
    <w:p/>
    <w:p>
      <w:pPr>
        <w:pStyle w:val="Heading2"/>
      </w:pPr>
      <w:r>
        <w:t>6.2 Energy Efficiency Ranking</w:t>
      </w:r>
    </w:p>
    <w:p>
      <w:r>
        <w:t>Energy consumption is dominated by inference time, as CPU utilization remains at ~95% for all configurations. Table 4 ranks all configurations by energy efficiency (Match% per Joule).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Match%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Energy(J)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Match/J ×100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Mem(MB)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7B Q8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11408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7B Q4 K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1.400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4950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7B Q2 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1.839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8176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3B Q2 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1.923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2439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3B Q4 K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2.127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1.5B Q4 K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2.556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1.5B Q2 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2.640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0.5B Q8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2.773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2167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3B Q8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2.961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1.5B Q8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3.592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2484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0.5B Q4 K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3.831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0.5B Q2 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2619</w:t>
            </w:r>
          </w:p>
        </w:tc>
      </w:tr>
    </w:tbl>
    <w:p>
      <w:pPr>
        <w:jc w:val="center"/>
      </w:pPr>
      <w:r>
        <w:rPr>
          <w:b/>
        </w:rPr>
        <w:t xml:space="preserve">Table 4: </w:t>
      </w:r>
      <w:r>
        <w:t>Energy efficiency ranking — sorted by Match%/Joule.</w:t>
      </w:r>
    </w:p>
    <w:p/>
    <w:p>
      <w:r>
        <w:t>The 1.5B-Q8_0 configuration achieves the highest energy efficiency (0.036 Match/J), followed by 0.5B-Q4_K_M (0.034 Match/J). The 7B models are the least efficient (0.011-0.013 Match/J), consuming ~3× more energy per unit of accuracy compared to 1.5B models.</w:t>
      </w:r>
    </w:p>
    <w:p/>
    <w:p>
      <w:pPr>
        <w:pStyle w:val="Heading1"/>
      </w:pPr>
      <w:r>
        <w:t>7. Domain-Level Analysis</w:t>
      </w:r>
    </w:p>
    <w:p>
      <w:r>
        <w:t>We decompose performance across three network slice lifecycle domains (Q4_K_M configurations).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Provisioning</w:t>
              <w:br/>
              <w:t>Match%/Act%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Scaling</w:t>
              <w:br/>
              <w:t>Match%/Act%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Conflict</w:t>
              <w:br/>
              <w:t>Match%/Act%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Overall</w:t>
            </w:r>
          </w:p>
        </w:tc>
      </w:tr>
      <w:tr>
        <w:tc>
          <w:tcPr>
            <w:tcW w:type="dxa" w:w="1728"/>
          </w:tcPr>
          <w:p>
            <w:r>
              <w:t>0.5B</w:t>
            </w:r>
          </w:p>
        </w:tc>
        <w:tc>
          <w:tcPr>
            <w:tcW w:type="dxa" w:w="1728"/>
          </w:tcPr>
          <w:p>
            <w:r>
              <w:t>34.8%/74.3%</w:t>
            </w:r>
          </w:p>
        </w:tc>
        <w:tc>
          <w:tcPr>
            <w:tcW w:type="dxa" w:w="1728"/>
          </w:tcPr>
          <w:p>
            <w:r>
              <w:t>14.4%/15.7%</w:t>
            </w:r>
          </w:p>
        </w:tc>
        <w:tc>
          <w:tcPr>
            <w:tcW w:type="dxa" w:w="1728"/>
          </w:tcPr>
          <w:p>
            <w:r>
              <w:t>3.1%/11.7%</w:t>
            </w:r>
          </w:p>
        </w:tc>
        <w:tc>
          <w:tcPr>
            <w:tcW w:type="dxa" w:w="1728"/>
          </w:tcPr>
          <w:p>
            <w:r>
              <w:t>18.1%/35.0%</w:t>
            </w:r>
          </w:p>
        </w:tc>
      </w:tr>
      <w:tr>
        <w:tc>
          <w:tcPr>
            <w:tcW w:type="dxa" w:w="1728"/>
          </w:tcPr>
          <w:p>
            <w:r>
              <w:t>1.5B</w:t>
            </w:r>
          </w:p>
        </w:tc>
        <w:tc>
          <w:tcPr>
            <w:tcW w:type="dxa" w:w="1728"/>
          </w:tcPr>
          <w:p>
            <w:r>
              <w:t>45.1%/80.0%</w:t>
            </w:r>
          </w:p>
        </w:tc>
        <w:tc>
          <w:tcPr>
            <w:tcW w:type="dxa" w:w="1728"/>
          </w:tcPr>
          <w:p>
            <w:r>
              <w:t>25.8%/31.4%</w:t>
            </w:r>
          </w:p>
        </w:tc>
        <w:tc>
          <w:tcPr>
            <w:tcW w:type="dxa" w:w="1728"/>
          </w:tcPr>
          <w:p>
            <w:r>
              <w:t>5.4%/11.7%</w:t>
            </w:r>
          </w:p>
        </w:tc>
        <w:tc>
          <w:tcPr>
            <w:tcW w:type="dxa" w:w="1728"/>
          </w:tcPr>
          <w:p>
            <w:r>
              <w:t>26.4%/42.5%</w:t>
            </w:r>
          </w:p>
        </w:tc>
      </w:tr>
      <w:tr>
        <w:tc>
          <w:tcPr>
            <w:tcW w:type="dxa" w:w="1728"/>
          </w:tcPr>
          <w:p>
            <w:r>
              <w:t>3B</w:t>
            </w:r>
          </w:p>
        </w:tc>
        <w:tc>
          <w:tcPr>
            <w:tcW w:type="dxa" w:w="1728"/>
          </w:tcPr>
          <w:p>
            <w:r>
              <w:t>52.4%/100.0%</w:t>
            </w:r>
          </w:p>
        </w:tc>
        <w:tc>
          <w:tcPr>
            <w:tcW w:type="dxa" w:w="1728"/>
          </w:tcPr>
          <w:p>
            <w:r>
              <w:t>21.6%/20.0%</w:t>
            </w:r>
          </w:p>
        </w:tc>
        <w:tc>
          <w:tcPr>
            <w:tcW w:type="dxa" w:w="1728"/>
          </w:tcPr>
          <w:p>
            <w:r>
              <w:t>3.9%/8.3%</w:t>
            </w:r>
          </w:p>
        </w:tc>
        <w:tc>
          <w:tcPr>
            <w:tcW w:type="dxa" w:w="1728"/>
          </w:tcPr>
          <w:p>
            <w:r>
              <w:t>27.1%/44.5%</w:t>
            </w:r>
          </w:p>
        </w:tc>
      </w:tr>
      <w:tr>
        <w:tc>
          <w:tcPr>
            <w:tcW w:type="dxa" w:w="1728"/>
          </w:tcPr>
          <w:p>
            <w:r>
              <w:t>7B</w:t>
            </w:r>
          </w:p>
        </w:tc>
        <w:tc>
          <w:tcPr>
            <w:tcW w:type="dxa" w:w="1728"/>
          </w:tcPr>
          <w:p>
            <w:r>
              <w:t>55.4%/100.0%</w:t>
            </w:r>
          </w:p>
        </w:tc>
        <w:tc>
          <w:tcPr>
            <w:tcW w:type="dxa" w:w="1728"/>
          </w:tcPr>
          <w:p>
            <w:r>
              <w:t>24.2%/15.7%</w:t>
            </w:r>
          </w:p>
        </w:tc>
        <w:tc>
          <w:tcPr>
            <w:tcW w:type="dxa" w:w="1728"/>
          </w:tcPr>
          <w:p>
            <w:r>
              <w:t>6.6%/6.7%</w:t>
            </w:r>
          </w:p>
        </w:tc>
        <w:tc>
          <w:tcPr>
            <w:tcW w:type="dxa" w:w="1728"/>
          </w:tcPr>
          <w:p>
            <w:r>
              <w:t>29.8%/42.5%</w:t>
            </w:r>
          </w:p>
        </w:tc>
      </w:tr>
    </w:tbl>
    <w:p>
      <w:pPr>
        <w:jc w:val="center"/>
      </w:pPr>
      <w:r>
        <w:rPr>
          <w:b/>
        </w:rPr>
        <w:t xml:space="preserve">Table 5: </w:t>
      </w:r>
      <w:r>
        <w:t>Domain-level performance breakdown (Q4_K_M).</w:t>
      </w:r>
    </w:p>
    <w:p/>
    <w:p>
      <w:r>
        <w:t>Provisioning intents consistently achieve the highest accuracy (35-42% match, 70-76% action) due to well-defined JSON schemas. Scaling intents show moderate performance (15-22% match) reflecting ambiguity in scaling decisions. Conflict resolution is the most challenging domain (2-4% match), requiring multi-constraint optimization beyond current SLM capabilities.</w:t>
      </w:r>
    </w:p>
    <w:p/>
    <w:p>
      <w:pPr>
        <w:pStyle w:val="Heading1"/>
      </w:pPr>
      <w:r>
        <w:t>8. Discussion</w:t>
      </w:r>
    </w:p>
    <w:p>
      <w:pPr>
        <w:pStyle w:val="Heading2"/>
      </w:pPr>
      <w:r>
        <w:t>8.1 Deployment Recommendations</w:t>
      </w:r>
    </w:p>
    <w:p>
      <w:pPr>
        <w:pStyle w:val="ListBullet"/>
      </w:pPr>
      <w:r>
        <w:t>Latency-critical edge (&lt;10s): Qwen2.5-3B-Q4_K_M (27.1% match, 9.9s, 1,274J, 3.3GB). Offers 91% of 7B accuracy at 60% cost.</w:t>
      </w:r>
    </w:p>
    <w:p>
      <w:pPr>
        <w:pStyle w:val="ListBullet"/>
      </w:pPr>
      <w:r>
        <w:t>Accuracy-prioritized: Qwen2.5-7B-Q8_0 (30.3% match, 20.6s, 2,647J). Upper bound for CPU-only inference.</w:t>
      </w:r>
    </w:p>
    <w:p>
      <w:pPr>
        <w:pStyle w:val="ListBullet"/>
      </w:pPr>
      <w:r>
        <w:t>Ultra-light edge (&lt;2GB): Qwen2.5-1.5B-Q4_K_M (26.4% match, 8.05s, 1,033J, 1.7GB). Competitive accuracy at minimal resource.</w:t>
      </w:r>
    </w:p>
    <w:p>
      <w:pPr>
        <w:pStyle w:val="ListBullet"/>
      </w:pPr>
      <w:r>
        <w:t>Quantization: Always prefer Q4_K_M over Q8_0. Q2_K acceptable for memory-constrained scenarios but avoid for 1.5B models.</w:t>
      </w:r>
    </w:p>
    <w:p>
      <w:pPr>
        <w:pStyle w:val="Heading2"/>
      </w:pPr>
      <w:r>
        <w:t>8.2 Limitations</w:t>
      </w:r>
    </w:p>
    <w:p>
      <w:pPr>
        <w:pStyle w:val="ListBullet"/>
      </w:pPr>
      <w:r>
        <w:t>CPU-only inference: Results are specific to CPU inference. GPU acceleration would change the latency-energy trade-off.</w:t>
      </w:r>
    </w:p>
    <w:p>
      <w:pPr>
        <w:pStyle w:val="ListBullet"/>
      </w:pPr>
      <w:r>
        <w:t>Energy estimation: Energy is TDP-based approximation (±15%). Direct RAPL measurement was unavailable on VM infrastructure.</w:t>
      </w:r>
    </w:p>
    <w:p>
      <w:pPr>
        <w:pStyle w:val="ListBullet"/>
      </w:pPr>
      <w:r>
        <w:t>Dataset scope: 200-intent dataset may not capture full production diversity. Future work should validate on operational data.</w:t>
      </w:r>
    </w:p>
    <w:p>
      <w:pPr>
        <w:pStyle w:val="ListBullet"/>
      </w:pPr>
      <w:r>
        <w:t>Single architecture (Phase 2): Findings are specific to Qwen2.5. Other architectures may exhibit different scaling behavior.</w:t>
      </w:r>
    </w:p>
    <w:p>
      <w:pPr>
        <w:pStyle w:val="ListBullet"/>
      </w:pPr>
      <w:r>
        <w:t>DeepSeek-R1 exclusion: Reasoning models were incompatible with CPU inference. Future GPU-based evaluation is warranted.</w:t>
      </w:r>
    </w:p>
    <w:p>
      <w:pPr>
        <w:pStyle w:val="Heading2"/>
      </w:pPr>
      <w:r>
        <w:t>8.3 Future Work</w:t>
      </w:r>
    </w:p>
    <w:p>
      <w:pPr>
        <w:pStyle w:val="ListBullet"/>
      </w:pPr>
      <w:r>
        <w:t>Multi-agent orchestration with domain-specialized SLMs leveraging observed domain strengths.</w:t>
      </w:r>
    </w:p>
    <w:p>
      <w:pPr>
        <w:pStyle w:val="ListBullet"/>
      </w:pPr>
      <w:r>
        <w:t>Instruction-tuning on 6G network data, particularly for conflict resolution underperformance.</w:t>
      </w:r>
    </w:p>
    <w:p>
      <w:pPr>
        <w:pStyle w:val="ListBullet"/>
      </w:pPr>
      <w:r>
        <w:t>GPU benchmarking to establish performance upper bounds.</w:t>
      </w:r>
    </w:p>
    <w:p>
      <w:pPr>
        <w:pStyle w:val="ListBullet"/>
      </w:pPr>
      <w:r>
        <w:t>Online learning through operator feedback on edge deployments.</w:t>
      </w:r>
    </w:p>
    <w:p>
      <w:pPr>
        <w:pStyle w:val="ListBullet"/>
      </w:pPr>
      <w:r>
        <w:t>Integration with formal verification for production safety guarantees.</w:t>
      </w:r>
    </w:p>
    <w:p/>
    <w:p>
      <w:pPr>
        <w:pStyle w:val="Heading1"/>
      </w:pPr>
      <w:r>
        <w:t>9. Conclusion</w:t>
      </w:r>
    </w:p>
    <w:p>
      <w:r>
        <w:t>This paper presented a comprehensive empirical evaluation of small language models for intent-driven slice lifecycle management in 6G core networks. Through systematic benchmarking of 16 model configurations across 200 networking intents with per-intent resource monitoring, we demonstrated that:</w:t>
      </w:r>
    </w:p>
    <w:p>
      <w:pPr>
        <w:pStyle w:val="ListBullet"/>
      </w:pPr>
      <w:r>
        <w:t>Qwen2.5-7B achieves the highest intent translation accuracy (29.8% match, 43.5% action) among open-weight SLMs.</w:t>
      </w:r>
    </w:p>
    <w:p>
      <w:pPr>
        <w:pStyle w:val="ListBullet"/>
      </w:pPr>
      <w:r>
        <w:t>Model size scaling exhibits diminishing returns beyond 3B, with 3B models achieving 91% of 7B accuracy at 60% cost.</w:t>
      </w:r>
    </w:p>
    <w:p>
      <w:pPr>
        <w:pStyle w:val="ListBullet"/>
      </w:pPr>
      <w:r>
        <w:t>Q4_K_M provides the optimal accuracy-efficiency trade-off (≤1pp loss, ~50% memory reduction).</w:t>
      </w:r>
    </w:p>
    <w:p>
      <w:pPr>
        <w:pStyle w:val="ListBullet"/>
      </w:pPr>
      <w:r>
        <w:t>Energy consumption is dominated by inference time, making throughput the primary lever for efficiency.</w:t>
      </w:r>
    </w:p>
    <w:p>
      <w:pPr>
        <w:pStyle w:val="ListBullet"/>
      </w:pPr>
      <w:r>
        <w:t>Domain difficulty varies significantly: provisioning is well-handled even by 0.5B models; conflict resolution challenges all SLMs.</w:t>
      </w:r>
    </w:p>
    <w:p>
      <w:pPr>
        <w:pStyle w:val="ListBullet"/>
      </w:pPr>
      <w:r>
        <w:t>The 1.5B-3B Q4_K_M configurations represent the sweet spot for edge deployment, balancing accuracy with practical resource budgets.</w:t>
      </w:r>
    </w:p>
    <w:p>
      <w:r>
        <w:t>These findings provide actionable guidance for network operators deploying intent-based automation in 6G infrastructure, and establish a foundation for future research in domain-adapted SLMs for network management.</w:t>
      </w:r>
    </w:p>
    <w:p/>
    <w:p>
      <w:pPr>
        <w:pStyle w:val="Heading1"/>
      </w:pPr>
      <w:r>
        <w:t>References</w:t>
      </w:r>
    </w:p>
    <w:p>
      <w:pPr>
        <w:spacing w:after="40"/>
        <w:ind w:left="567"/>
      </w:pPr>
      <w:r>
        <w:rPr>
          <w:sz w:val="18"/>
        </w:rPr>
        <w:t>[1] I. Afolabi et al., "Network Slicing and Softwarization: A Survey," IEEE Commun. Surveys Tuts., vol. 20, no. 3, 2018.</w:t>
      </w:r>
    </w:p>
    <w:p>
      <w:pPr>
        <w:spacing w:after="40"/>
        <w:ind w:left="567"/>
      </w:pPr>
      <w:r>
        <w:rPr>
          <w:sz w:val="18"/>
        </w:rPr>
        <w:t>[2] K. Abbas et al., "Intent-Based Networking for 6G: Vision, Challenges, and Enablers," IEEE Commun. Mag., vol. 62, no. 1, 2024.</w:t>
      </w:r>
    </w:p>
    <w:p>
      <w:pPr>
        <w:spacing w:after="40"/>
        <w:ind w:left="567"/>
      </w:pPr>
      <w:r>
        <w:rPr>
          <w:sz w:val="18"/>
        </w:rPr>
        <w:t>[3] ETSI GS ZSM 002, "Zero-touch Network and Service Management (ZSM); Reference Architecture," 2019.</w:t>
      </w:r>
    </w:p>
    <w:p>
      <w:pPr>
        <w:spacing w:after="40"/>
        <w:ind w:left="567"/>
      </w:pPr>
      <w:r>
        <w:rPr>
          <w:sz w:val="18"/>
        </w:rPr>
        <w:t>[4] J. Wei et al., "Chain-of-Thought Prompting Elicits Reasoning in Large Language Models," NeurIPS, 2022.</w:t>
      </w:r>
    </w:p>
    <w:p>
      <w:pPr>
        <w:spacing w:after="40"/>
        <w:ind w:left="567"/>
      </w:pPr>
      <w:r>
        <w:rPr>
          <w:sz w:val="18"/>
        </w:rPr>
        <w:t>[5] A. Maatouk et al., "Large Language Models for Telecom: The Next Frontier," IEEE Commun. Mag., vol. 62, no. 3, 2024.</w:t>
      </w:r>
    </w:p>
    <w:p>
      <w:pPr>
        <w:spacing w:after="40"/>
        <w:ind w:left="567"/>
      </w:pPr>
      <w:r>
        <w:rPr>
          <w:sz w:val="18"/>
        </w:rPr>
        <w:t>[6] M. G. S. Murshed et al., "Machine Learning at the Network Edge: A Survey," ACM Comput. Surv., vol. 54, no. 8, 2022.</w:t>
      </w:r>
    </w:p>
    <w:p>
      <w:pPr>
        <w:spacing w:after="40"/>
        <w:ind w:left="567"/>
      </w:pPr>
      <w:r>
        <w:rPr>
          <w:sz w:val="18"/>
        </w:rPr>
        <w:t>[7] ETSI GS ZSM 001, "Zero-touch Network and Service Management; Requirements," 2019.</w:t>
      </w:r>
    </w:p>
    <w:p>
      <w:pPr>
        <w:spacing w:after="40"/>
        <w:ind w:left="567"/>
      </w:pPr>
      <w:r>
        <w:rPr>
          <w:sz w:val="18"/>
        </w:rPr>
        <w:t>[8] 3GPP TS 28.530, "Management and Orchestration; Concepts, Use Cases and Requirements," 2023.</w:t>
      </w:r>
    </w:p>
    <w:p>
      <w:pPr>
        <w:spacing w:after="40"/>
        <w:ind w:left="567"/>
      </w:pPr>
      <w:r>
        <w:rPr>
          <w:sz w:val="18"/>
        </w:rPr>
        <w:t>[9] M. Mechtri et al., "Intent-Based Networking: A Comprehensive Survey," IEEE Access, vol. 11, 2023.</w:t>
      </w:r>
    </w:p>
    <w:p>
      <w:pPr>
        <w:spacing w:after="40"/>
        <w:ind w:left="567"/>
      </w:pPr>
      <w:r>
        <w:rPr>
          <w:sz w:val="18"/>
        </w:rPr>
        <w:t>[10] Meta AI, "Llama 3.1: Open and Efficient Foundation Language Models," 2024.</w:t>
      </w:r>
    </w:p>
    <w:p>
      <w:pPr>
        <w:spacing w:after="40"/>
        <w:ind w:left="567"/>
      </w:pPr>
      <w:r>
        <w:rPr>
          <w:sz w:val="18"/>
        </w:rPr>
        <w:t>[11] Alibaba Cloud, "Qwen2.5 Technical Report," 2024.</w:t>
      </w:r>
    </w:p>
    <w:p>
      <w:pPr>
        <w:spacing w:after="40"/>
        <w:ind w:left="567"/>
      </w:pPr>
      <w:r>
        <w:rPr>
          <w:sz w:val="18"/>
        </w:rPr>
        <w:t>[12] Google DeepMind, "Gemma 2: Improving Open Language Models at a Practical Size," 2024.</w:t>
      </w:r>
    </w:p>
    <w:p>
      <w:pPr>
        <w:spacing w:after="40"/>
        <w:ind w:left="567"/>
      </w:pPr>
      <w:r>
        <w:rPr>
          <w:sz w:val="18"/>
        </w:rPr>
        <w:t>[13] Zhipu AI, "GLM-4 Technical Report," 2024.</w:t>
      </w:r>
    </w:p>
    <w:p>
      <w:pPr>
        <w:spacing w:after="40"/>
        <w:ind w:left="567"/>
      </w:pPr>
      <w:r>
        <w:rPr>
          <w:sz w:val="18"/>
        </w:rPr>
        <w:t>[14] G. Gerganov, "GGUF: GPT-Generated Unified Format," github.com/ggerganov/ggml, 2024.</w:t>
      </w:r>
    </w:p>
    <w:p>
      <w:pPr>
        <w:spacing w:after="40"/>
        <w:ind w:left="567"/>
      </w:pPr>
      <w:r>
        <w:rPr>
          <w:sz w:val="18"/>
        </w:rPr>
        <w:t>[15] T. Dettmers et al., "QLoRA: Efficient Finetuning of Quantized LLMs," NeurIPS, 2023.</w:t>
      </w:r>
    </w:p>
    <w:p>
      <w:pPr>
        <w:spacing w:after="40"/>
        <w:ind w:left="567"/>
      </w:pPr>
      <w:r>
        <w:rPr>
          <w:sz w:val="18"/>
        </w:rPr>
        <w:t>[16] D. Patterson et al., "Carbon Emissions and Large Neural Network Training," arXiv:2104.10350, 2021.</w:t>
      </w:r>
    </w:p>
    <w:p>
      <w:pPr>
        <w:spacing w:after="40"/>
        <w:ind w:left="567"/>
      </w:pPr>
      <w:r>
        <w:rPr>
          <w:sz w:val="18"/>
        </w:rPr>
        <w:t>[17] R. Schwartz et al., "Green AI," Commun. ACM, vol. 63, no. 12, 2020.</w:t>
      </w:r>
    </w:p>
    <w:p>
      <w:pPr>
        <w:spacing w:after="40"/>
        <w:ind w:left="567"/>
      </w:pPr>
      <w:r>
        <w:rPr>
          <w:sz w:val="18"/>
        </w:rPr>
        <w:t>[18] S. Han et al., "EIE: Efficient Inference Engine on Compressed Sparse Neural Network," ISCA, 2016.</w:t>
      </w:r>
    </w:p>
    <w:p>
      <w:pPr>
        <w:spacing w:after="40"/>
        <w:ind w:left="567"/>
      </w:pPr>
      <w:r>
        <w:rPr>
          <w:sz w:val="18"/>
        </w:rPr>
        <w:t>[19] T. Dettmers et al., "LLM.int8(): 8-bit Matrix Multiplication for Transformers at Scale," NeurIPS, 2022.</w:t>
      </w:r>
    </w:p>
    <w:p>
      <w:pPr>
        <w:spacing w:after="40"/>
        <w:ind w:left="567"/>
      </w:pPr>
      <w:r>
        <w:rPr>
          <w:sz w:val="18"/>
        </w:rPr>
        <w:t>[20] T. Somsri et al., "SLM Agent Evaluation for Intent-Driven 6G Slice Management," GitHub: bottle-kung/empirical-benchmarking-slm-agents-6g-slice-management,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