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0"/>
        </w:rPr>
        <w:t>Empirical Evaluation of Small Language Models for</w:t>
        <w:br/>
        <w:t>Intent-Driven Slice Lifecycle Management in 6G Core Networks</w:t>
      </w:r>
    </w:p>
    <w:p>
      <w:pPr>
        <w:jc w:val="center"/>
      </w:pPr>
      <w:r>
        <w:rPr>
          <w:i/>
        </w:rPr>
        <w:t>Teerapong Somsri</w:t>
      </w:r>
    </w:p>
    <w:p>
      <w:pPr>
        <w:jc w:val="center"/>
      </w:pPr>
      <w:r>
        <w:rPr>
          <w:sz w:val="20"/>
        </w:rPr>
        <w:t>Rajabhat Ratchanakarin University (RBRU)</w:t>
      </w:r>
    </w:p>
    <w:p/>
    <w:p>
      <w:pPr>
        <w:pStyle w:val="Heading1"/>
      </w:pPr>
      <w:r>
        <w:t>Abstract</w:t>
      </w:r>
    </w:p>
    <w:p>
      <w:pPr>
        <w:ind w:firstLine="720"/>
      </w:pPr>
      <w:r>
        <w:t>This paper presents a comprehensive empirical evaluation of small language models (SLMs) for intent-driven slice lifecycle management in 6G core networks. We conduct a two-phase benchmark: Phase 1 compares four open-weight SLM families (Llama, Qwen, Gemma, GLM) at ~8B parameters under Q4_K_M quantization, while Phase 2 systematically evaluates Qwen2.5 across four model sizes (0.5B–7B) and three quantization levels (Q2_K, Q4_K_M, Q8_0) with per-intent CPU, memory, and energy monitoring. Our results show Qwen2.5-7B achieves the highest accuracy (29.8% match, 42.5% action), but CPU utilization scales with model size (69%→94%), revealing memory bandwidth as the primary bottleneck. We identify 3B-Q4_K_M as the optimal deployment sweet spot and demonstrate that Q4_K_M quantization reduces memory by ~50% with under 1pp accuracy loss.</w:t>
      </w:r>
    </w:p>
    <w:p>
      <w:r>
        <w:rPr>
          <w:b/>
        </w:rPr>
        <w:t xml:space="preserve">Keywords: </w:t>
      </w:r>
      <w:r>
        <w:t>Small Language Models, 6G Networks, Intent-Based Networking, Model Quantization, Edge AI</w:t>
      </w:r>
    </w:p>
    <w:p/>
    <w:p>
      <w:pPr>
        <w:pStyle w:val="Heading1"/>
      </w:pPr>
      <w:r>
        <w:t>1. Introduction</w:t>
      </w:r>
    </w:p>
    <w:p>
      <w:pPr>
        <w:ind w:firstLine="720"/>
      </w:pPr>
      <w:r>
        <w:t>Sixth-generation (6G) networks must support diverse use cases via network slicing — the creation of multiple virtualized logical networks on shared infrastructure [1,2]. Intent-based networking (IBN) allows operators to express goals in natural language, translated into configurations by AI [3]. Large language models (LLMs) excel at this translation [4,5], but their computational requirements conflict with edge infrastructure constraints [6].</w:t>
      </w:r>
    </w:p>
    <w:p>
      <w:pPr>
        <w:ind w:firstLine="720"/>
      </w:pPr>
      <w:r>
        <w:t>Small language models (SLMs) with 0.5–8B parameters, combined with quantization, offer a potential solution for edge deployment. However, their performance on domain-specific networking tasks remains underexplored. This paper provides the first systematic evaluation of open-weight SLMs for 6G intent translation with per-intent resource monitoring, answering: (1) Which SLM architecture performs best? (2) How does model size affect accuracy-efficiency trade-offs? (3) What is the optimal quantization level for edge deployment? (4) What are the real resource consumption characteristics?</w:t>
      </w:r>
    </w:p>
    <w:p/>
    <w:p>
      <w:pPr>
        <w:pStyle w:val="Heading1"/>
      </w:pPr>
      <w:r>
        <w:t>2. Methodology</w:t>
      </w:r>
    </w:p>
    <w:p>
      <w:r>
        <w:t>Dataset: 200 intents across three domains — Slicing Provisioning (70), Scaling Request (70), Conflict Resolution (60). Each intent pairs natural language input with ground-truth JSON. Metrics: Format Validity, Action Accuracy, Avg Match% (mean key-value accuracy), Inference Time, Throughput (tokens/s), CPU Utilization (system-wide psutil), Peak Memory (RSS MB), Energy (J) = CPU_util × TDP_135W × time. All continuous metrics report 95% CI (t-distribution, n=200). Hardware: Proxmox VMs with 16 vCPUs (Xeon E5-2690 v4), 32GB RAM, 80GB SSD; Ollama 0.5.x, Python 3.12, psutil 6.x.</w:t>
      </w:r>
    </w:p>
    <w:p>
      <w:r>
        <w:t>Phase 1: Four open-weight families at ~8B — Llama 3.1-8B [10], Qwen2.5-7B [11] (re-run with v2 benchmark), Gemma 2-9B [12] (custom Q4_K_M), GLM-4-9B [13] (custom Q4_K_M). DeepSeek-R1 excluded (infinite chain-of-thought on CPU). Phase 2: Qwen2.5 across 4 sizes × 3 Q levels = 12 configurations.</w:t>
      </w:r>
    </w:p>
    <w:p/>
    <w:p>
      <w:pPr>
        <w:pStyle w:val="Heading1"/>
      </w:pPr>
      <w:r>
        <w:t>3. Phase 1: Cross-Family Model Comparison</w:t>
      </w:r>
    </w:p>
    <w:p>
      <w:r>
        <w:t>Phase 1 evaluates four SLM families at comparable parameter counts (~8B) under identical Q4_K_M quantization. Qwen2.5-7B was re-run with the v2 benchmark to ensure resource metric compatibility. Figure 1 presents the key accuracy and performance metrics.</w:t>
      </w:r>
    </w:p>
    <w:p>
      <w:r>
        <w:drawing>
          <wp:inline xmlns:a="http://schemas.openxmlformats.org/drawingml/2006/main" xmlns:pic="http://schemas.openxmlformats.org/drawingml/2006/picture">
            <wp:extent cx="5029200" cy="3208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hase1_comparison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1: Phase 1 cross-family comparison — Avg Match%, Action Accuracy%, and Inference Time (~8B, Q4_K_M).</w:t>
      </w:r>
    </w:p>
    <w:p/>
    <w:p>
      <w:pPr>
        <w:pStyle w:val="Heading2"/>
      </w:pPr>
      <w:r>
        <w:t>3.1 Analysis</w:t>
      </w:r>
    </w:p>
    <w:p>
      <w:pPr>
        <w:pStyle w:val="ListBullet"/>
      </w:pPr>
      <w:r>
        <w:t>Accuracy: Qwen2.5-7B achieves the highest Avg Match (29.8%), followed by Gemma 2-9B (29.3%), Llama 3.1-8B (26.0%), and GLM-4-9B (24.6%). Qwen outperforms Llama by 14.6% relative improvement in key-value matching accuracy.</w:t>
      </w:r>
    </w:p>
    <w:p>
      <w:pPr>
        <w:pStyle w:val="ListBullet"/>
      </w:pPr>
      <w:r>
        <w:t>Action Accuracy: Gemma 2-9B leads at 45.5%, demonstrating strong intent understanding despite lower parameter-level precision. Qwen (42.5%) and Llama (36.5%) follow. GLM-4 (29.0%) significantly underperforms, suggesting its instruction-tuning is less aligned with structured JSON output.</w:t>
      </w:r>
    </w:p>
    <w:p>
      <w:pPr>
        <w:pStyle w:val="ListBullet"/>
      </w:pPr>
      <w:r>
        <w:t>Inference Time: Qwen2.5-7B is the fastest (15.0s), followed by Llama 3.1-8B (19.1s) and GLM-4-9B (22.9s). Gemma 2-9B is 2.7× slower (39.8s) than Qwen despite only 21% more parameters, making it unsuitable for latency-sensitive edge applications.</w:t>
      </w:r>
    </w:p>
    <w:p>
      <w:pPr>
        <w:pStyle w:val="ListBullet"/>
      </w:pPr>
      <w:r>
        <w:t>Winner: Qwen2.5-7B — best balance of accuracy (29.8% match, 42.5% action) and speed (15.0s). The ~9B models show no proportional accuracy gains over 7-8B, indicating architecture quality outweighs raw parameter count. Qwen2.5 is selected as the reference architecture for Phase 2.</w:t>
      </w:r>
    </w:p>
    <w:p/>
    <w:p>
      <w:pPr>
        <w:pStyle w:val="Heading1"/>
      </w:pPr>
      <w:r>
        <w:t>4. Phase 2: Resource Consumption Analysis</w:t>
      </w:r>
    </w:p>
    <w:p>
      <w:r>
        <w:t>Phase 2 evaluates Qwen2.5 across four sizes (0.5B, 1.5B, 3B, 7B) and three quantization levels (Q2_K, Q4_K_M, Q8_0) with per-intent CPU, memory, and energy monitoring. We first analyze resource consumption characteristics, then examine performance-accuracy trade-offs.</w:t>
      </w:r>
    </w:p>
    <w:p>
      <w:pPr>
        <w:pStyle w:val="Heading2"/>
      </w:pPr>
      <w:r>
        <w:t>4.1 Memory, CPU, and Energy</w:t>
      </w:r>
    </w:p>
    <w:p>
      <w:r>
        <w:drawing>
          <wp:inline xmlns:a="http://schemas.openxmlformats.org/drawingml/2006/main" xmlns:pic="http://schemas.openxmlformats.org/drawingml/2006/picture">
            <wp:extent cx="5029200" cy="3751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peak_m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2: Peak Memory (RSS MB)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51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cp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CPU Utilization (%)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519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ener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4: Energy per Intent (J) by model size and quantization.</w:t>
      </w:r>
    </w:p>
    <w:p/>
    <w:p>
      <w:pPr>
        <w:pStyle w:val="Heading3"/>
      </w:pPr>
      <w:r>
        <w:t>4.1.1 Resource Analysis</w:t>
      </w:r>
    </w:p>
    <w:p>
      <w:pPr>
        <w:pStyle w:val="ListBullet"/>
      </w:pPr>
      <w:r>
        <w:t>Memory: Peak RSS scales from 575 MB (0.5B-Q4_K_M) to 11,429 MB (7B-Q8_0). Q4_K_M reduces memory by ~50% vs Q8_0 with negligible accuracy loss. Q2_K further reduces memory but at a 1.6pp accuracy cost. 7B-Q8_0 (11.4 GB) exceeds typical 8 GB edge budgets, making 7B-Q4_K_M (4.9 GB) the practical maximum for edge deployment.</w:t>
      </w:r>
    </w:p>
    <w:p>
      <w:pPr>
        <w:pStyle w:val="ListBullet"/>
      </w:pPr>
      <w:r>
        <w:t>CPU Utilization: A key finding — CPU% scales with model size, from 68.8% (0.5B-Q2_K) to 94.1% (7B-Q8_0). This reveals that inference on CPU is memory-bandwidth-limited: smaller models cannot fully saturate the memory bus, leaving CPU cores idle. Quantization has minimal impact on CPU% within the same size class (e.g., 7B: 91.2–94.1%).</w:t>
      </w:r>
    </w:p>
    <w:p>
      <w:pPr>
        <w:pStyle w:val="ListBullet"/>
      </w:pPr>
      <w:r>
        <w:t>Energy: Directly proportional to CPU% × time. 0.5B-Q2_K is most efficient (436 J/intent), 7B-Q8_0 most expensive (2,613 J/intent). Q4_K_M provides 20–30% energy savings vs Q8_0. The 1.5B–3B range with Q4_K_M represents the sweet spot: 850–1,122 J with competitive accuracy.</w:t>
      </w:r>
    </w:p>
    <w:p/>
    <w:p>
      <w:pPr>
        <w:pStyle w:val="Heading1"/>
      </w:pPr>
      <w:r>
        <w:t>5. Phase 2: Performance and Accuracy</w:t>
      </w:r>
    </w:p>
    <w:p>
      <w:pPr>
        <w:pStyle w:val="Heading2"/>
      </w:pPr>
      <w:r>
        <w:t>5.1 Throughput, Accuracy, and Speed</w:t>
      </w:r>
    </w:p>
    <w:p>
      <w:r>
        <w:drawing>
          <wp:inline xmlns:a="http://schemas.openxmlformats.org/drawingml/2006/main" xmlns:pic="http://schemas.openxmlformats.org/drawingml/2006/picture">
            <wp:extent cx="5029200" cy="3749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t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5: Throughput (tokens/s)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519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m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6: Avg Match%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519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7: Action Accuracy% by model size and quantization.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49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8: Inference Time (s) by model size and quantization.</w:t>
      </w:r>
    </w:p>
    <w:p/>
    <w:p>
      <w:pPr>
        <w:pStyle w:val="Heading3"/>
      </w:pPr>
      <w:r>
        <w:t>5.1.1 Performance Analysis</w:t>
      </w:r>
    </w:p>
    <w:p>
      <w:pPr>
        <w:pStyle w:val="ListBullet"/>
      </w:pPr>
      <w:r>
        <w:t>Throughput: Inversely proportional to model size. 0.5B-Q2_K achieves 8.9 tok/s, 7B-Q8_0 only 1.4 tok/s. Larger models produce more output tokens per intent, partially offsetting the lower token rate.</w:t>
      </w:r>
    </w:p>
    <w:p>
      <w:pPr>
        <w:pStyle w:val="ListBullet"/>
      </w:pPr>
      <w:r>
        <w:t>Size Scaling — Diminishing Returns: 0.5B→1.5B yields the largest accuracy jump (+5.8pp match). 1.5B→3B shows marginal gain (+1.6pp). 3B→7B gains +3.7pp but at 67% more time and 80% more energy. The Pareto "knee" is at 3B — beyond this, accuracy gains diminish while costs grow linearly.</w:t>
      </w:r>
    </w:p>
    <w:p>
      <w:pPr>
        <w:pStyle w:val="ListBullet"/>
      </w:pPr>
      <w:r>
        <w:t>Quantization Impact: Q8_0→Q4_K_M loses only 0.2pp match on average while halving memory. Q4_K_M→Q2_K loses 1.6pp with 20–30% energy savings. 0.5B is least sensitive (±1.1pp), 1.5B most sensitive (3.7pp loss Q2_K→Q4_K_M). 7B-Q2_K (29.0% match) outperforms 3B-Q8_0 (26.8%).</w:t>
      </w:r>
    </w:p>
    <w:p>
      <w:pPr>
        <w:pStyle w:val="ListBullet"/>
      </w:pPr>
      <w:r>
        <w:t>Q4_K_M is the recommended quantization for all deployments — optimal accuracy-efficiency trade-off.</w:t>
      </w:r>
    </w:p>
    <w:p/>
    <w:p>
      <w:pPr>
        <w:pStyle w:val="Heading1"/>
      </w:pPr>
      <w:r>
        <w:t>6. Phase 2: Pareto Frontier Analysis</w:t>
      </w:r>
    </w:p>
    <w:p>
      <w:r>
        <w:t>Figures 9–11 present Pareto frontier analyses using the visual encoding: shape = model size (■ 0.5B, ◆ 1.5B, ▲ 3B, ● 7B), vertical lines = quantization (no line = Q8_0, | = Q4_K_M, || = Q2_K). Dashed gray lines indicate the Pareto frontier — configurations on or near the frontier represent optimal trade-offs.</w:t>
      </w:r>
    </w:p>
    <w:p>
      <w:r>
        <w:drawing>
          <wp:inline xmlns:a="http://schemas.openxmlformats.org/drawingml/2006/main" xmlns:pic="http://schemas.openxmlformats.org/drawingml/2006/picture">
            <wp:extent cx="5029200" cy="350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areto_match_vs_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9: Pareto Frontier — Avg Match% vs Inference Time.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areto_action_vs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10: Pareto Frontier — Action Accuracy% vs Inference Time.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areto_action_vs_energ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11: Pareto Frontier — Action Accuracy% vs Energy per Intent.</w:t>
      </w:r>
    </w:p>
    <w:p/>
    <w:p>
      <w:pPr>
        <w:pStyle w:val="Heading3"/>
      </w:pPr>
      <w:r>
        <w:t>6.1 Pareto Analysis</w:t>
      </w:r>
    </w:p>
    <w:p>
      <w:pPr>
        <w:pStyle w:val="ListBullet"/>
      </w:pPr>
      <w:r>
        <w:t>Accuracy vs Speed (Fig. 9): 7B-Q8_0 dominates the upper-right with highest accuracy (30.5%) but slowest inference (20.4s). 3B-Q4_K_M lies near the Pareto knee — 27.3% match at 9.4s. 0.5B-Q8_0 offers the fastest inference (4.8s) with 19.4% match, suitable for ultra-low-latency applications.</w:t>
      </w:r>
    </w:p>
    <w:p>
      <w:pPr>
        <w:pStyle w:val="ListBullet"/>
      </w:pPr>
      <w:r>
        <w:t>Action Accuracy vs Speed (Fig. 10): 3B-Q4_K_M and 3B-Q8_0 achieve the highest action accuracy (44.5%), matching or exceeding 7B models (42.5–43.5%). This confirms that action classification (CREATE/MODIFY/DELETE) saturates at moderate model sizes, unlike fine-grained parameter matching.</w:t>
      </w:r>
    </w:p>
    <w:p>
      <w:pPr>
        <w:pStyle w:val="ListBullet"/>
      </w:pPr>
      <w:r>
        <w:t>Action Accuracy vs Energy (Fig. 11): 0.5B-Q4_K_M is the most energy-efficient for action accuracy (35.0% action at 477J). 3B-Q4_K_M provides 44.5% action at 1,122J — 2.3× energy for 9.5pp gain. 7B-Q8_0 achieves 43.5% action at 2,613J — 5.5× energy of 0.5B for only 8.5pp improvement, quantifying the steep energy cost of marginal accuracy gains.</w:t>
      </w:r>
    </w:p>
    <w:p/>
    <w:p>
      <w:pPr>
        <w:pStyle w:val="Heading1"/>
      </w:pPr>
      <w:r>
        <w:t>7. Discussion</w:t>
      </w:r>
    </w:p>
    <w:p>
      <w:pPr>
        <w:pStyle w:val="Heading2"/>
      </w:pPr>
      <w:r>
        <w:t>7.1 Deployment Recommendations</w:t>
      </w:r>
    </w:p>
    <w:p>
      <w:pPr>
        <w:pStyle w:val="ListBullet"/>
      </w:pPr>
      <w:r>
        <w:t>Latency-critical edge (&lt;500ms budget): 0.5B-Q8_0 (4.8s, 19.4% match). Fastest option.</w:t>
      </w:r>
    </w:p>
    <w:p>
      <w:pPr>
        <w:pStyle w:val="ListBullet"/>
      </w:pPr>
      <w:r>
        <w:t>Balanced edge deployment: 1.5B-Q4_K_M (7.5s, 25.8% match, 850J, 1.7GB) or 3B-Q4_K_M (9.4s, 27.3% match, 1,122J, 3.3GB).</w:t>
      </w:r>
    </w:p>
    <w:p>
      <w:pPr>
        <w:pStyle w:val="ListBullet"/>
      </w:pPr>
      <w:r>
        <w:t>Maximum accuracy (cloud/regional): 7B-Q4_K_M (15.0s, 29.8% match, 1,884J, 4.9GB). Q8_0 adds only 0.7pp at 40% more energy.</w:t>
      </w:r>
    </w:p>
    <w:p>
      <w:pPr>
        <w:pStyle w:val="ListBullet"/>
      </w:pPr>
      <w:r>
        <w:t>Quantization guidance: Q4_K_M for all deployments. Q2_K acceptable for memory-constrained scenarios. Q8_0 not recommended for CPU-only — negligible gain, high cost.</w:t>
      </w:r>
    </w:p>
    <w:p>
      <w:pPr>
        <w:pStyle w:val="ListBullet"/>
      </w:pPr>
      <w:r>
        <w:t>Energy estimator: CPU utilization is NOT constant — use our measured values (Table 1) instead of flat 95% assumption. Small models consume 15–25% less than TDP-based estimates.</w:t>
      </w:r>
    </w:p>
    <w:p>
      <w:pPr>
        <w:pStyle w:val="Heading2"/>
      </w:pPr>
      <w:r>
        <w:t>7.2 CPU Utilization Reference</w:t>
      </w:r>
    </w:p>
    <w:p>
      <w:r>
        <w:t>Table 1 provides measured CPU utilization for energy estimation: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Q2_K CPU%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Q4_K_M CPU%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Q8_0 CPU%</w:t>
            </w:r>
          </w:p>
        </w:tc>
      </w:tr>
      <w:tr>
        <w:tc>
          <w:tcPr>
            <w:tcW w:type="dxa" w:w="2160"/>
          </w:tcPr>
          <w:p>
            <w:r>
              <w:t>0.5B</w:t>
            </w:r>
          </w:p>
        </w:tc>
        <w:tc>
          <w:tcPr>
            <w:tcW w:type="dxa" w:w="2160"/>
          </w:tcPr>
          <w:p>
            <w:r>
              <w:t>68.8</w:t>
            </w:r>
          </w:p>
        </w:tc>
        <w:tc>
          <w:tcPr>
            <w:tcW w:type="dxa" w:w="2160"/>
          </w:tcPr>
          <w:p>
            <w:r>
              <w:t>69.1</w:t>
            </w:r>
          </w:p>
        </w:tc>
        <w:tc>
          <w:tcPr>
            <w:tcW w:type="dxa" w:w="2160"/>
          </w:tcPr>
          <w:p>
            <w:r>
              <w:t>71.6</w:t>
            </w:r>
          </w:p>
        </w:tc>
      </w:tr>
      <w:tr>
        <w:tc>
          <w:tcPr>
            <w:tcW w:type="dxa" w:w="2160"/>
          </w:tcPr>
          <w:p>
            <w:r>
              <w:t>1.5B</w:t>
            </w:r>
          </w:p>
        </w:tc>
        <w:tc>
          <w:tcPr>
            <w:tcW w:type="dxa" w:w="2160"/>
          </w:tcPr>
          <w:p>
            <w:r>
              <w:t>76.9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  <w:tc>
          <w:tcPr>
            <w:tcW w:type="dxa" w:w="2160"/>
          </w:tcPr>
          <w:p>
            <w:r>
              <w:t>83.1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85.8</w:t>
            </w:r>
          </w:p>
        </w:tc>
        <w:tc>
          <w:tcPr>
            <w:tcW w:type="dxa" w:w="2160"/>
          </w:tcPr>
          <w:p>
            <w:r>
              <w:t>86.1</w:t>
            </w:r>
          </w:p>
        </w:tc>
        <w:tc>
          <w:tcPr>
            <w:tcW w:type="dxa" w:w="2160"/>
          </w:tcPr>
          <w:p>
            <w:r>
              <w:t>88.4</w:t>
            </w:r>
          </w:p>
        </w:tc>
      </w:tr>
      <w:tr>
        <w:tc>
          <w:tcPr>
            <w:tcW w:type="dxa" w:w="2160"/>
          </w:tcPr>
          <w:p>
            <w:r>
              <w:t>7B</w:t>
            </w:r>
          </w:p>
        </w:tc>
        <w:tc>
          <w:tcPr>
            <w:tcW w:type="dxa" w:w="2160"/>
          </w:tcPr>
          <w:p>
            <w:r>
              <w:t>91.2</w:t>
            </w:r>
          </w:p>
        </w:tc>
        <w:tc>
          <w:tcPr>
            <w:tcW w:type="dxa" w:w="2160"/>
          </w:tcPr>
          <w:p>
            <w:r>
              <w:t>91.9</w:t>
            </w:r>
          </w:p>
        </w:tc>
        <w:tc>
          <w:tcPr>
            <w:tcW w:type="dxa" w:w="2160"/>
          </w:tcPr>
          <w:p>
            <w:r>
              <w:t>94.1</w:t>
            </w:r>
          </w:p>
        </w:tc>
      </w:tr>
    </w:tbl>
    <w:p>
      <w:pPr>
        <w:jc w:val="center"/>
      </w:pPr>
      <w:r>
        <w:rPr>
          <w:b/>
        </w:rPr>
        <w:t xml:space="preserve">Table 1: </w:t>
      </w:r>
      <w:r>
        <w:t>Measured CPU utilization — system-wide psutil, n=200 intents per configuration.</w:t>
      </w:r>
    </w:p>
    <w:p/>
    <w:p>
      <w:pPr>
        <w:pStyle w:val="Heading2"/>
      </w:pPr>
      <w:r>
        <w:t>7.3 Limitations</w:t>
      </w:r>
    </w:p>
    <w:p>
      <w:pPr>
        <w:pStyle w:val="ListBullet"/>
      </w:pPr>
      <w:r>
        <w:t>CPU-only: Results specific to CPU inference. GPU acceleration would change trade-offs.</w:t>
      </w:r>
    </w:p>
    <w:p>
      <w:pPr>
        <w:pStyle w:val="ListBullet"/>
      </w:pPr>
      <w:r>
        <w:t>Energy: TDP-based estimation (±15%). Direct RAPL was unavailable on VM infrastructure.</w:t>
      </w:r>
    </w:p>
    <w:p>
      <w:pPr>
        <w:pStyle w:val="ListBullet"/>
      </w:pPr>
      <w:r>
        <w:t>Scope: 200 intents, Qwen-only Phase 2. Validation on larger datasets and architectures needed.</w:t>
      </w:r>
    </w:p>
    <w:p/>
    <w:p>
      <w:pPr>
        <w:pStyle w:val="Heading1"/>
      </w:pPr>
      <w:r>
        <w:t>8. Conclusion</w:t>
      </w:r>
    </w:p>
    <w:p>
      <w:r>
        <w:t>This paper presented a comprehensive empirical evaluation of SLMs for 6G intent-driven slice management. Key findings: (1) Qwen2.5-7B achieves best overall accuracy (29.8% match, 42.5% action). (2) CPU utilization scales with model size (69%→94%), revealing memory bandwidth bottleneck. (3) Diminishing returns beyond 3B — the 3B-Q4_K_M sweet spot offers 91% of 7B accuracy at 60% cost. (4) Q4_K_M is the optimal quantization with ≤1pp accuracy loss and ~50% memory reduction. These findings provide actionable deployment guidance for 6G edge infrastructure.</w:t>
      </w:r>
    </w:p>
    <w:p/>
    <w:p>
      <w:pPr>
        <w:pStyle w:val="Heading1"/>
      </w:pPr>
      <w:r>
        <w:t>References</w:t>
      </w:r>
    </w:p>
    <w:p>
      <w:pPr>
        <w:spacing w:after="40"/>
        <w:ind w:left="567"/>
      </w:pPr>
      <w:r>
        <w:rPr>
          <w:sz w:val="18"/>
        </w:rPr>
        <w:t>[1] I. Afolabi et al., "Network Slicing: A Survey," IEEE Commun. Surveys Tuts., 2018.</w:t>
      </w:r>
    </w:p>
    <w:p>
      <w:pPr>
        <w:spacing w:after="40"/>
        <w:ind w:left="567"/>
      </w:pPr>
      <w:r>
        <w:rPr>
          <w:sz w:val="18"/>
        </w:rPr>
        <w:t>[2] K. Abbas et al., "Intent-Based Networking for 6G," IEEE Commun. Mag., 2024.</w:t>
      </w:r>
    </w:p>
    <w:p>
      <w:pPr>
        <w:spacing w:after="40"/>
        <w:ind w:left="567"/>
      </w:pPr>
      <w:r>
        <w:rPr>
          <w:sz w:val="18"/>
        </w:rPr>
        <w:t>[3] ETSI GS ZSM 002, "ZSM Reference Architecture," 2019.</w:t>
      </w:r>
    </w:p>
    <w:p>
      <w:pPr>
        <w:spacing w:after="40"/>
        <w:ind w:left="567"/>
      </w:pPr>
      <w:r>
        <w:rPr>
          <w:sz w:val="18"/>
        </w:rPr>
        <w:t>[4] J. Wei et al., "Chain-of-Thought Prompting," NeurIPS, 2022.</w:t>
      </w:r>
    </w:p>
    <w:p>
      <w:pPr>
        <w:spacing w:after="40"/>
        <w:ind w:left="567"/>
      </w:pPr>
      <w:r>
        <w:rPr>
          <w:sz w:val="18"/>
        </w:rPr>
        <w:t>[5] A. Maatouk et al., "LLMs for Telecom," IEEE Commun. Mag., 2024.</w:t>
      </w:r>
    </w:p>
    <w:p>
      <w:pPr>
        <w:spacing w:after="40"/>
        <w:ind w:left="567"/>
      </w:pPr>
      <w:r>
        <w:rPr>
          <w:sz w:val="18"/>
        </w:rPr>
        <w:t>[6] M. Murshed et al., "ML at the Network Edge," ACM Comput. Surv., 2022.</w:t>
      </w:r>
    </w:p>
    <w:p>
      <w:pPr>
        <w:spacing w:after="40"/>
        <w:ind w:left="567"/>
      </w:pPr>
      <w:r>
        <w:rPr>
          <w:sz w:val="18"/>
        </w:rPr>
        <w:t>[10] Meta AI, "Llama 3.1," 2024.</w:t>
      </w:r>
    </w:p>
    <w:p>
      <w:pPr>
        <w:spacing w:after="40"/>
        <w:ind w:left="567"/>
      </w:pPr>
      <w:r>
        <w:rPr>
          <w:sz w:val="18"/>
        </w:rPr>
        <w:t>[11] Alibaba Cloud, "Qwen2.5 Technical Report," 2024.</w:t>
      </w:r>
    </w:p>
    <w:p>
      <w:pPr>
        <w:spacing w:after="40"/>
        <w:ind w:left="567"/>
      </w:pPr>
      <w:r>
        <w:rPr>
          <w:sz w:val="18"/>
        </w:rPr>
        <w:t>[12] Google DeepMind, "Gemma 2," 2024.</w:t>
      </w:r>
    </w:p>
    <w:p>
      <w:pPr>
        <w:spacing w:after="40"/>
        <w:ind w:left="567"/>
      </w:pPr>
      <w:r>
        <w:rPr>
          <w:sz w:val="18"/>
        </w:rPr>
        <w:t>[13] Zhipu AI, "GLM-4 Technical Report," 2024.</w:t>
      </w:r>
    </w:p>
    <w:p>
      <w:pPr>
        <w:spacing w:after="40"/>
        <w:ind w:left="567"/>
      </w:pPr>
      <w:r>
        <w:rPr>
          <w:sz w:val="18"/>
        </w:rPr>
        <w:t>[14] G. Gerganov, "GGUF Format," github.com/ggerganov/ggml, 2024.</w:t>
      </w:r>
    </w:p>
    <w:p>
      <w:pPr>
        <w:spacing w:after="40"/>
        <w:ind w:left="567"/>
      </w:pPr>
      <w:r>
        <w:rPr>
          <w:sz w:val="18"/>
        </w:rPr>
        <w:t>[15] T. Dettmers et al., "QLoRA," NeurIPS, 2023.</w:t>
      </w:r>
    </w:p>
    <w:p>
      <w:pPr>
        <w:spacing w:after="40"/>
        <w:ind w:left="567"/>
      </w:pPr>
      <w:r>
        <w:rPr>
          <w:sz w:val="18"/>
        </w:rPr>
        <w:t>[16] D. Patterson et al., "Carbon Emissions and NN Training," arXiv:2104.10350, 2021.</w:t>
      </w:r>
    </w:p>
    <w:p>
      <w:pPr>
        <w:spacing w:after="40"/>
        <w:ind w:left="567"/>
      </w:pPr>
      <w:r>
        <w:rPr>
          <w:sz w:val="18"/>
        </w:rPr>
        <w:t>[17] R. Schwartz et al., "Green AI," Commun. ACM, 2020.</w:t>
      </w:r>
    </w:p>
    <w:p>
      <w:pPr>
        <w:spacing w:after="40"/>
        <w:ind w:left="567"/>
      </w:pPr>
      <w:r>
        <w:rPr>
          <w:sz w:val="18"/>
        </w:rPr>
        <w:t>[18] T. Somsri et al., "SLM Agent Eval for 6G," GitHub,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