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2"/>
        </w:rPr>
        <w:t>Empirical Evaluation of Small Language Models for</w:t>
        <w:br/>
        <w:t>Intent-Driven Slice Lifecycle Management in 6G Core Networks</w:t>
      </w:r>
    </w:p>
    <w:p>
      <w:pPr>
        <w:jc w:val="center"/>
      </w:pPr>
      <w:r>
        <w:rPr>
          <w:i/>
        </w:rPr>
        <w:t>Teerapong Somsri, [Co-authors TBD]</w:t>
      </w:r>
    </w:p>
    <w:p>
      <w:pPr>
        <w:jc w:val="center"/>
      </w:pPr>
      <w:r>
        <w:rPr>
          <w:sz w:val="20"/>
        </w:rPr>
        <w:t>Rajabhat Ratchanakarin University (RBRU)</w:t>
      </w:r>
    </w:p>
    <w:p/>
    <w:p>
      <w:pPr>
        <w:pStyle w:val="Heading1"/>
      </w:pPr>
      <w:r>
        <w:t>Abstract</w:t>
      </w:r>
    </w:p>
    <w:p>
      <w:pPr>
        <w:ind w:firstLine="720"/>
      </w:pPr>
      <w:r>
        <w:t>The deployment of intent-based networking (IBN) in 6G core networks requires lightweight, efficient language models capable of translating natural language intents into network orchestration commands. This paper presents a comprehensive empirical evaluation of small language models (SLMs) for intent-driven slice lifecycle management, examining both cross-family performance (Llama, Qwen, Gemma, GLM at ~8B parameters) and the impact of model size scaling (0.5B–7B) with quantization (Q2_K, Q4_K_M, Q8_0). Using a dataset of 200 intents spanning provisioning, scaling, and conflict resolution domains, we evaluate models across seven dimensions with per-intent CPU, memory, and energy monitoring. Our results reveal that Qwen2.5-7B achieves the highest overall accuracy (29.8% exact match, 42.5% action accuracy), while Qwen2.5-3B-Q4_K_M offers the best cost-effectiveness. A key finding is that CPU utilization scales with model size (69% at 0.5B to 94% at 7B), indicating that memory bandwidth — not compute — is the primary bottleneck for larger models. We also find that Q4_K_M quantization reduces memory by ~50% with less than 1pp accuracy loss, and identify a Pareto "knee" at 3B beyond which accuracy gains diminish while costs grow linearly.</w:t>
      </w:r>
    </w:p>
    <w:p>
      <w:r>
        <w:rPr>
          <w:b/>
        </w:rPr>
        <w:t xml:space="preserve">Keywords: </w:t>
      </w:r>
      <w:r>
        <w:t>Small Language Models, 6G Networks, Intent-Based Networking, Network Slicing, Model Quantization, Edge AI, Resource Efficiency</w:t>
      </w:r>
    </w:p>
    <w:p/>
    <w:p>
      <w:pPr>
        <w:pStyle w:val="Heading1"/>
      </w:pPr>
      <w:r>
        <w:t>1. Introduction</w:t>
      </w:r>
    </w:p>
    <w:p>
      <w:pPr>
        <w:ind w:firstLine="720"/>
      </w:pPr>
      <w:r>
        <w:t>Sixth-generation (6G) networks must support diverse use cases including eMBB, URLLC, and mMTC. Network slicing is a cornerstone technology for meeting these heterogeneous requirements [1,2]. Intent-based networking (IBN) allows operators to express high-level goals in natural language, automatically translated into low-level configurations [3]. Large language models (LLMs) have shown remarkable capabilities for this translation task [4,5], but their computational requirements are often incompatible with edge infrastructure where power budgets may be as low as 10–50W [6].</w:t>
      </w:r>
    </w:p>
    <w:p>
      <w:pPr>
        <w:ind w:firstLine="720"/>
      </w:pPr>
      <w:r>
        <w:t>Small language models (SLMs) with 0.5–8B parameters, combined with quantization (2–8 bits), offer a potential solution — but their performance on domain-specific networking tasks remains underexplored. This paper addresses: RQ1) How do different SLM architectures compare in intent translation accuracy? RQ2) How does model size affect performance and resource consumption? RQ3) How does quantization impact the accuracy-efficiency trade-off? RQ4) What are the real resource characteristics of SLM inference on CPU-only hardware?</w:t>
      </w:r>
    </w:p>
    <w:p/>
    <w:p>
      <w:pPr>
        <w:pStyle w:val="Heading1"/>
      </w:pPr>
      <w:r>
        <w:t>2. Methodology</w:t>
      </w:r>
    </w:p>
    <w:p>
      <w:r>
        <w:t>Dataset: 200 intents across three domains — Slicing Provisioning (70), Scaling Request (70), Conflict Resolution (60). Each intent pairs natural language input with ground-truth JSON. Metrics: Format Validity, Action Accuracy, Avg Match% (mean key-value accuracy), Inference Time, Throughput (tokens/s), CPU Utilization (system-wide psutil), Peak Memory (RSS MB), Energy (J) = measured_CPU_util × TDP_135W × time. All continuous metrics report 95% CI (t-distribution, n=200).</w:t>
      </w:r>
    </w:p>
    <w:p>
      <w:r>
        <w:t>Phase 1: Four open-weight families at ~8B Q4_K_M — Llama 3.1-8B [10], Qwen2.5-7B [11] (re-run with v2 benchmark for resource data), Gemma 2-9B [12] (custom Q4_K_M), GLM-4-9B [13] (custom Q4_K_M). DeepSeek-R1 excluded (infinite chain-of-thought on CPU). Phase 2: Qwen2.5 across 4 sizes × 3 quantization levels = 12 configurations on identical hardware.</w:t>
      </w:r>
    </w:p>
    <w:p/>
    <w:p>
      <w:pPr>
        <w:pStyle w:val="Heading1"/>
      </w:pPr>
      <w:r>
        <w:t>3. Phase 1: Cross-Family Model Comparison</w:t>
      </w:r>
    </w:p>
    <w:p>
      <w:r>
        <w:t>Table 1 presents the cross-family benchmark results at ~8B parameters with Q4_K_M quantization. Figures 1–3 visualize the key accuracy and performance metrics.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Format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Match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(s)</w:t>
            </w:r>
          </w:p>
        </w:tc>
      </w:tr>
      <w:tr>
        <w:tc>
          <w:tcPr>
            <w:tcW w:type="dxa" w:w="1728"/>
          </w:tcPr>
          <w:p>
            <w:r>
              <w:t>Llama 3.1 8B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36.5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19.11</w:t>
            </w:r>
          </w:p>
        </w:tc>
      </w:tr>
      <w:tr>
        <w:tc>
          <w:tcPr>
            <w:tcW w:type="dxa" w:w="1728"/>
          </w:tcPr>
          <w:p>
            <w:r>
              <w:t>Qwen2.5 7B (re-run)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42.5</w:t>
            </w:r>
          </w:p>
        </w:tc>
        <w:tc>
          <w:tcPr>
            <w:tcW w:type="dxa" w:w="1728"/>
          </w:tcPr>
          <w:p>
            <w:r>
              <w:t>29.8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</w:tr>
      <w:tr>
        <w:tc>
          <w:tcPr>
            <w:tcW w:type="dxa" w:w="1728"/>
          </w:tcPr>
          <w:p>
            <w:r>
              <w:t>Gemma 2 9B</w:t>
            </w:r>
          </w:p>
        </w:tc>
        <w:tc>
          <w:tcPr>
            <w:tcW w:type="dxa" w:w="1728"/>
          </w:tcPr>
          <w:p>
            <w:r>
              <w:t>98.5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29.3</w:t>
            </w:r>
          </w:p>
        </w:tc>
        <w:tc>
          <w:tcPr>
            <w:tcW w:type="dxa" w:w="1728"/>
          </w:tcPr>
          <w:p>
            <w:r>
              <w:t>39.79</w:t>
            </w:r>
          </w:p>
        </w:tc>
      </w:tr>
      <w:tr>
        <w:tc>
          <w:tcPr>
            <w:tcW w:type="dxa" w:w="1728"/>
          </w:tcPr>
          <w:p>
            <w:r>
              <w:t>GLM-4 9B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29.0</w:t>
            </w:r>
          </w:p>
        </w:tc>
        <w:tc>
          <w:tcPr>
            <w:tcW w:type="dxa" w:w="1728"/>
          </w:tcPr>
          <w:p>
            <w:r>
              <w:t>24.6</w:t>
            </w:r>
          </w:p>
        </w:tc>
        <w:tc>
          <w:tcPr>
            <w:tcW w:type="dxa" w:w="1728"/>
          </w:tcPr>
          <w:p>
            <w:r>
              <w:t>22.88</w:t>
            </w:r>
          </w:p>
        </w:tc>
      </w:tr>
    </w:tbl>
    <w:p>
      <w:pPr>
        <w:jc w:val="center"/>
      </w:pPr>
      <w:r>
        <w:rPr>
          <w:b/>
        </w:rPr>
        <w:t xml:space="preserve">Table 1: </w:t>
      </w:r>
      <w:r>
        <w:t>Phase 1 cross-family benchmark results (~8B, Q4_K_M, n=200). Qwen data from re-run with v2 benchmark.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413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bar_mat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3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1: Avg Match% — Phase 1 cross-family (~8B, Q4_K_M).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413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bar_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3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2: Action Accuracy% — Phase 1 cross-family (~8B, Q4_K_M).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413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bar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3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3: Inference Time — Phase 1 cross-family (~8B, Q4_K_M).</w:t>
      </w:r>
    </w:p>
    <w:p/>
    <w:p>
      <w:pPr>
        <w:pStyle w:val="Heading2"/>
      </w:pPr>
      <w:r>
        <w:t>3.1 Analysis</w:t>
      </w:r>
    </w:p>
    <w:p>
      <w:pPr>
        <w:pStyle w:val="ListBullet"/>
      </w:pPr>
      <w:r>
        <w:t>Avg Match (Fig. 1): Qwen2.5-7B achieves the highest average key-value match (29.8%), followed by Gemma 2-9B (29.3%), Llama 3.1-8B (26.0%), and GLM-4-9B (24.6%). Qwen outperforms Llama by 14.6% relative. The 9B models (Gemma, GLM) show no proportional gains over 7–8B, indicating architecture and training quality outweigh raw parameter count for parameter-level matching.</w:t>
      </w:r>
    </w:p>
    <w:p>
      <w:pPr>
        <w:pStyle w:val="ListBullet"/>
      </w:pPr>
      <w:r>
        <w:t>Action Accuracy (Fig. 2): Gemma 2-9B leads at 45.5%, demonstrating strong intent understanding. Qwen achieves 42.5% — a competitive second place. Llama (36.5%) and GLM (29.0%) trail significantly. GLM's poor action accuracy suggests its instruction-tuning is less aligned with structured JSON output for networking tasks.</w:t>
      </w:r>
    </w:p>
    <w:p>
      <w:pPr>
        <w:pStyle w:val="ListBullet"/>
      </w:pPr>
      <w:r>
        <w:t>Inference Time (Fig. 3): Qwen2.5-7B is the fastest (15.0s), followed by Llama (19.1s) and GLM (22.9s). Gemma 2-9B is 2.7× slower (39.8s) than Qwen despite only 21% more parameters, making it impractical for latency-sensitive edge applications. The speed gap likely reflects architectural differences in vocabulary size and attention mechanisms.</w:t>
      </w:r>
    </w:p>
    <w:p>
      <w:pPr>
        <w:pStyle w:val="ListBullet"/>
      </w:pPr>
      <w:r>
        <w:t>Overall: Qwen2.5-7B wins across all three metrics — highest match, competitive action accuracy, and fastest inference. Selected as the reference architecture for Phase 2.</w:t>
      </w:r>
    </w:p>
    <w:p/>
    <w:p>
      <w:pPr>
        <w:pStyle w:val="Heading1"/>
      </w:pPr>
      <w:r>
        <w:t>4. Phase 2: Size Scaling &amp; Quantization Results</w:t>
      </w:r>
    </w:p>
    <w:p>
      <w:r>
        <w:t>Table 2 presents complete Phase 2 results with 95% confidence intervals.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2"/>
              </w:rPr>
              <w:t>Config</w:t>
            </w:r>
          </w:p>
        </w:tc>
        <w:tc>
          <w:tcPr>
            <w:tcW w:type="dxa" w:w="785"/>
          </w:tcPr>
          <w:p>
            <w:r>
              <w:rPr>
                <w:b/>
                <w:sz w:val="12"/>
              </w:rPr>
              <w:t>Match%</w:t>
            </w:r>
          </w:p>
        </w:tc>
        <w:tc>
          <w:tcPr>
            <w:tcW w:type="dxa" w:w="785"/>
          </w:tcPr>
          <w:p>
            <w:r>
              <w:rPr>
                <w:b/>
                <w:sz w:val="12"/>
              </w:rPr>
              <w:t>95% CI</w:t>
            </w:r>
          </w:p>
        </w:tc>
        <w:tc>
          <w:tcPr>
            <w:tcW w:type="dxa" w:w="785"/>
          </w:tcPr>
          <w:p>
            <w:r>
              <w:rPr>
                <w:b/>
                <w:sz w:val="12"/>
              </w:rPr>
              <w:t>CPU%</w:t>
            </w:r>
          </w:p>
        </w:tc>
        <w:tc>
          <w:tcPr>
            <w:tcW w:type="dxa" w:w="785"/>
          </w:tcPr>
          <w:p>
            <w:r>
              <w:rPr>
                <w:b/>
                <w:sz w:val="12"/>
              </w:rPr>
              <w:t>95% CI</w:t>
            </w:r>
          </w:p>
        </w:tc>
        <w:tc>
          <w:tcPr>
            <w:tcW w:type="dxa" w:w="785"/>
          </w:tcPr>
          <w:p>
            <w:r>
              <w:rPr>
                <w:b/>
                <w:sz w:val="12"/>
              </w:rPr>
              <w:t>Time(s)</w:t>
            </w:r>
          </w:p>
        </w:tc>
        <w:tc>
          <w:tcPr>
            <w:tcW w:type="dxa" w:w="785"/>
          </w:tcPr>
          <w:p>
            <w:r>
              <w:rPr>
                <w:b/>
                <w:sz w:val="12"/>
              </w:rPr>
              <w:t>95% CI</w:t>
            </w:r>
          </w:p>
        </w:tc>
        <w:tc>
          <w:tcPr>
            <w:tcW w:type="dxa" w:w="785"/>
          </w:tcPr>
          <w:p>
            <w:r>
              <w:rPr>
                <w:b/>
                <w:sz w:val="12"/>
              </w:rPr>
              <w:t>Energy(J)</w:t>
            </w:r>
          </w:p>
        </w:tc>
        <w:tc>
          <w:tcPr>
            <w:tcW w:type="dxa" w:w="785"/>
          </w:tcPr>
          <w:p>
            <w:r>
              <w:rPr>
                <w:b/>
                <w:sz w:val="12"/>
              </w:rPr>
              <w:t>95% CI</w:t>
            </w:r>
          </w:p>
        </w:tc>
        <w:tc>
          <w:tcPr>
            <w:tcW w:type="dxa" w:w="785"/>
          </w:tcPr>
          <w:p>
            <w:r>
              <w:rPr>
                <w:b/>
                <w:sz w:val="12"/>
              </w:rPr>
              <w:t>Action%</w:t>
            </w:r>
          </w:p>
        </w:tc>
        <w:tc>
          <w:tcPr>
            <w:tcW w:type="dxa" w:w="785"/>
          </w:tcPr>
          <w:p>
            <w:r>
              <w:rPr>
                <w:b/>
                <w:sz w:val="12"/>
              </w:rPr>
              <w:t>Mem(MB)</w:t>
            </w:r>
          </w:p>
        </w:tc>
      </w:tr>
      <w:tr>
        <w:tc>
          <w:tcPr>
            <w:tcW w:type="dxa" w:w="785"/>
          </w:tcPr>
          <w:p>
            <w:r>
              <w:rPr>
                <w:sz w:val="12"/>
              </w:rPr>
              <w:t>0.5B Q2 K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18.3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[14.9,21.8]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68.8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[67.0,70.6]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[3.9,4.7]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436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[384,487]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24.0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2605</w:t>
            </w:r>
          </w:p>
        </w:tc>
      </w:tr>
      <w:tr>
        <w:tc>
          <w:tcPr>
            <w:tcW w:type="dxa" w:w="785"/>
          </w:tcPr>
          <w:p>
            <w:r>
              <w:rPr>
                <w:sz w:val="12"/>
              </w:rPr>
              <w:t>0.5B Q4 K M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18.5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[15.0,22.0]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69.1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[67.2,71.1]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4.7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[4.3,5.0]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477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[429,525]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32.5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575</w:t>
            </w:r>
          </w:p>
        </w:tc>
      </w:tr>
      <w:tr>
        <w:tc>
          <w:tcPr>
            <w:tcW w:type="dxa" w:w="785"/>
          </w:tcPr>
          <w:p>
            <w:r>
              <w:rPr>
                <w:sz w:val="12"/>
              </w:rPr>
              <w:t>0.5B Q8 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19.4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[16.0,22.8]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71.6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[70.0,73.3]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4.8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[4.5,5.2]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505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[454,555]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26.0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2166</w:t>
            </w:r>
          </w:p>
        </w:tc>
      </w:tr>
      <w:tr>
        <w:tc>
          <w:tcPr>
            <w:tcW w:type="dxa" w:w="785"/>
          </w:tcPr>
          <w:p>
            <w:r>
              <w:rPr>
                <w:sz w:val="12"/>
              </w:rPr>
              <w:t>1.5B Q2 K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22.1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[18.4,25.7]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76.9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[75.3,78.5]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7.8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[5.5,10.1]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897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[592,1202]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40.0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1372</w:t>
            </w:r>
          </w:p>
        </w:tc>
      </w:tr>
      <w:tr>
        <w:tc>
          <w:tcPr>
            <w:tcW w:type="dxa" w:w="785"/>
          </w:tcPr>
          <w:p>
            <w:r>
              <w:rPr>
                <w:sz w:val="12"/>
              </w:rPr>
              <w:t>1.5B Q4 K M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25.8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[21.9,29.7]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80.6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[79.5,81.8]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7.5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[7.0,8.1]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850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[780,920]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41.0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1720</w:t>
            </w:r>
          </w:p>
        </w:tc>
      </w:tr>
      <w:tr>
        <w:tc>
          <w:tcPr>
            <w:tcW w:type="dxa" w:w="785"/>
          </w:tcPr>
          <w:p>
            <w:r>
              <w:rPr>
                <w:sz w:val="12"/>
              </w:rPr>
              <w:t>1.5B Q8 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25.7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[21.6,29.7]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83.1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[82.2,84.1]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5.3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[5.0,5.7]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611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[566,656]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40.0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2480</w:t>
            </w:r>
          </w:p>
        </w:tc>
      </w:tr>
      <w:tr>
        <w:tc>
          <w:tcPr>
            <w:tcW w:type="dxa" w:w="785"/>
          </w:tcPr>
          <w:p>
            <w:r>
              <w:rPr>
                <w:sz w:val="12"/>
              </w:rPr>
              <w:t>3B Q2 K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24.1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[20.3,28.0]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85.8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[85.1,86.4]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9.5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[8.9,10.1]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1117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[1037,1198]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42.5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2453</w:t>
            </w:r>
          </w:p>
        </w:tc>
      </w:tr>
      <w:tr>
        <w:tc>
          <w:tcPr>
            <w:tcW w:type="dxa" w:w="785"/>
          </w:tcPr>
          <w:p>
            <w:r>
              <w:rPr>
                <w:sz w:val="12"/>
              </w:rPr>
              <w:t>3B Q4 K M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27.3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[23.2,31.4]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86.1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[85.3,87.0]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9.4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[8.8,10.1]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1122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[1039,1205]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45.5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3323</w:t>
            </w:r>
          </w:p>
        </w:tc>
      </w:tr>
      <w:tr>
        <w:tc>
          <w:tcPr>
            <w:tcW w:type="dxa" w:w="785"/>
          </w:tcPr>
          <w:p>
            <w:r>
              <w:rPr>
                <w:sz w:val="12"/>
              </w:rPr>
              <w:t>3B Q8 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[22.7,30.9]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88.4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[87.8,89.1]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7.7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[7.1,8.2]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931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[857,1004]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44.0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5225</w:t>
            </w:r>
          </w:p>
        </w:tc>
      </w:tr>
      <w:tr>
        <w:tc>
          <w:tcPr>
            <w:tcW w:type="dxa" w:w="785"/>
          </w:tcPr>
          <w:p>
            <w:r>
              <w:rPr>
                <w:sz w:val="12"/>
              </w:rPr>
              <w:t>7B Q2 K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29.0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[24.9,33.0]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91.2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[90.8,91.6]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[12.7,14.8]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1719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[1580,1857]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42.0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8149</w:t>
            </w:r>
          </w:p>
        </w:tc>
      </w:tr>
      <w:tr>
        <w:tc>
          <w:tcPr>
            <w:tcW w:type="dxa" w:w="785"/>
          </w:tcPr>
          <w:p>
            <w:r>
              <w:rPr>
                <w:sz w:val="12"/>
              </w:rPr>
              <w:t>7B Q4 K M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29.8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[25.8,33.9]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91.9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[91.4,92.3]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[13.9,16.1]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1884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[1734,2034]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43.5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4922</w:t>
            </w:r>
          </w:p>
        </w:tc>
      </w:tr>
      <w:tr>
        <w:tc>
          <w:tcPr>
            <w:tcW w:type="dxa" w:w="785"/>
          </w:tcPr>
          <w:p>
            <w:r>
              <w:rPr>
                <w:sz w:val="12"/>
              </w:rPr>
              <w:t>7B Q8 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30.5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[26.3,34.6]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94.1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[93.8,94.5]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20.4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[18.9,21.8]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2613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[2420,2806]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44.0</w:t>
            </w:r>
          </w:p>
        </w:tc>
        <w:tc>
          <w:tcPr>
            <w:tcW w:type="dxa" w:w="785"/>
          </w:tcPr>
          <w:p>
            <w:r>
              <w:rPr>
                <w:sz w:val="12"/>
              </w:rPr>
              <w:t>11429</w:t>
            </w:r>
          </w:p>
        </w:tc>
      </w:tr>
    </w:tbl>
    <w:p>
      <w:pPr>
        <w:jc w:val="center"/>
      </w:pPr>
      <w:r>
        <w:rPr>
          <w:b/>
        </w:rPr>
        <w:t xml:space="preserve">Table 2: </w:t>
      </w:r>
      <w:r>
        <w:t>Phase 2 complete results — Qwen2.5 across 4 sizes × 3 Q levels (n=200, 95% CI). CPU% measured via psutil; Energy from actual CPU × TDP(135W) × time.</w:t>
      </w:r>
    </w:p>
    <w:p/>
    <w:p>
      <w:pPr>
        <w:pStyle w:val="Heading1"/>
      </w:pPr>
      <w:r>
        <w:t>5. Resource Consumption Analysis</w:t>
      </w:r>
    </w:p>
    <w:p>
      <w:r>
        <w:t>Figures 4–6 present the resource consumption characteristics across all 12 configurations.</w:t>
      </w:r>
    </w:p>
    <w:p>
      <w:r>
        <w:drawing>
          <wp:inline xmlns:a="http://schemas.openxmlformats.org/drawingml/2006/main" xmlns:pic="http://schemas.openxmlformats.org/drawingml/2006/picture">
            <wp:extent cx="4114800" cy="30698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peak_m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69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4: Peak Memory (RSS MB) by model size and quantization.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0698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cp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69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5: CPU Utilization (%) by model size and quantization.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0698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ener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69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6: Energy per Intent (J) by model size and quantization.</w:t>
      </w:r>
    </w:p>
    <w:p/>
    <w:p>
      <w:pPr>
        <w:pStyle w:val="Heading2"/>
      </w:pPr>
      <w:r>
        <w:t>5.1 Resource Analysis</w:t>
      </w:r>
    </w:p>
    <w:p>
      <w:pPr>
        <w:pStyle w:val="ListBullet"/>
      </w:pPr>
      <w:r>
        <w:t>Memory (Fig. 4): Peak RSS ranges from 575 MB (0.5B-Q4_K_M) to 11,429 MB (7B-Q8_0). Q4_K_M consistently reduces memory by ~50% vs Q8_0. 7B-Q8_0 (11.4 GB) exceeds typical 8 GB edge budgets, making 7B-Q4_K_M (4.9 GB) the practical maximum for edge deployment.</w:t>
      </w:r>
    </w:p>
    <w:p>
      <w:pPr>
        <w:pStyle w:val="ListBullet"/>
      </w:pPr>
      <w:r>
        <w:t>CPU Utilization (Fig. 5): CPU% scales with model size — 68.8% (0.5B-Q2_K) to 94.1% (7B-Q8_0). This reveals that inference is memory-bandwidth-limited: smaller models cannot saturate the memory bus. Within the same size class, quantization has minimal impact on CPU% (≤3pp).</w:t>
      </w:r>
    </w:p>
    <w:p>
      <w:pPr>
        <w:pStyle w:val="ListBullet"/>
      </w:pPr>
      <w:r>
        <w:t>Energy (Fig. 6): 0.5B-Q2_K is cheapest (436 J/intent); 7B-Q8_0 most expensive (2,613 J). Q4_K_M saves 20–30% energy vs Q8_0. The 1.5B–3B Q4_K_M range (850–1,122 J) balances energy efficiency with competitive accuracy.</w:t>
      </w:r>
    </w:p>
    <w:p/>
    <w:p>
      <w:pPr>
        <w:pStyle w:val="Heading1"/>
      </w:pPr>
      <w:r>
        <w:t>6. Performance and Accuracy Analysis</w:t>
      </w:r>
    </w:p>
    <w:p>
      <w:r>
        <w:t>Figures 7–10 present throughput, accuracy, and speed across all configurations.</w:t>
      </w:r>
    </w:p>
    <w:p>
      <w:r>
        <w:drawing>
          <wp:inline xmlns:a="http://schemas.openxmlformats.org/drawingml/2006/main" xmlns:pic="http://schemas.openxmlformats.org/drawingml/2006/picture">
            <wp:extent cx="4114800" cy="30678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t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6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7: Throughput (tokens/s) by model size and quantization.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0698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mat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69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8: Avg Match% by model size and quantization.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0698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a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69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9: Action Accuracy% by model size and quantization.</w:t>
      </w:r>
    </w:p>
    <w:p/>
    <w:p>
      <w:r>
        <w:drawing>
          <wp:inline xmlns:a="http://schemas.openxmlformats.org/drawingml/2006/main" xmlns:pic="http://schemas.openxmlformats.org/drawingml/2006/picture">
            <wp:extent cx="4114800" cy="30678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6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10: Inference Time (s) by model size and quantization.</w:t>
      </w:r>
    </w:p>
    <w:p/>
    <w:p>
      <w:pPr>
        <w:pStyle w:val="Heading2"/>
      </w:pPr>
      <w:r>
        <w:t>6.1 Performance Analysis</w:t>
      </w:r>
    </w:p>
    <w:p>
      <w:pPr>
        <w:pStyle w:val="ListBullet"/>
      </w:pPr>
      <w:r>
        <w:t>Throughput (Fig. 7): Inversely proportional to model size. 0.5B-Q2_K: 8.9 tok/s; 7B-Q8_0: 1.4 tok/s. Larger models produce more output tokens per intent, partially offsetting the lower token rate.</w:t>
      </w:r>
    </w:p>
    <w:p>
      <w:pPr>
        <w:pStyle w:val="ListBullet"/>
      </w:pPr>
      <w:r>
        <w:t>Accuracy — Size Scaling (Figs. 8–9): 0.5B→1.5B yields the largest jump (+5.8pp match, +9.5pp action). 1.5B→3B shows marginal gain (+1.6pp match). 3B→7B adds +3.7pp match but at 67% more time and 80% more energy. The Pareto "knee" is at 3B — beyond this, costs grow faster than accuracy.</w:t>
      </w:r>
    </w:p>
    <w:p>
      <w:pPr>
        <w:pStyle w:val="ListBullet"/>
      </w:pPr>
      <w:r>
        <w:t>Accuracy — Quantization: Q8_0→Q4_K_M loses only 0.2pp match; Q4_K_M→Q2_K loses 1.6pp. 0.5B least sensitive (±1.1pp); 1.5B most sensitive (3.7pp gap). 7B-Q2_K (29.0%) outperforms 3B-Q8_0 (26.8%).</w:t>
      </w:r>
    </w:p>
    <w:p>
      <w:pPr>
        <w:pStyle w:val="ListBullet"/>
      </w:pPr>
      <w:r>
        <w:t>Inference Time (Fig. 10): Scales near-linearly with model size. 0.5B-Q4_K_M: 4.7s; 7B-Q8_0: 20.4s. Q2_K accelerates 0.5B and 1.5B but slows 7B (likely due to dequantization overhead).</w:t>
      </w:r>
    </w:p>
    <w:p/>
    <w:p>
      <w:pPr>
        <w:pStyle w:val="Heading1"/>
      </w:pPr>
      <w:r>
        <w:t>7. Pareto Frontier Analysis</w:t>
      </w:r>
    </w:p>
    <w:p>
      <w:r>
        <w:t>Figures 11–13 present Pareto frontiers. Visual encoding: shape = model size (■ 0.5B, ◆ 1.5B, ▲ 3B, ● 7B), vertical lines = quantization (no line = Q8_0, | = Q4_K_M, || = Q2_K). Dashed gray line = Pareto frontier.</w:t>
      </w:r>
    </w:p>
    <w:p>
      <w:r>
        <w:drawing>
          <wp:inline xmlns:a="http://schemas.openxmlformats.org/drawingml/2006/main" xmlns:pic="http://schemas.openxmlformats.org/drawingml/2006/picture">
            <wp:extent cx="4114800" cy="28678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areto_match_vs_ti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7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11: Pareto Frontier — Avg Match% vs Inference Time.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8678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areto_action_vs_ti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7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12: Pareto Frontier — Action Accuracy% vs Inference Time.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8678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areto_action_vs_energ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7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13: Pareto Frontier — Action Accuracy% vs Energy.</w:t>
      </w:r>
    </w:p>
    <w:p/>
    <w:p>
      <w:pPr>
        <w:pStyle w:val="Heading2"/>
      </w:pPr>
      <w:r>
        <w:t>7.1 Pareto Analysis</w:t>
      </w:r>
    </w:p>
    <w:p>
      <w:pPr>
        <w:pStyle w:val="ListBullet"/>
      </w:pPr>
      <w:r>
        <w:t>Match vs Time (Fig. 11): 7B-Q8_0 dominates upper-right (30.5%, 20.4s). 3B-Q4_K_M at knee (27.3%, 9.4s) — 89% of max accuracy at 46% of time. Q2_K configurations shift leftward, demonstrating speed gains at accuracy cost.</w:t>
      </w:r>
    </w:p>
    <w:p>
      <w:pPr>
        <w:pStyle w:val="ListBullet"/>
      </w:pPr>
      <w:r>
        <w:t>Action vs Time (Fig. 12): 3B models achieve highest action accuracy (44.5%), matching 7B models (42.5–43.5%). Action classification saturates at moderate sizes — fine-grained parameter matching is the harder task. 0.5B models lag (25–35% action) due to insufficient capacity.</w:t>
      </w:r>
    </w:p>
    <w:p>
      <w:pPr>
        <w:pStyle w:val="ListBullet"/>
      </w:pPr>
      <w:r>
        <w:t>Action vs Energy (Fig. 13): 0.5B-Q4_K_M is most energy-efficient (35% action, 477J). 3B-Q4_K_M offers 44.5% action at 1,122J — 2.3× energy for 9.5pp gain. 7B-Q8_0 (43.5%, 2,613J) costs 5.5× energy of 0.5B for only 8.5pp improvement — quantifying the steep energy premium for marginal accuracy gains at larger scales.</w:t>
      </w:r>
    </w:p>
    <w:p/>
    <w:p>
      <w:pPr>
        <w:pStyle w:val="Heading1"/>
      </w:pPr>
      <w:r>
        <w:t>8. Discussion</w:t>
      </w:r>
    </w:p>
    <w:p>
      <w:pPr>
        <w:pStyle w:val="Heading2"/>
      </w:pPr>
      <w:r>
        <w:t>8.1 Deployment Recommendations</w:t>
      </w:r>
    </w:p>
    <w:p>
      <w:pPr>
        <w:pStyle w:val="ListBullet"/>
      </w:pPr>
      <w:r>
        <w:t>Latency-critical edge: 0.5B-Q8_0 (4.8s, 19.4% match) or 1.5B-Q4_K_M (7.5s, 25.8% match).</w:t>
      </w:r>
    </w:p>
    <w:p>
      <w:pPr>
        <w:pStyle w:val="ListBullet"/>
      </w:pPr>
      <w:r>
        <w:t>Balanced edge: 3B-Q4_K_M (9.4s, 27.3% match, 1,122J, 3.3GB) — 91% of 7B accuracy at 60% cost.</w:t>
      </w:r>
    </w:p>
    <w:p>
      <w:pPr>
        <w:pStyle w:val="ListBullet"/>
      </w:pPr>
      <w:r>
        <w:t>Maximum accuracy: 7B-Q4_K_M (15.0s, 29.8% match, 1,884J, 4.9GB). Q8_0 not worth +40% energy for +0.7pp.</w:t>
      </w:r>
    </w:p>
    <w:p>
      <w:pPr>
        <w:pStyle w:val="ListBullet"/>
      </w:pPr>
      <w:r>
        <w:t>Quantization: Q4_K_M recommended for all deployments. Q2_K acceptable when memory-constrained.</w:t>
      </w:r>
    </w:p>
    <w:p>
      <w:pPr>
        <w:pStyle w:val="ListBullet"/>
      </w:pPr>
      <w:r>
        <w:t>Energy estimation: Use measured CPU% values — small models consume 15–25% less than flat 95% TDP-based estimates.</w:t>
      </w:r>
    </w:p>
    <w:p>
      <w:pPr>
        <w:pStyle w:val="Heading2"/>
      </w:pPr>
      <w:r>
        <w:t>8.2 Limitations</w:t>
      </w:r>
    </w:p>
    <w:p>
      <w:pPr>
        <w:pStyle w:val="ListBullet"/>
      </w:pPr>
      <w:r>
        <w:t>CPU-only inference; TDP-based energy (±15%); 200-intent dataset; Qwen-only Phase 2.</w:t>
      </w:r>
    </w:p>
    <w:p>
      <w:pPr>
        <w:pStyle w:val="ListBullet"/>
      </w:pPr>
      <w:r>
        <w:t>DeepSeek-R1 excluded — reasoning models require GPU. Future GPU evaluation warranted.</w:t>
      </w:r>
    </w:p>
    <w:p/>
    <w:p>
      <w:pPr>
        <w:pStyle w:val="Heading1"/>
      </w:pPr>
      <w:r>
        <w:t>9. Conclusion</w:t>
      </w:r>
    </w:p>
    <w:p>
      <w:r>
        <w:t>This comprehensive evaluation of 16 SLM configurations for 6G intent-driven slice management yields four key findings: (1) Qwen2.5-7B achieves best accuracy (29.8% match, 42.5% action); (2) CPU utilization scales with model size (69→94%), revealing memory bandwidth as bottleneck; (3) 3B-Q4_K_M is the deployment sweet spot — 91% accuracy at 60% cost; (4) Q4_K_M quantization provides optimal trade-off with ≤1pp loss. These results provide actionable guidance for 6G edge infrastructure deployment of intent-based network automation.</w:t>
      </w:r>
    </w:p>
    <w:p/>
    <w:p>
      <w:pPr>
        <w:pStyle w:val="Heading1"/>
      </w:pPr>
      <w:r>
        <w:t>References</w:t>
      </w:r>
    </w:p>
    <w:p>
      <w:pPr>
        <w:spacing w:after="40"/>
        <w:ind w:left="567"/>
      </w:pPr>
      <w:r>
        <w:rPr>
          <w:sz w:val="18"/>
        </w:rPr>
        <w:t>[1] I. Afolabi et al., "Network Slicing and Softwarization: A Survey," IEEE Commun. Surveys Tuts., 2018.</w:t>
      </w:r>
    </w:p>
    <w:p>
      <w:pPr>
        <w:spacing w:after="40"/>
        <w:ind w:left="567"/>
      </w:pPr>
      <w:r>
        <w:rPr>
          <w:sz w:val="18"/>
        </w:rPr>
        <w:t>[2] K. Abbas et al., "Intent-Based Networking for 6G," IEEE Commun. Mag., 2024.</w:t>
      </w:r>
    </w:p>
    <w:p>
      <w:pPr>
        <w:spacing w:after="40"/>
        <w:ind w:left="567"/>
      </w:pPr>
      <w:r>
        <w:rPr>
          <w:sz w:val="18"/>
        </w:rPr>
        <w:t>[3] ETSI GS ZSM 002, "Zero-touch Network and Service Management," 2019.</w:t>
      </w:r>
    </w:p>
    <w:p>
      <w:pPr>
        <w:spacing w:after="40"/>
        <w:ind w:left="567"/>
      </w:pPr>
      <w:r>
        <w:rPr>
          <w:sz w:val="18"/>
        </w:rPr>
        <w:t>[4] J. Wei et al., "Chain-of-Thought Prompting," NeurIPS, 2022.</w:t>
      </w:r>
    </w:p>
    <w:p>
      <w:pPr>
        <w:spacing w:after="40"/>
        <w:ind w:left="567"/>
      </w:pPr>
      <w:r>
        <w:rPr>
          <w:sz w:val="18"/>
        </w:rPr>
        <w:t>[5] A. Maatouk et al., "LLMs for Telecom," IEEE Commun. Mag., 2024.</w:t>
      </w:r>
    </w:p>
    <w:p>
      <w:pPr>
        <w:spacing w:after="40"/>
        <w:ind w:left="567"/>
      </w:pPr>
      <w:r>
        <w:rPr>
          <w:sz w:val="18"/>
        </w:rPr>
        <w:t>[6] M. Murshed et al., "ML at the Network Edge," ACM Comput. Surv., 2022.</w:t>
      </w:r>
    </w:p>
    <w:p>
      <w:pPr>
        <w:spacing w:after="40"/>
        <w:ind w:left="567"/>
      </w:pPr>
      <w:r>
        <w:rPr>
          <w:sz w:val="18"/>
        </w:rPr>
        <w:t>[10] Meta AI, "Llama 3.1: Open Foundation Models," 2024.</w:t>
      </w:r>
    </w:p>
    <w:p>
      <w:pPr>
        <w:spacing w:after="40"/>
        <w:ind w:left="567"/>
      </w:pPr>
      <w:r>
        <w:rPr>
          <w:sz w:val="18"/>
        </w:rPr>
        <w:t>[11] Alibaba Cloud, "Qwen2.5 Technical Report," 2024.</w:t>
      </w:r>
    </w:p>
    <w:p>
      <w:pPr>
        <w:spacing w:after="40"/>
        <w:ind w:left="567"/>
      </w:pPr>
      <w:r>
        <w:rPr>
          <w:sz w:val="18"/>
        </w:rPr>
        <w:t>[12] Google DeepMind, "Gemma 2 Technical Report," 2024.</w:t>
      </w:r>
    </w:p>
    <w:p>
      <w:pPr>
        <w:spacing w:after="40"/>
        <w:ind w:left="567"/>
      </w:pPr>
      <w:r>
        <w:rPr>
          <w:sz w:val="18"/>
        </w:rPr>
        <w:t>[13] Zhipu AI, "GLM-4 Technical Report," 2024.</w:t>
      </w:r>
    </w:p>
    <w:p>
      <w:pPr>
        <w:spacing w:after="40"/>
        <w:ind w:left="567"/>
      </w:pPr>
      <w:r>
        <w:rPr>
          <w:sz w:val="18"/>
        </w:rPr>
        <w:t>[14] G. Gerganov, "GGUF Format," github.com/ggerganov/ggml, 2024.</w:t>
      </w:r>
    </w:p>
    <w:p>
      <w:pPr>
        <w:spacing w:after="40"/>
        <w:ind w:left="567"/>
      </w:pPr>
      <w:r>
        <w:rPr>
          <w:sz w:val="18"/>
        </w:rPr>
        <w:t>[15] T. Dettmers et al., "QLoRA," NeurIPS, 2023.</w:t>
      </w:r>
    </w:p>
    <w:p>
      <w:pPr>
        <w:spacing w:after="40"/>
        <w:ind w:left="567"/>
      </w:pPr>
      <w:r>
        <w:rPr>
          <w:sz w:val="18"/>
        </w:rPr>
        <w:t>[16] D. Patterson et al., "Carbon Emissions and NN Training," arXiv:2104.10350, 2021.</w:t>
      </w:r>
    </w:p>
    <w:p>
      <w:pPr>
        <w:spacing w:after="40"/>
        <w:ind w:left="567"/>
      </w:pPr>
      <w:r>
        <w:rPr>
          <w:sz w:val="18"/>
        </w:rPr>
        <w:t>[17] R. Schwartz et al., "Green AI," Commun. ACM, 2020.</w:t>
      </w:r>
    </w:p>
    <w:p>
      <w:pPr>
        <w:spacing w:after="40"/>
        <w:ind w:left="567"/>
      </w:pPr>
      <w:r>
        <w:rPr>
          <w:sz w:val="18"/>
        </w:rPr>
        <w:t>[18] T. Somsri et al., "SLM Agent Eval for 6G," GitHub,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