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SLM Agent Performance Analysis</w:t>
        <w:br/>
        <w:t>AGY1 — Phase 3: Quantization Impact</w:t>
      </w:r>
    </w:p>
    <w:p/>
    <w:p>
      <w:pPr>
        <w:jc w:val="center"/>
      </w:pPr>
      <w:r>
        <w:rPr>
          <w:i/>
        </w:rPr>
        <w:t>Empirical Benchmarking of SLM Agents for Intent-Driven 6G Slice Lifecycle Management</w:t>
      </w:r>
    </w:p>
    <w:p/>
    <w:p>
      <w:pPr>
        <w:jc w:val="center"/>
      </w:pPr>
      <w:r>
        <w:rPr>
          <w:sz w:val="20"/>
        </w:rPr>
        <w:t>RBRU — SLM 6G Eval v2 · 2026-07-18</w:t>
      </w:r>
    </w:p>
    <w:p>
      <w:pPr>
        <w:pStyle w:val="Heading1"/>
      </w:pPr>
      <w:r>
        <w:t>Phase 3: Q2_K vs Q8_0 Comparison Across Model Sizes</w:t>
      </w:r>
    </w:p>
    <w:p>
      <w:r>
        <w:t>### 1. Introduction</w:t>
      </w:r>
    </w:p>
    <w:p>
      <w:r>
        <w:t>Quantization is a critical deployment consideration for Small Language Models in edge computing environments. Lower-precision quantization (Q2_K) dramatically reduces memory footprint and can accelerate inference, but may degrade agentic reasoning capabilities. This section systematically evaluates the impact of quantization precision on SLM agent performance by comparing Q2_K (2-bit with keep-outliers) against Q8_0 (8-bit round-to-nearest) across four Qwen 2.5 model sizes (0.5B, 1.5B, 3B, 7B). The analysis addresses a key practical question: is the memory savings of aggressive quantization worth the potential accuracy penalty?</w:t>
      </w:r>
    </w:p>
    <w:p>
      <w:r>
        <w:t>### 2. Experimental Methodology</w:t>
      </w:r>
    </w:p>
    <w:p>
      <w:r>
        <w:t>Four Qwen 2.5 models were evaluated at two quantization levels—Q2_K and Q8_0—on the same benchmark suite of 200 intents across three 6G slice management domains. Each configuration was tested on identical hardware (16-core CPU, 31 GB RAM, Ollama CPU-only inference) with four independent replicates to compute 95% confidence intervals. The Q2_K quantization represents an aggressive compression strategy targeting minimal memory footprint, while Q8_0 serves as a near-lossless reference point.</w:t>
      </w:r>
    </w:p>
    <w:p>
      <w:r>
        <w:t>**Configurations Tested:**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w:t>
            </w:r>
          </w:p>
        </w:tc>
        <w:tc>
          <w:tcPr>
            <w:tcW w:type="dxa" w:w="1728"/>
          </w:tcPr>
          <w:p>
            <w:r>
              <w:rPr>
                <w:sz w:val="18"/>
              </w:rPr>
              <w:t>Size</w:t>
            </w:r>
          </w:p>
        </w:tc>
        <w:tc>
          <w:tcPr>
            <w:tcW w:type="dxa" w:w="1728"/>
          </w:tcPr>
          <w:p>
            <w:r>
              <w:rPr>
                <w:sz w:val="18"/>
              </w:rPr>
              <w:t>Q2_K Size</w:t>
            </w:r>
          </w:p>
        </w:tc>
        <w:tc>
          <w:tcPr>
            <w:tcW w:type="dxa" w:w="1728"/>
          </w:tcPr>
          <w:p>
            <w:r>
              <w:rPr>
                <w:sz w:val="18"/>
              </w:rPr>
              <w:t>Q8_0 Size</w:t>
            </w:r>
          </w:p>
        </w:tc>
        <w:tc>
          <w:tcPr>
            <w:tcW w:type="dxa" w:w="1728"/>
          </w:tcPr>
          <w:p>
            <w:r>
              <w:rPr>
                <w:sz w:val="18"/>
              </w:rPr>
              <w:t>Memory Ratio</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1</w:t>
            </w:r>
          </w:p>
        </w:tc>
        <w:tc>
          <w:tcPr>
            <w:tcW w:type="dxa" w:w="1728"/>
          </w:tcPr>
          <w:p>
            <w:r>
              <w:rPr>
                <w:sz w:val="18"/>
              </w:rPr>
              <w:t>0.5B</w:t>
            </w:r>
          </w:p>
        </w:tc>
        <w:tc>
          <w:tcPr>
            <w:tcW w:type="dxa" w:w="1728"/>
          </w:tcPr>
          <w:p>
            <w:r>
              <w:rPr>
                <w:sz w:val="18"/>
              </w:rPr>
              <w:t>~0.20 GB</w:t>
            </w:r>
          </w:p>
        </w:tc>
        <w:tc>
          <w:tcPr>
            <w:tcW w:type="dxa" w:w="1728"/>
          </w:tcPr>
          <w:p>
            <w:r>
              <w:rPr>
                <w:sz w:val="18"/>
              </w:rPr>
              <w:t>~0.53 GB</w:t>
            </w:r>
          </w:p>
        </w:tc>
        <w:tc>
          <w:tcPr>
            <w:tcW w:type="dxa" w:w="1728"/>
          </w:tcPr>
          <w:p>
            <w:r>
              <w:rPr>
                <w:sz w:val="18"/>
              </w:rPr>
              <w:t>2.65x</w:t>
            </w:r>
          </w:p>
        </w:tc>
      </w:tr>
      <w:tr>
        <w:tc>
          <w:tcPr>
            <w:tcW w:type="dxa" w:w="1728"/>
          </w:tcPr>
          <w:p>
            <w:r>
              <w:rPr>
                <w:sz w:val="18"/>
              </w:rPr>
              <w:t>2</w:t>
            </w:r>
          </w:p>
        </w:tc>
        <w:tc>
          <w:tcPr>
            <w:tcW w:type="dxa" w:w="1728"/>
          </w:tcPr>
          <w:p>
            <w:r>
              <w:rPr>
                <w:sz w:val="18"/>
              </w:rPr>
              <w:t>1.5B</w:t>
            </w:r>
          </w:p>
        </w:tc>
        <w:tc>
          <w:tcPr>
            <w:tcW w:type="dxa" w:w="1728"/>
          </w:tcPr>
          <w:p>
            <w:r>
              <w:rPr>
                <w:sz w:val="18"/>
              </w:rPr>
              <w:t>~0.55 GB</w:t>
            </w:r>
          </w:p>
        </w:tc>
        <w:tc>
          <w:tcPr>
            <w:tcW w:type="dxa" w:w="1728"/>
          </w:tcPr>
          <w:p>
            <w:r>
              <w:rPr>
                <w:sz w:val="18"/>
              </w:rPr>
              <w:t>~1.60 GB</w:t>
            </w:r>
          </w:p>
        </w:tc>
        <w:tc>
          <w:tcPr>
            <w:tcW w:type="dxa" w:w="1728"/>
          </w:tcPr>
          <w:p>
            <w:r>
              <w:rPr>
                <w:sz w:val="18"/>
              </w:rPr>
              <w:t>2.91x</w:t>
            </w:r>
          </w:p>
        </w:tc>
      </w:tr>
      <w:tr>
        <w:tc>
          <w:tcPr>
            <w:tcW w:type="dxa" w:w="1728"/>
          </w:tcPr>
          <w:p>
            <w:r>
              <w:rPr>
                <w:sz w:val="18"/>
              </w:rPr>
              <w:t>3</w:t>
            </w:r>
          </w:p>
        </w:tc>
        <w:tc>
          <w:tcPr>
            <w:tcW w:type="dxa" w:w="1728"/>
          </w:tcPr>
          <w:p>
            <w:r>
              <w:rPr>
                <w:sz w:val="18"/>
              </w:rPr>
              <w:t>3B</w:t>
            </w:r>
          </w:p>
        </w:tc>
        <w:tc>
          <w:tcPr>
            <w:tcW w:type="dxa" w:w="1728"/>
          </w:tcPr>
          <w:p>
            <w:r>
              <w:rPr>
                <w:sz w:val="18"/>
              </w:rPr>
              <w:t>~1.10 GB</w:t>
            </w:r>
          </w:p>
        </w:tc>
        <w:tc>
          <w:tcPr>
            <w:tcW w:type="dxa" w:w="1728"/>
          </w:tcPr>
          <w:p>
            <w:r>
              <w:rPr>
                <w:sz w:val="18"/>
              </w:rPr>
              <w:t>~3.20 GB</w:t>
            </w:r>
          </w:p>
        </w:tc>
        <w:tc>
          <w:tcPr>
            <w:tcW w:type="dxa" w:w="1728"/>
          </w:tcPr>
          <w:p>
            <w:r>
              <w:rPr>
                <w:sz w:val="18"/>
              </w:rPr>
              <w:t>2.91x</w:t>
            </w:r>
          </w:p>
        </w:tc>
      </w:tr>
      <w:tr>
        <w:tc>
          <w:tcPr>
            <w:tcW w:type="dxa" w:w="1728"/>
          </w:tcPr>
          <w:p>
            <w:r>
              <w:rPr>
                <w:sz w:val="18"/>
              </w:rPr>
              <w:t>4</w:t>
            </w:r>
          </w:p>
        </w:tc>
        <w:tc>
          <w:tcPr>
            <w:tcW w:type="dxa" w:w="1728"/>
          </w:tcPr>
          <w:p>
            <w:r>
              <w:rPr>
                <w:sz w:val="18"/>
              </w:rPr>
              <w:t>7B</w:t>
            </w:r>
          </w:p>
        </w:tc>
        <w:tc>
          <w:tcPr>
            <w:tcW w:type="dxa" w:w="1728"/>
          </w:tcPr>
          <w:p>
            <w:r>
              <w:rPr>
                <w:sz w:val="18"/>
              </w:rPr>
              <w:t>~2.53 GB</w:t>
            </w:r>
          </w:p>
        </w:tc>
        <w:tc>
          <w:tcPr>
            <w:tcW w:type="dxa" w:w="1728"/>
          </w:tcPr>
          <w:p>
            <w:r>
              <w:rPr>
                <w:sz w:val="18"/>
              </w:rPr>
              <w:t>~7.40 GB</w:t>
            </w:r>
          </w:p>
        </w:tc>
        <w:tc>
          <w:tcPr>
            <w:tcW w:type="dxa" w:w="1728"/>
          </w:tcPr>
          <w:p>
            <w:r>
              <w:rPr>
                <w:sz w:val="18"/>
              </w:rPr>
              <w:t>2.92x</w:t>
            </w:r>
          </w:p>
        </w:tc>
      </w:tr>
    </w:tbl>
    <w:p/>
    <w:p>
      <w:r>
        <w:t>### 3. Results</w:t>
      </w:r>
    </w:p>
    <w:p>
      <w:r>
        <w:t>**Table 1: Q2_K vs Q8_0 Quantization Impact on Agent Performance**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Metric</w:t>
            </w:r>
          </w:p>
        </w:tc>
        <w:tc>
          <w:tcPr>
            <w:tcW w:type="dxa" w:w="960"/>
          </w:tcPr>
          <w:p>
            <w:r>
              <w:rPr>
                <w:sz w:val="18"/>
              </w:rPr>
              <w:t>0.5B Q2_K</w:t>
            </w:r>
          </w:p>
        </w:tc>
        <w:tc>
          <w:tcPr>
            <w:tcW w:type="dxa" w:w="960"/>
          </w:tcPr>
          <w:p>
            <w:r>
              <w:rPr>
                <w:sz w:val="18"/>
              </w:rPr>
              <w:t>0.5B Q8_0</w:t>
            </w:r>
          </w:p>
        </w:tc>
        <w:tc>
          <w:tcPr>
            <w:tcW w:type="dxa" w:w="960"/>
          </w:tcPr>
          <w:p>
            <w:r>
              <w:rPr>
                <w:sz w:val="18"/>
              </w:rPr>
              <w:t>1.5B Q2_K</w:t>
            </w:r>
          </w:p>
        </w:tc>
        <w:tc>
          <w:tcPr>
            <w:tcW w:type="dxa" w:w="960"/>
          </w:tcPr>
          <w:p>
            <w:r>
              <w:rPr>
                <w:sz w:val="18"/>
              </w:rPr>
              <w:t>1.5B Q8_0</w:t>
            </w:r>
          </w:p>
        </w:tc>
        <w:tc>
          <w:tcPr>
            <w:tcW w:type="dxa" w:w="960"/>
          </w:tcPr>
          <w:p>
            <w:r>
              <w:rPr>
                <w:sz w:val="18"/>
              </w:rPr>
              <w:t>3B Q2_K</w:t>
            </w:r>
          </w:p>
        </w:tc>
        <w:tc>
          <w:tcPr>
            <w:tcW w:type="dxa" w:w="960"/>
          </w:tcPr>
          <w:p>
            <w:r>
              <w:rPr>
                <w:sz w:val="18"/>
              </w:rPr>
              <w:t>3B Q8_0</w:t>
            </w:r>
          </w:p>
        </w:tc>
        <w:tc>
          <w:tcPr>
            <w:tcW w:type="dxa" w:w="960"/>
          </w:tcPr>
          <w:p>
            <w:r>
              <w:rPr>
                <w:sz w:val="18"/>
              </w:rPr>
              <w:t>7B Q2_K</w:t>
            </w:r>
          </w:p>
        </w:tc>
        <w:tc>
          <w:tcPr>
            <w:tcW w:type="dxa" w:w="960"/>
          </w:tcPr>
          <w:p>
            <w:r>
              <w:rPr>
                <w:sz w:val="18"/>
              </w:rPr>
              <w:t>7B Q8_0</w:t>
            </w:r>
          </w:p>
        </w:tc>
      </w:tr>
      <w:tr>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Match Acc. (%)</w:t>
            </w:r>
          </w:p>
        </w:tc>
        <w:tc>
          <w:tcPr>
            <w:tcW w:type="dxa" w:w="960"/>
          </w:tcPr>
          <w:p>
            <w:r>
              <w:rPr>
                <w:sz w:val="18"/>
              </w:rPr>
              <w:t>18.3</w:t>
            </w:r>
          </w:p>
        </w:tc>
        <w:tc>
          <w:tcPr>
            <w:tcW w:type="dxa" w:w="960"/>
          </w:tcPr>
          <w:p>
            <w:r>
              <w:rPr>
                <w:sz w:val="18"/>
              </w:rPr>
              <w:t>19.0</w:t>
            </w:r>
          </w:p>
        </w:tc>
        <w:tc>
          <w:tcPr>
            <w:tcW w:type="dxa" w:w="960"/>
          </w:tcPr>
          <w:p>
            <w:r>
              <w:rPr>
                <w:sz w:val="18"/>
              </w:rPr>
              <w:t>26.5</w:t>
            </w:r>
          </w:p>
        </w:tc>
        <w:tc>
          <w:tcPr>
            <w:tcW w:type="dxa" w:w="960"/>
          </w:tcPr>
          <w:p>
            <w:r>
              <w:rPr>
                <w:sz w:val="18"/>
              </w:rPr>
              <w:t>27.5</w:t>
            </w:r>
          </w:p>
        </w:tc>
        <w:tc>
          <w:tcPr>
            <w:tcW w:type="dxa" w:w="960"/>
          </w:tcPr>
          <w:p>
            <w:r>
              <w:rPr>
                <w:sz w:val="18"/>
              </w:rPr>
              <w:t>28.0</w:t>
            </w:r>
          </w:p>
        </w:tc>
        <w:tc>
          <w:tcPr>
            <w:tcW w:type="dxa" w:w="960"/>
          </w:tcPr>
          <w:p>
            <w:r>
              <w:rPr>
                <w:sz w:val="18"/>
              </w:rPr>
              <w:t>28.8</w:t>
            </w:r>
          </w:p>
        </w:tc>
        <w:tc>
          <w:tcPr>
            <w:tcW w:type="dxa" w:w="960"/>
          </w:tcPr>
          <w:p>
            <w:r>
              <w:rPr>
                <w:sz w:val="18"/>
              </w:rPr>
              <w:t>30.3</w:t>
            </w:r>
          </w:p>
        </w:tc>
        <w:tc>
          <w:tcPr>
            <w:tcW w:type="dxa" w:w="960"/>
          </w:tcPr>
          <w:p>
            <w:r>
              <w:rPr>
                <w:sz w:val="18"/>
              </w:rPr>
              <w:t>31.5</w:t>
            </w:r>
          </w:p>
        </w:tc>
      </w:tr>
      <w:tr>
        <w:tc>
          <w:tcPr>
            <w:tcW w:type="dxa" w:w="960"/>
          </w:tcPr>
          <w:p>
            <w:r>
              <w:rPr>
                <w:sz w:val="18"/>
              </w:rPr>
              <w:t>Action Acc. (%)</w:t>
            </w:r>
          </w:p>
        </w:tc>
        <w:tc>
          <w:tcPr>
            <w:tcW w:type="dxa" w:w="960"/>
          </w:tcPr>
          <w:p>
            <w:r>
              <w:rPr>
                <w:sz w:val="18"/>
              </w:rPr>
              <w:t>24.0</w:t>
            </w:r>
          </w:p>
        </w:tc>
        <w:tc>
          <w:tcPr>
            <w:tcW w:type="dxa" w:w="960"/>
          </w:tcPr>
          <w:p>
            <w:r>
              <w:rPr>
                <w:sz w:val="18"/>
              </w:rPr>
              <w:t>35.0</w:t>
            </w:r>
          </w:p>
        </w:tc>
        <w:tc>
          <w:tcPr>
            <w:tcW w:type="dxa" w:w="960"/>
          </w:tcPr>
          <w:p>
            <w:r>
              <w:rPr>
                <w:sz w:val="18"/>
              </w:rPr>
              <w:t>42.0</w:t>
            </w:r>
          </w:p>
        </w:tc>
        <w:tc>
          <w:tcPr>
            <w:tcW w:type="dxa" w:w="960"/>
          </w:tcPr>
          <w:p>
            <w:r>
              <w:rPr>
                <w:sz w:val="18"/>
              </w:rPr>
              <w:t>44.0</w:t>
            </w:r>
          </w:p>
        </w:tc>
        <w:tc>
          <w:tcPr>
            <w:tcW w:type="dxa" w:w="960"/>
          </w:tcPr>
          <w:p>
            <w:r>
              <w:rPr>
                <w:sz w:val="18"/>
              </w:rPr>
              <w:t>46.5</w:t>
            </w:r>
          </w:p>
        </w:tc>
        <w:tc>
          <w:tcPr>
            <w:tcW w:type="dxa" w:w="960"/>
          </w:tcPr>
          <w:p>
            <w:r>
              <w:rPr>
                <w:sz w:val="18"/>
              </w:rPr>
              <w:t>47.0</w:t>
            </w:r>
          </w:p>
        </w:tc>
        <w:tc>
          <w:tcPr>
            <w:tcW w:type="dxa" w:w="960"/>
          </w:tcPr>
          <w:p>
            <w:r>
              <w:rPr>
                <w:sz w:val="18"/>
              </w:rPr>
              <w:t>44.0</w:t>
            </w:r>
          </w:p>
        </w:tc>
        <w:tc>
          <w:tcPr>
            <w:tcW w:type="dxa" w:w="960"/>
          </w:tcPr>
          <w:p>
            <w:r>
              <w:rPr>
                <w:sz w:val="18"/>
              </w:rPr>
              <w:t>45.5</w:t>
            </w:r>
          </w:p>
        </w:tc>
      </w:tr>
      <w:tr>
        <w:tc>
          <w:tcPr>
            <w:tcW w:type="dxa" w:w="960"/>
          </w:tcPr>
          <w:p>
            <w:r>
              <w:rPr>
                <w:sz w:val="18"/>
              </w:rPr>
              <w:t>Format Comp. (%)</w:t>
            </w:r>
          </w:p>
        </w:tc>
        <w:tc>
          <w:tcPr>
            <w:tcW w:type="dxa" w:w="960"/>
          </w:tcPr>
          <w:p>
            <w:r>
              <w:rPr>
                <w:sz w:val="18"/>
              </w:rPr>
              <w:t>100.0</w:t>
            </w:r>
          </w:p>
        </w:tc>
        <w:tc>
          <w:tcPr>
            <w:tcW w:type="dxa" w:w="960"/>
          </w:tcPr>
          <w:p>
            <w:r>
              <w:rPr>
                <w:sz w:val="18"/>
              </w:rPr>
              <w:t>98.0</w:t>
            </w:r>
          </w:p>
        </w:tc>
        <w:tc>
          <w:tcPr>
            <w:tcW w:type="dxa" w:w="960"/>
          </w:tcPr>
          <w:p>
            <w:r>
              <w:rPr>
                <w:sz w:val="18"/>
              </w:rPr>
              <w:t>98.0</w:t>
            </w:r>
          </w:p>
        </w:tc>
        <w:tc>
          <w:tcPr>
            <w:tcW w:type="dxa" w:w="960"/>
          </w:tcPr>
          <w:p>
            <w:r>
              <w:rPr>
                <w:sz w:val="18"/>
              </w:rPr>
              <w:t>99.5</w:t>
            </w:r>
          </w:p>
        </w:tc>
        <w:tc>
          <w:tcPr>
            <w:tcW w:type="dxa" w:w="960"/>
          </w:tcPr>
          <w:p>
            <w:r>
              <w:rPr>
                <w:sz w:val="18"/>
              </w:rPr>
              <w:t>98.5</w:t>
            </w:r>
          </w:p>
        </w:tc>
        <w:tc>
          <w:tcPr>
            <w:tcW w:type="dxa" w:w="960"/>
          </w:tcPr>
          <w:p>
            <w:r>
              <w:rPr>
                <w:sz w:val="18"/>
              </w:rPr>
              <w:t>99.5</w:t>
            </w:r>
          </w:p>
        </w:tc>
        <w:tc>
          <w:tcPr>
            <w:tcW w:type="dxa" w:w="960"/>
          </w:tcPr>
          <w:p>
            <w:r>
              <w:rPr>
                <w:sz w:val="18"/>
              </w:rPr>
              <w:t>99.5</w:t>
            </w:r>
          </w:p>
        </w:tc>
        <w:tc>
          <w:tcPr>
            <w:tcW w:type="dxa" w:w="960"/>
          </w:tcPr>
          <w:p>
            <w:r>
              <w:rPr>
                <w:sz w:val="18"/>
              </w:rPr>
              <w:t>100.0</w:t>
            </w:r>
          </w:p>
        </w:tc>
      </w:tr>
      <w:tr>
        <w:tc>
          <w:tcPr>
            <w:tcW w:type="dxa" w:w="960"/>
          </w:tcPr>
          <w:p>
            <w:r>
              <w:rPr>
                <w:sz w:val="18"/>
              </w:rPr>
              <w:t>Time (s)</w:t>
            </w:r>
          </w:p>
        </w:tc>
        <w:tc>
          <w:tcPr>
            <w:tcW w:type="dxa" w:w="960"/>
          </w:tcPr>
          <w:p>
            <w:r>
              <w:rPr>
                <w:sz w:val="18"/>
              </w:rPr>
              <w:t>4.31</w:t>
            </w:r>
          </w:p>
        </w:tc>
        <w:tc>
          <w:tcPr>
            <w:tcW w:type="dxa" w:w="960"/>
          </w:tcPr>
          <w:p>
            <w:r>
              <w:rPr>
                <w:sz w:val="18"/>
              </w:rPr>
              <w:t>5.85</w:t>
            </w:r>
          </w:p>
        </w:tc>
        <w:tc>
          <w:tcPr>
            <w:tcW w:type="dxa" w:w="960"/>
          </w:tcPr>
          <w:p>
            <w:r>
              <w:rPr>
                <w:sz w:val="18"/>
              </w:rPr>
              <w:t>7.10</w:t>
            </w:r>
          </w:p>
        </w:tc>
        <w:tc>
          <w:tcPr>
            <w:tcW w:type="dxa" w:w="960"/>
          </w:tcPr>
          <w:p>
            <w:r>
              <w:rPr>
                <w:sz w:val="18"/>
              </w:rPr>
              <w:t>9.95</w:t>
            </w:r>
          </w:p>
        </w:tc>
        <w:tc>
          <w:tcPr>
            <w:tcW w:type="dxa" w:w="960"/>
          </w:tcPr>
          <w:p>
            <w:r>
              <w:rPr>
                <w:sz w:val="18"/>
              </w:rPr>
              <w:t>9.02</w:t>
            </w:r>
          </w:p>
        </w:tc>
        <w:tc>
          <w:tcPr>
            <w:tcW w:type="dxa" w:w="960"/>
          </w:tcPr>
          <w:p>
            <w:r>
              <w:rPr>
                <w:sz w:val="18"/>
              </w:rPr>
              <w:t>12.11</w:t>
            </w:r>
          </w:p>
        </w:tc>
        <w:tc>
          <w:tcPr>
            <w:tcW w:type="dxa" w:w="960"/>
          </w:tcPr>
          <w:p>
            <w:r>
              <w:rPr>
                <w:sz w:val="18"/>
              </w:rPr>
              <w:t>14.65</w:t>
            </w:r>
          </w:p>
        </w:tc>
        <w:tc>
          <w:tcPr>
            <w:tcW w:type="dxa" w:w="960"/>
          </w:tcPr>
          <w:p>
            <w:r>
              <w:rPr>
                <w:sz w:val="18"/>
              </w:rPr>
              <w:t>18.21</w:t>
            </w:r>
          </w:p>
        </w:tc>
      </w:tr>
      <w:tr>
        <w:tc>
          <w:tcPr>
            <w:tcW w:type="dxa" w:w="960"/>
          </w:tcPr>
          <w:p>
            <w:r>
              <w:rPr>
                <w:sz w:val="18"/>
              </w:rPr>
              <w:t>TPS</w:t>
            </w:r>
          </w:p>
        </w:tc>
        <w:tc>
          <w:tcPr>
            <w:tcW w:type="dxa" w:w="960"/>
          </w:tcPr>
          <w:p>
            <w:r>
              <w:rPr>
                <w:sz w:val="18"/>
              </w:rPr>
              <w:t>9.4</w:t>
            </w:r>
          </w:p>
        </w:tc>
        <w:tc>
          <w:tcPr>
            <w:tcW w:type="dxa" w:w="960"/>
          </w:tcPr>
          <w:p>
            <w:r>
              <w:rPr>
                <w:sz w:val="18"/>
              </w:rPr>
              <w:t>7.2</w:t>
            </w:r>
          </w:p>
        </w:tc>
        <w:tc>
          <w:tcPr>
            <w:tcW w:type="dxa" w:w="960"/>
          </w:tcPr>
          <w:p>
            <w:r>
              <w:rPr>
                <w:sz w:val="18"/>
              </w:rPr>
              <w:t>6.8</w:t>
            </w:r>
          </w:p>
        </w:tc>
        <w:tc>
          <w:tcPr>
            <w:tcW w:type="dxa" w:w="960"/>
          </w:tcPr>
          <w:p>
            <w:r>
              <w:rPr>
                <w:sz w:val="18"/>
              </w:rPr>
              <w:t>5.1</w:t>
            </w:r>
          </w:p>
        </w:tc>
        <w:tc>
          <w:tcPr>
            <w:tcW w:type="dxa" w:w="960"/>
          </w:tcPr>
          <w:p>
            <w:r>
              <w:rPr>
                <w:sz w:val="18"/>
              </w:rPr>
              <w:t>4.0</w:t>
            </w:r>
          </w:p>
        </w:tc>
        <w:tc>
          <w:tcPr>
            <w:tcW w:type="dxa" w:w="960"/>
          </w:tcPr>
          <w:p>
            <w:r>
              <w:rPr>
                <w:sz w:val="18"/>
              </w:rPr>
              <w:t>3.2</w:t>
            </w:r>
          </w:p>
        </w:tc>
        <w:tc>
          <w:tcPr>
            <w:tcW w:type="dxa" w:w="960"/>
          </w:tcPr>
          <w:p>
            <w:r>
              <w:rPr>
                <w:sz w:val="18"/>
              </w:rPr>
              <w:t>2.9</w:t>
            </w:r>
          </w:p>
        </w:tc>
        <w:tc>
          <w:tcPr>
            <w:tcW w:type="dxa" w:w="960"/>
          </w:tcPr>
          <w:p>
            <w:r>
              <w:rPr>
                <w:sz w:val="18"/>
              </w:rPr>
              <w:t>2.5</w:t>
            </w:r>
          </w:p>
        </w:tc>
      </w:tr>
      <w:tr>
        <w:tc>
          <w:tcPr>
            <w:tcW w:type="dxa" w:w="960"/>
          </w:tcPr>
          <w:p>
            <w:r>
              <w:rPr>
                <w:sz w:val="18"/>
              </w:rPr>
              <w:t>Energy (J)</w:t>
            </w:r>
          </w:p>
        </w:tc>
        <w:tc>
          <w:tcPr>
            <w:tcW w:type="dxa" w:w="960"/>
          </w:tcPr>
          <w:p>
            <w:r>
              <w:rPr>
                <w:sz w:val="18"/>
              </w:rPr>
              <w:t>435.6</w:t>
            </w:r>
          </w:p>
        </w:tc>
        <w:tc>
          <w:tcPr>
            <w:tcW w:type="dxa" w:w="960"/>
          </w:tcPr>
          <w:p>
            <w:r>
              <w:rPr>
                <w:sz w:val="18"/>
              </w:rPr>
              <w:t>576.0</w:t>
            </w:r>
          </w:p>
        </w:tc>
        <w:tc>
          <w:tcPr>
            <w:tcW w:type="dxa" w:w="960"/>
          </w:tcPr>
          <w:p>
            <w:r>
              <w:rPr>
                <w:sz w:val="18"/>
              </w:rPr>
              <w:t>810.3</w:t>
            </w:r>
          </w:p>
        </w:tc>
        <w:tc>
          <w:tcPr>
            <w:tcW w:type="dxa" w:w="960"/>
          </w:tcPr>
          <w:p>
            <w:r>
              <w:rPr>
                <w:sz w:val="18"/>
              </w:rPr>
              <w:t>1,098.2</w:t>
            </w:r>
          </w:p>
        </w:tc>
        <w:tc>
          <w:tcPr>
            <w:tcW w:type="dxa" w:w="960"/>
          </w:tcPr>
          <w:p>
            <w:r>
              <w:rPr>
                <w:sz w:val="18"/>
              </w:rPr>
              <w:t>1,083.0</w:t>
            </w:r>
          </w:p>
        </w:tc>
        <w:tc>
          <w:tcPr>
            <w:tcW w:type="dxa" w:w="960"/>
          </w:tcPr>
          <w:p>
            <w:r>
              <w:rPr>
                <w:sz w:val="18"/>
              </w:rPr>
              <w:t>1,470.5</w:t>
            </w:r>
          </w:p>
        </w:tc>
        <w:tc>
          <w:tcPr>
            <w:tcW w:type="dxa" w:w="960"/>
          </w:tcPr>
          <w:p>
            <w:r>
              <w:rPr>
                <w:sz w:val="18"/>
              </w:rPr>
              <w:t>1,806.5</w:t>
            </w:r>
          </w:p>
        </w:tc>
        <w:tc>
          <w:tcPr>
            <w:tcW w:type="dxa" w:w="960"/>
          </w:tcPr>
          <w:p>
            <w:r>
              <w:rPr>
                <w:sz w:val="18"/>
              </w:rPr>
              <w:t>2,265.0</w:t>
            </w:r>
          </w:p>
        </w:tc>
      </w:tr>
      <w:tr>
        <w:tc>
          <w:tcPr>
            <w:tcW w:type="dxa" w:w="960"/>
          </w:tcPr>
          <w:p>
            <w:r>
              <w:rPr>
                <w:sz w:val="18"/>
              </w:rPr>
              <w:t>Memory (MB)</w:t>
            </w:r>
          </w:p>
        </w:tc>
        <w:tc>
          <w:tcPr>
            <w:tcW w:type="dxa" w:w="960"/>
          </w:tcPr>
          <w:p>
            <w:r>
              <w:rPr>
                <w:sz w:val="18"/>
              </w:rPr>
              <w:t>1,164.0</w:t>
            </w:r>
          </w:p>
        </w:tc>
        <w:tc>
          <w:tcPr>
            <w:tcW w:type="dxa" w:w="960"/>
          </w:tcPr>
          <w:p>
            <w:r>
              <w:rPr>
                <w:sz w:val="18"/>
              </w:rPr>
              <w:t>540.0</w:t>
            </w:r>
          </w:p>
        </w:tc>
        <w:tc>
          <w:tcPr>
            <w:tcW w:type="dxa" w:w="960"/>
          </w:tcPr>
          <w:p>
            <w:r>
              <w:rPr>
                <w:sz w:val="18"/>
              </w:rPr>
              <w:t>1,320.0</w:t>
            </w:r>
          </w:p>
        </w:tc>
        <w:tc>
          <w:tcPr>
            <w:tcW w:type="dxa" w:w="960"/>
          </w:tcPr>
          <w:p>
            <w:r>
              <w:rPr>
                <w:sz w:val="18"/>
              </w:rPr>
              <w:t>1,520.0</w:t>
            </w:r>
          </w:p>
        </w:tc>
        <w:tc>
          <w:tcPr>
            <w:tcW w:type="dxa" w:w="960"/>
          </w:tcPr>
          <w:p>
            <w:r>
              <w:rPr>
                <w:sz w:val="18"/>
              </w:rPr>
              <w:t>2,315.0</w:t>
            </w:r>
          </w:p>
        </w:tc>
        <w:tc>
          <w:tcPr>
            <w:tcW w:type="dxa" w:w="960"/>
          </w:tcPr>
          <w:p>
            <w:r>
              <w:rPr>
                <w:sz w:val="18"/>
              </w:rPr>
              <w:t>2,890.0</w:t>
            </w:r>
          </w:p>
        </w:tc>
        <w:tc>
          <w:tcPr>
            <w:tcW w:type="dxa" w:w="960"/>
          </w:tcPr>
          <w:p>
            <w:r>
              <w:rPr>
                <w:sz w:val="18"/>
              </w:rPr>
              <w:t>4,810.0</w:t>
            </w:r>
          </w:p>
        </w:tc>
        <w:tc>
          <w:tcPr>
            <w:tcW w:type="dxa" w:w="960"/>
          </w:tcPr>
          <w:p>
            <w:r>
              <w:rPr>
                <w:sz w:val="18"/>
              </w:rPr>
              <w:t>5,210.0</w:t>
            </w:r>
          </w:p>
        </w:tc>
      </w:tr>
      <w:tr>
        <w:tc>
          <w:tcPr>
            <w:tcW w:type="dxa" w:w="960"/>
          </w:tcPr>
          <w:p>
            <w:r>
              <w:rPr>
                <w:sz w:val="18"/>
              </w:rPr>
              <w:t>Peak Mem (MB)</w:t>
            </w:r>
          </w:p>
        </w:tc>
        <w:tc>
          <w:tcPr>
            <w:tcW w:type="dxa" w:w="960"/>
          </w:tcPr>
          <w:p>
            <w:r>
              <w:rPr>
                <w:sz w:val="18"/>
              </w:rPr>
              <w:t>2,605.0</w:t>
            </w:r>
          </w:p>
        </w:tc>
        <w:tc>
          <w:tcPr>
            <w:tcW w:type="dxa" w:w="960"/>
          </w:tcPr>
          <w:p>
            <w:r>
              <w:rPr>
                <w:sz w:val="18"/>
              </w:rPr>
              <w:t>570.0</w:t>
            </w:r>
          </w:p>
        </w:tc>
        <w:tc>
          <w:tcPr>
            <w:tcW w:type="dxa" w:w="960"/>
          </w:tcPr>
          <w:p>
            <w:r>
              <w:rPr>
                <w:sz w:val="18"/>
              </w:rPr>
              <w:t>1,720.0</w:t>
            </w:r>
          </w:p>
        </w:tc>
        <w:tc>
          <w:tcPr>
            <w:tcW w:type="dxa" w:w="960"/>
          </w:tcPr>
          <w:p>
            <w:r>
              <w:rPr>
                <w:sz w:val="18"/>
              </w:rPr>
              <w:t>1,830.0</w:t>
            </w:r>
          </w:p>
        </w:tc>
        <w:tc>
          <w:tcPr>
            <w:tcW w:type="dxa" w:w="960"/>
          </w:tcPr>
          <w:p>
            <w:r>
              <w:rPr>
                <w:sz w:val="18"/>
              </w:rPr>
              <w:t>3,330.0</w:t>
            </w:r>
          </w:p>
        </w:tc>
        <w:tc>
          <w:tcPr>
            <w:tcW w:type="dxa" w:w="960"/>
          </w:tcPr>
          <w:p>
            <w:r>
              <w:rPr>
                <w:sz w:val="18"/>
              </w:rPr>
              <w:t>3,380.0</w:t>
            </w:r>
          </w:p>
        </w:tc>
        <w:tc>
          <w:tcPr>
            <w:tcW w:type="dxa" w:w="960"/>
          </w:tcPr>
          <w:p>
            <w:r>
              <w:rPr>
                <w:sz w:val="18"/>
              </w:rPr>
              <w:t>4,915.0</w:t>
            </w:r>
          </w:p>
        </w:tc>
        <w:tc>
          <w:tcPr>
            <w:tcW w:type="dxa" w:w="960"/>
          </w:tcPr>
          <w:p>
            <w:r>
              <w:rPr>
                <w:sz w:val="18"/>
              </w:rPr>
              <w:t>5,320.0</w:t>
            </w:r>
          </w:p>
        </w:tc>
      </w:tr>
      <w:tr>
        <w:tc>
          <w:tcPr>
            <w:tcW w:type="dxa" w:w="960"/>
          </w:tcPr>
          <w:p>
            <w:r>
              <w:rPr>
                <w:sz w:val="18"/>
              </w:rPr>
              <w:t>CPU (%)</w:t>
            </w:r>
          </w:p>
        </w:tc>
        <w:tc>
          <w:tcPr>
            <w:tcW w:type="dxa" w:w="960"/>
          </w:tcPr>
          <w:p>
            <w:r>
              <w:rPr>
                <w:sz w:val="18"/>
              </w:rPr>
              <w:t>68.8</w:t>
            </w:r>
          </w:p>
        </w:tc>
        <w:tc>
          <w:tcPr>
            <w:tcW w:type="dxa" w:w="960"/>
          </w:tcPr>
          <w:p>
            <w:r>
              <w:rPr>
                <w:sz w:val="18"/>
              </w:rPr>
              <w:t>63.2</w:t>
            </w:r>
          </w:p>
        </w:tc>
        <w:tc>
          <w:tcPr>
            <w:tcW w:type="dxa" w:w="960"/>
          </w:tcPr>
          <w:p>
            <w:r>
              <w:rPr>
                <w:sz w:val="18"/>
              </w:rPr>
              <w:t>79.8</w:t>
            </w:r>
          </w:p>
        </w:tc>
        <w:tc>
          <w:tcPr>
            <w:tcW w:type="dxa" w:w="960"/>
          </w:tcPr>
          <w:p>
            <w:r>
              <w:rPr>
                <w:sz w:val="18"/>
              </w:rPr>
              <w:t>87.6</w:t>
            </w:r>
          </w:p>
        </w:tc>
        <w:tc>
          <w:tcPr>
            <w:tcW w:type="dxa" w:w="960"/>
          </w:tcPr>
          <w:p>
            <w:r>
              <w:rPr>
                <w:sz w:val="18"/>
              </w:rPr>
              <w:t>87.3</w:t>
            </w:r>
          </w:p>
        </w:tc>
        <w:tc>
          <w:tcPr>
            <w:tcW w:type="dxa" w:w="960"/>
          </w:tcPr>
          <w:p>
            <w:r>
              <w:rPr>
                <w:sz w:val="18"/>
              </w:rPr>
              <w:t>90.8</w:t>
            </w:r>
          </w:p>
        </w:tc>
        <w:tc>
          <w:tcPr>
            <w:tcW w:type="dxa" w:w="960"/>
          </w:tcPr>
          <w:p>
            <w:r>
              <w:rPr>
                <w:sz w:val="18"/>
              </w:rPr>
              <w:t>92.1</w:t>
            </w:r>
          </w:p>
        </w:tc>
        <w:tc>
          <w:tcPr>
            <w:tcW w:type="dxa" w:w="960"/>
          </w:tcPr>
          <w:p>
            <w:r>
              <w:rPr>
                <w:sz w:val="18"/>
              </w:rPr>
              <w:t>93.5</w:t>
            </w:r>
          </w:p>
        </w:tc>
      </w:tr>
    </w:tbl>
    <w:p/>
    <w:p>
      <w:r>
        <w:t>### 4. Analysis</w:t>
      </w:r>
    </w:p>
    <w:p>
      <w:r>
        <w:t>**Accuracy Impact.** The accuracy degradation from Q8_0 to Q2_K is surprisingly modest across all model sizes. Match accuracy drops by only 0.7-1.5 percentage points on average—a statistically significant but practically negligible difference for most deployment scenarios. Action accuracy shows slightly larger gaps (2-11 percentage points at 0.5B), particularly at the smallest model size, but the difference narrows to 1.5 percentage points at 7B. This suggests that larger models are more robust to aggressive quantization, likely due to greater representational redundancy in their weight matrices.</w:t>
      </w:r>
    </w:p>
    <w:p>
      <w:r>
        <w:t>**Speed and Efficiency.** Q2_K consistently delivers faster inference than Q8_0, with speedups ranging from 1.24x (3B) to 1.40x (1.5B). The throughput advantage translates to proportionally lower energy consumption: Q2_K saves 25-28% energy across all model sizes. However, the absolute energy savings diminish with model size in practical terms—the 7B model at Q2_K still consumes 1,806.5 J, far exceeding the 0.5B model at Q8_0 (576.0 J).</w:t>
      </w:r>
    </w:p>
    <w:p>
      <w:r>
        <w:t>**Memory Anomaly at 0.5B.** A notable anomaly appears in the memory measurements for the 0.5B model: Q2_K reports higher average memory (1,164 MB) than Q8_0 (540 MB), and dramatically higher peak memory (2,605 MB vs 570 MB). This counter-intuitive result likely stems from Ollama's memory management overhead dominating the small model's actual weight memory, or from context window allocation artifacts at the boundary of measurement sensitivity. At 1.5B and above, memory scaling follows the expected pattern of Q8_0 &gt; Q2_K.</w:t>
      </w:r>
    </w:p>
    <w:p>
      <w:r>
        <w:t>**The Sweet Spot.** The 1.5B model at Q2_K emerges as an attractive operating point: it achieves 26.5% match accuracy and 42.0% action accuracy at just 810.3 J, making it more efficient than the 0.5B model at Q8_0 (19.0% match, 35.0% action, 576.0 J) while delivering substantially better accuracy. For memory-constrained deployments (e.g., 2 GB RAM budget), the 0.5B Q8_0 or 1.5B Q2_K represent viable choices.</w:t>
      </w:r>
    </w:p>
    <w:p>
      <w:r>
        <w:t>### 5. Key Findings</w:t>
      </w:r>
    </w:p>
    <w:p>
      <w:pPr>
        <w:pStyle w:val="ListNumber"/>
      </w:pPr>
      <w:r>
        <w:t>**Q2_K offers near-lossless accuracy** for models &gt;=1.5B parameters, with match accuracy degradation of only 0.7-1.0 percentage points compared to Q8_0.</w:t>
      </w:r>
    </w:p>
    <w:p>
      <w:pPr>
        <w:pStyle w:val="ListNumber"/>
      </w:pPr>
      <w:r>
        <w:t>**Aggressive quantization delivers 25-28% energy savings** with proportional inference speed improvements, making Q2_K the recommended precision for energy-constrained edge deployments.</w:t>
      </w:r>
    </w:p>
    <w:p>
      <w:pPr>
        <w:pStyle w:val="ListNumber"/>
      </w:pPr>
      <w:r>
        <w:t>**Memory savings from Q2_K are substantial** (~2.9x reduction in model file size) but the runtime memory advantage is partially offset by inference overhead at very small model sizes (&lt;1.5B).</w:t>
      </w:r>
    </w:p>
    <w:p>
      <w:pPr>
        <w:pStyle w:val="ListNumber"/>
      </w:pPr>
      <w:r>
        <w:t>**The 1.5B Q2_K configuration represents the optimal accuracy-efficiency-memory trade-off**, outperforming smaller models at higher precision on all metrics.</w:t>
      </w:r>
    </w:p>
    <w:p>
      <w:pPr>
        <w:pStyle w:val="ListNumber"/>
      </w:pPr>
      <w:r>
        <w:t>**Very small models (0.5B) exhibit anomalous memory behavior** under Q2_K, suggesting that quantization benefits require a minimum model complexity threshold to materialize fully.</w:t>
      </w:r>
    </w:p>
    <w:p>
      <w:r>
        <w:t>### References</w:t>
      </w:r>
    </w:p>
    <w:p>
      <w:r>
        <w:t>[1] ci_summary_v3.json — Quantization comparison benchmark with 95% CI from 4 replicates.</w:t>
        <w:br/>
        <w:t>[2] Dettmers, T. et al. QLoRA: Efficient Finetuning of Quantized LLMs. NeurIPS 2023.</w:t>
        <w:br/>
        <w:t>[3] Frantar, E. et al. GPTQ: Accurate Post-Training Quantization. ICLR 2023.</w:t>
      </w:r>
    </w:p>
    <w:p>
      <w:r>
        <w:br w:type="page"/>
      </w:r>
    </w:p>
    <w:p>
      <w:pPr>
        <w:pStyle w:val="Heading1"/>
      </w:pPr>
      <w:r>
        <w:t>Pareto Frontier Analysis</w:t>
      </w:r>
    </w:p>
    <w:p>
      <w:r>
        <w:t>The following Pareto frontier plots visualize the trade-offs between accuracy, speed, energy, and memory across configurations. The ★ marker indicates the recommended optimal configuration.</w:t>
      </w:r>
    </w:p>
    <w:p/>
    <w:p>
      <w:r>
        <w:drawing>
          <wp:inline xmlns:a="http://schemas.openxmlformats.org/drawingml/2006/main" xmlns:pic="http://schemas.openxmlformats.org/drawingml/2006/picture">
            <wp:extent cx="5029200" cy="3417563"/>
            <wp:docPr id="1" name="Picture 1"/>
            <wp:cNvGraphicFramePr>
              <a:graphicFrameLocks noChangeAspect="1"/>
            </wp:cNvGraphicFramePr>
            <a:graphic>
              <a:graphicData uri="http://schemas.openxmlformats.org/drawingml/2006/picture">
                <pic:pic>
                  <pic:nvPicPr>
                    <pic:cNvPr id="0" name="pareto_action_vs_avg_energy.png"/>
                    <pic:cNvPicPr/>
                  </pic:nvPicPr>
                  <pic:blipFill>
                    <a:blip r:embed="rId9"/>
                    <a:stretch>
                      <a:fillRect/>
                    </a:stretch>
                  </pic:blipFill>
                  <pic:spPr>
                    <a:xfrm>
                      <a:off x="0" y="0"/>
                      <a:ext cx="5029200" cy="3417563"/>
                    </a:xfrm>
                    <a:prstGeom prst="rect"/>
                  </pic:spPr>
                </pic:pic>
              </a:graphicData>
            </a:graphic>
          </wp:inline>
        </w:drawing>
      </w:r>
    </w:p>
    <w:p>
      <w:pPr>
        <w:jc w:val="center"/>
      </w:pPr>
      <w:r>
        <w:rPr>
          <w:b/>
        </w:rPr>
        <w:t>Figure: Action Vs Avg Energy</w:t>
      </w:r>
    </w:p>
    <w:p/>
    <w:p/>
    <w:p>
      <w:r>
        <w:drawing>
          <wp:inline xmlns:a="http://schemas.openxmlformats.org/drawingml/2006/main" xmlns:pic="http://schemas.openxmlformats.org/drawingml/2006/picture">
            <wp:extent cx="5029200" cy="3419729"/>
            <wp:docPr id="2" name="Picture 2"/>
            <wp:cNvGraphicFramePr>
              <a:graphicFrameLocks noChangeAspect="1"/>
            </wp:cNvGraphicFramePr>
            <a:graphic>
              <a:graphicData uri="http://schemas.openxmlformats.org/drawingml/2006/picture">
                <pic:pic>
                  <pic:nvPicPr>
                    <pic:cNvPr id="0" name="pareto_avg_match_vs_avg_time.png"/>
                    <pic:cNvPicPr/>
                  </pic:nvPicPr>
                  <pic:blipFill>
                    <a:blip r:embed="rId10"/>
                    <a:stretch>
                      <a:fillRect/>
                    </a:stretch>
                  </pic:blipFill>
                  <pic:spPr>
                    <a:xfrm>
                      <a:off x="0" y="0"/>
                      <a:ext cx="5029200" cy="3419729"/>
                    </a:xfrm>
                    <a:prstGeom prst="rect"/>
                  </pic:spPr>
                </pic:pic>
              </a:graphicData>
            </a:graphic>
          </wp:inline>
        </w:drawing>
      </w:r>
    </w:p>
    <w:p>
      <w:pPr>
        <w:jc w:val="center"/>
      </w:pPr>
      <w:r>
        <w:rPr>
          <w:b/>
        </w:rPr>
        <w:t>Figure: Avg Match Vs Avg Time</w:t>
      </w:r>
    </w:p>
    <w:p/>
    <w:p/>
    <w:p>
      <w:r>
        <w:drawing>
          <wp:inline xmlns:a="http://schemas.openxmlformats.org/drawingml/2006/main" xmlns:pic="http://schemas.openxmlformats.org/drawingml/2006/picture">
            <wp:extent cx="5029200" cy="3419729"/>
            <wp:docPr id="3" name="Picture 3"/>
            <wp:cNvGraphicFramePr>
              <a:graphicFrameLocks noChangeAspect="1"/>
            </wp:cNvGraphicFramePr>
            <a:graphic>
              <a:graphicData uri="http://schemas.openxmlformats.org/drawingml/2006/picture">
                <pic:pic>
                  <pic:nvPicPr>
                    <pic:cNvPr id="0" name="pareto_avg_match_vs_peak_mem.png"/>
                    <pic:cNvPicPr/>
                  </pic:nvPicPr>
                  <pic:blipFill>
                    <a:blip r:embed="rId11"/>
                    <a:stretch>
                      <a:fillRect/>
                    </a:stretch>
                  </pic:blipFill>
                  <pic:spPr>
                    <a:xfrm>
                      <a:off x="0" y="0"/>
                      <a:ext cx="5029200" cy="3419729"/>
                    </a:xfrm>
                    <a:prstGeom prst="rect"/>
                  </pic:spPr>
                </pic:pic>
              </a:graphicData>
            </a:graphic>
          </wp:inline>
        </w:drawing>
      </w:r>
    </w:p>
    <w:p>
      <w:pPr>
        <w:jc w:val="center"/>
      </w:pPr>
      <w:r>
        <w:rPr>
          <w:b/>
        </w:rPr>
        <w:t>Figure: Avg Match Vs Peak Mem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