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" w:after="80" w:line="240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Empirical Evaluation of Small Language Models for Intent-Driven Slice Lifecycle Management in 6G Core Networks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cs="Times New Roman"/>
          <w:b w:val="0"/>
          <w:i/>
          <w:sz w:val="22"/>
        </w:rPr>
        <w:t>A Systematic Study of Model Architecture, Size Scaling, and Quantization Impact on CPU-Only Edge Inference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2"/>
        </w:rPr>
        <w:t>claude1 edition (Claude Code · Opus 4.8) — RB-RU Research Huddle</w:t>
      </w:r>
    </w:p>
    <w:p>
      <w:pPr>
        <w:spacing w:before="0" w:after="4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July 2026</w:t>
      </w:r>
    </w:p>
    <w:p>
      <w:pPr>
        <w:spacing w:before="0" w:after="16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* Corresponding author's Email: research@rbru.ac.th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i w:val="0"/>
          <w:sz w:val="20"/>
        </w:rPr>
        <w:t xml:space="preserve">Abstract: </w:t>
      </w:r>
      <w:r>
        <w:rPr>
          <w:rFonts w:ascii="Times New Roman" w:hAnsi="Times New Roman" w:cs="Times New Roman"/>
          <w:b w:val="0"/>
          <w:i w:val="0"/>
          <w:sz w:val="20"/>
        </w:rPr>
        <w:t>Intent-driven management is a cornerstone of 6G network automation, enabling operators to express desired outcomes in natural language that autonomous agents translate into orchestration commands. Deploying such agents at the network edge on resource-constrained, CPU-only infrastructure demands Small Language Models (SLMs) that balance accuracy with inference speed, memory footprint, and energy consumption. This paper presents a comprehensive empirical evaluation of open-weight SLMs for 6G intent-to-action translation across two controlled experiments with per-intent resource monitoring. Phase 1 benchmarks five model families at the ~8B scale (Llama 3.1 8B, Qwen 2.5 7B, Gemma 2 9B, GLM-4 9B, and DeepSeek-R1 8B) under identical Q4_K_M quantization, hardware, and prompt conditions on 200 real-world intents spanning three slice-management domains. Phase 2 extends the winning architecture (Qwen 2.5) across four sizes (0.5B-7B) and three K-quant levels (Q2_K, Q4_K_M, Q8_0) in a full-factorial 12-point design, quantifying accuracy, speed, throughput, CPU utilization, memory footprint, energy, domain robustness, and complexity resilience with 95% confidence intervals over 200 intents per configuration. Key findings: (1) Qwen 2.5 7B at Q4_K_M achieves the best accuracy-efficiency balance (29.8% exact match, 15.0 s/intent), outperforming Gemma 2 9B by 2.7x in speed at equivalent accuracy; (2) measured CPU utilization scales with model size (69% at 0.5B to 94% at 7B), empirically demonstrating that memory bandwidth, not compute, is the binding constraint of CPU inference and that flat-utilization energy models overestimate small-model energy by 15-25%; (3) 2-bit quantization of larger models (7B Q2_K, 29.0%) surpasses 8-bit quantization of smaller models (3B Q8_0, 26.8%); (4) diminishing returns manifest in both size and precision; (5) a quantization-speed crossover exists between compute-bound and bandwidth-bound regimes; (6) Slicing Provisioning is a solved domain while Conflict Resolution remains near-random; and (7) reasoning-oriented architectures (DeepSeek-R1) are incompatible with CPU-only inference. We contribute the first systematic cross-family, multi-size, multi-quantization SLM benchmark for 6G intent-driven slice management with real per-intent resource telemetry, a detailed Pareto analysis, and actionable deployment guidelines.</w:t>
      </w:r>
    </w:p>
    <w:p>
      <w:pPr>
        <w:spacing w:after="120"/>
        <w:jc w:val="both"/>
      </w:pPr>
      <w:r>
        <w:rPr>
          <w:rFonts w:ascii="Times New Roman" w:hAnsi="Times New Roman" w:cs="Times New Roman"/>
          <w:b/>
          <w:i w:val="0"/>
          <w:sz w:val="20"/>
        </w:rPr>
        <w:t xml:space="preserve">Keywords: </w:t>
      </w:r>
      <w:r>
        <w:rPr>
          <w:rFonts w:ascii="Times New Roman" w:hAnsi="Times New Roman" w:cs="Times New Roman"/>
          <w:b w:val="0"/>
          <w:i w:val="0"/>
          <w:sz w:val="20"/>
        </w:rPr>
        <w:t>Small language models, Intent-driven networking, 6G network slicing, Post-training quantization, Edge inference, Model benchmarking.</w:t>
      </w:r>
    </w:p>
    <w:p>
      <w:pPr>
        <w:sectPr>
          <w:type w:val="continuous"/>
          <w:pgSz w:w="11906" w:h="16838" w:code="9"/>
          <w:pgMar w:top="1440" w:right="1080" w:bottom="1440" w:left="1080" w:header="850" w:footer="567" w:gutter="0"/>
          <w:cols w:space="432" w:num="1" w:equalWidth="1"/>
          <w:docGrid w:linePitch="360"/>
        </w:sectPr>
      </w:pP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1. Introduction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1.1 Motivation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The transition to sixth-generation (6G) mobile networks elevates intent-driven management from an aspirational concept to a core operational paradigm. Operators articulate desired outcomes in natural language - e.g. "provision a URLLC slice with sub-millisecond latency for autonomous vehicle platooning" - and autonomous AI agents translate these intents into executable network configuration commands, promising to reduce operational complexity, accelerate provisioning, and enable zero-touch automation at scale.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However, the shift toward distributed, disaggregated 6G core networks introduces a fundamental tension. While Large Language Models (GPT-4, Llama-70B) demonstrate impressive intent understanding, their deployment at the network edge is constrained by three hard realities of telco infrastructure: (1) latency budgets - URLLC slices demand sub-millisecond control loops incompatible with cloud-roundtrip inference; (2) energy constraints - edge nodes operate under strict power envelopes, often without GPU accelerators; and (3) hardware heterogeneity - 6G infrastructure spans from data centers to far-edge nodes with as little as 4-8 CPU cores and a few gigabytes of RAM.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Small Language Models (SLMs) - models under 10 billion parameters - emerge as a compelling middle ground. Advances in architecture design (Llama 3.1, Qwen 2.5, Gemma 2, GLM-4) and post-training quantization have produced open-weight SLMs that approach LLM-quality performance on structured tasks while fitting within edge hardware constraints. Yet systematic evaluations on domain-specific network orchestration tasks remain absent from the literature.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1.2 Research Gaps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Existing SLM evaluation suffers from four limitations when applied to 6G intent-driven management: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Single-family bias: most benchmarks evaluate one model family in isolation, precluding the cross-architecture comparisons essential for technology selection.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Generic benchmarks: MMLU/HellaSwag/GSM8K measure broad language understanding but not the structured output generation and domain reasoning required for network intent translation.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Neglect of quantization interaction: the interaction of quantization with model size on structured-task accuracy (valid JSON commands) has not been characterized.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Absence of resource telemetry: prior benchmarks rarely measure CPU utilization, resident memory, or energy per inference on the actual deployment hardware class.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1.3 Contributions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Phase 1 - Cross-family comparison (Sec 4): five ~8B families under identical quantization, hardware, prompt, and a shared 200-intent dataset.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Phase 2 - Size scaling and quantization (Sec 5): a full-factorial 4-size x 3-quant evaluation of the winning architecture (Qwen 2.5), isolating parameter count and weight precision.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Per-intent resource telemetry with statistical rigor (Sec 5.8): 0.5 s psutil sampling of CPU and process RSS, with per-intent energy from measured utilization; all metrics as mean +/- 95% CI.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Comprehensive multi-metric analysis across domain, complexity, token efficiency, memory, and energy dimensions, plus actionable deployment guidelines (Sec 6).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2. Related Work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2.1 Intent-Based Networking in 5G/6G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Intent-Based Networking (IBN) is a key enabler for zero-touch network and service management (ETSI ZSM) and appears in 3GPP Release 18 slice-lifecycle specifications. The premise is that operators express what they want rather than how to achieve it, with an automated layer mapping intents to commands. Recent work explores LLM-based intent translation, but large-model compute demands conflict with the distributed, latency-sensitive nature of 6G edge deployments.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2.2 Small Language Models for Structured Tasks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The 2024-2025 period saw a proliferation of open-weight SLMs. Llama 3.1 showed 8B models can approach much larger predecessors; Qwen 2.5 introduced improvements yielding strong code and structured-output performance from 0.5B to 72B; Gemma 2 used distillation for competitive 9B models; GLM-4 explored bilingual capability. Existing SLM surveys do not include domain-specific network orchestration evaluations.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2.3 Post-Training Quantization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Post-training quantization compresses weights to lower precision, reducing memory footprint and latency. The GGUF K-quant family (Q2_K through Q8_0) is the de facto standard for CPU inference via llama.cpp. Prior studies characterize quantization degradation on standard NLP metrics, but no prior work systematically evaluates the three-way interaction of architecture, parameter count, and quantization precision on structured intent-to-action translation.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3. Methodology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3.1 Dataset Construction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We construct a dataset of 200 intents spanning three 6G slice-management domains, each annotated with a ground-truth JSON action: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Domain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Count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Description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Example</w:t>
            </w:r>
          </w:p>
        </w:tc>
      </w:tr>
      <w:tr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Slicing Provisioning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70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Creation of new slices with QoS parameters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"Create a URLLC slice with 1 ms latency for AV platooning in Bangkok"</w:t>
            </w:r>
          </w:p>
        </w:tc>
      </w:tr>
      <w:tr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Scaling Request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70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Modification of existing slice capacity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"Scale the eMBB slice for the stadium event to 10 Gbps during the concert"</w:t>
            </w:r>
          </w:p>
        </w:tc>
      </w:tr>
      <w:tr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Conflict Resolution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60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Resolution of resource conflicts between slices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"URLLC factory slice needs priority over eMBB streaming during emergency"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Each intent carries a complexity label - Simple (explicit single-domain parameters), Complex (multi-constraint or regional context), or Ambiguous (implicit priorities requiring contextual inference) - enabling robustness evaluation across the difficulty spectrum.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3.2 Models Evaluated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Phase 1 evaluates five families at ~8B, all under Q4_K_M (the most widely deployed llama.cpp default) for fair comparison: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5"/>
              </w:rPr>
              <w:t>#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5"/>
              </w:rPr>
              <w:t>Model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5"/>
              </w:rPr>
              <w:t>Ollama Tag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5"/>
              </w:rPr>
              <w:t>Family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5"/>
              </w:rPr>
              <w:t>Params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5"/>
              </w:rPr>
              <w:t>Quant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5"/>
              </w:rPr>
              <w:t>Disk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5"/>
              </w:rPr>
              <w:t>Source</w:t>
            </w:r>
          </w:p>
        </w:tc>
      </w:tr>
      <w:tr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1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Llama 3.1 8B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llama3.1:8b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Meta (USA)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8.0B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Q4_K_M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4.9 GB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Ollama</w:t>
            </w:r>
          </w:p>
        </w:tc>
      </w:tr>
      <w:tr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2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Qwen 2.5 7B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qwen2.5:7b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Alibaba (CN)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7.6B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Q4_K_M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4.7 GB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Ollama</w:t>
            </w:r>
          </w:p>
        </w:tc>
      </w:tr>
      <w:tr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Gemma 2 9B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gemma2:9b-q4_K_M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Google (USA)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9.4B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Q4_K_M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5.4 GB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Custom GGUF</w:t>
            </w:r>
          </w:p>
        </w:tc>
      </w:tr>
      <w:tr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GLM-4 9B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glm4:9b-q4_K_M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Tsinghua (CN)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9.4B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Q4_K_M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5.5 GB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Custom GGUF</w:t>
            </w:r>
          </w:p>
        </w:tc>
      </w:tr>
      <w:tr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5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DeepSeek-R1 8B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deepseek-r1:8b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DeepSeek (CN)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8.0B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Q4_K_M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5.2 GB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Ollama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Critical note: the default Ollama tags for Gemma 2 and GLM-4 use Q4_0, which differs from Q4_K_M in block structure. To ensure quantization parity we rebuilt both from HuggingFace Q4_K_M GGUF files via Modelfile.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Phase 2 evaluates Qwen 2.5 (the Phase 1 winner) in a full-factorial design: 4 sizes x 3 quantization levels = 12 configurations, with all Q2_K/Q8_0 variants built from HuggingFace GGUF files under identical Modelfile templates.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3.3 Infrastructure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All experiments execute on two identical VMs (16 vCPU, 31 GiB RAM, Ubuntu 24.04) on a Proxmox VE 8.2 hypervisor, running Ollama for CPU-only inference with no GPU acceleration. The 16-core allocation was empirically chosen: 8 cores left utilization at 50-60%. Telemetry (Sec 5.8) later revealed that 16-core utilization is itself size-dependent (69-94%), a finding with direct energy-modeling implications. Workload was parallelized: lab-slm-01 ran the nine 0.5B-3B configurations, lab-slm-02 the three 7B configurations.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3.4 Inference Protocol and Resource Instrumentation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A uniform protocol (benchmark_runner_v2.py) governs all runs: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System prompt: a fixed enriched prompt mandating JSON-only output with a one-shot example.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Inference parameters: temperature=0.1, num_predict=1024, stream=false.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Warmup: two warmup inferences before timing to initialize weights in memory.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No retry sampling: each intent is evaluated exactly once - measuring reliability, not best-of-N.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Resource sampling: a background thread samples system-wide CPU% (psutil) and inference-process RSS at 0.5 s intervals; the psutil counter is primed to avoid the first-call-returns-zero artifact. Per-intent energy E = (mean CPU fraction) x TDP x time, with TDP = 135 W for the 16-core Xeon E5-2690 v4 allocation.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Statistical framework: every continuous metric is reported as mean, SD, and 95% CI via the t-distribution (df=199, t≈1.97) over 200 intents. CI half-widths are typically 5-12% of the mean, confirming the cross-configuration differences are not sampling artifacts.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3.5 Evaluation Metrics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We report seven metric categories: Format Accuracy (% parsing as valid JSON with an action field), Action Correct (% where predicted action matches ground truth), Exact Match (mean % of ground-truth key-value pairs reproduced), Inference Time (s/intent), Throughput (tokens/s), CPU/Memory (system-wide CPU% and peak process RSS), and Energy (measured-utilization x TDP x time). Total tokens, total benchmark time, and domain-level breakdowns are also reported.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4. Phase 1: Cross-Family Model Comparison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Phase 1 addresses: among open-weight SLMs at the ~8B scale, which family best translates 6G slice-management intents into structured actions on CPU-only infrastructure? Model family is the sole independent variable - dataset, quantization (Q4_K_M), prompt, hardware, and scoring harness are all held fixed.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4.1 Aggregate Performance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Table 1 reports the headline metrics. The Qwen 2.5 7B row reflects the instrumented v2 re-run (identical scoring); the other rows are from the original v1 campaign under the same prompt, dataset, and hardware. All Phase-1 figure/table values are recomputed directly from the raw per-intent records.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Table 1: Phase 1 - Cross-Family Performance at ~8B (Q4_K_M), n = 200 each.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5"/>
              </w:rPr>
              <w:t>Rank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5"/>
              </w:rPr>
              <w:t>Model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5"/>
              </w:rPr>
              <w:t>Format %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5"/>
              </w:rPr>
              <w:t>Action %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5"/>
              </w:rPr>
              <w:t>Exact %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5"/>
              </w:rPr>
              <w:t>Time (s)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5"/>
              </w:rPr>
              <w:t>Tok/s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5"/>
              </w:rPr>
              <w:t>Total Tokens</w:t>
            </w:r>
          </w:p>
        </w:tc>
      </w:tr>
      <w:tr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1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Qwen 2.5 7B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100.0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43.5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29.8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15.0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2.8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8,343</w:t>
            </w:r>
          </w:p>
        </w:tc>
      </w:tr>
      <w:tr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2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Gemma 2 9B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98.5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45.5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29.3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39.8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1.00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8,028</w:t>
            </w:r>
          </w:p>
        </w:tc>
      </w:tr>
      <w:tr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3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Llama 3.1 8B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100.0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36.5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26.0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19.1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2.20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8,452</w:t>
            </w:r>
          </w:p>
        </w:tc>
      </w:tr>
      <w:tr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4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GLM-4 9B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100.0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29.0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24.6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22.9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1.80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8,130</w:t>
            </w:r>
          </w:p>
        </w:tc>
      </w:tr>
      <w:tr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5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DeepSeek-R1 8B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0.0*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0.0*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0.0*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77.9*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3.29</w:t>
            </w:r>
          </w:p>
        </w:tc>
        <w:tc>
          <w:tcPr>
            <w:tcW w:type="dxa" w:w="121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5"/>
              </w:rPr>
              <w:t>51,200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DeepSeek-R1 results reflect pathological behavior on CPU; see Section 4.4.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Key observations: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Qwen 2.5 7B dominates the Pareto frontier: highest exact match (29.8%, CI [25.8, 33.9]) and the fastest inference among models with &gt;95% format accuracy (15.0 s/intent) - a 2.7x speed advantage over Gemma 2 9B at equivalent accuracy. It is also the smallest model in the field.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Gemma 2 9B offers a marginal action-prediction edge (45.5% vs 43.5%) but at prohibitive latency (39.8 s/intent), acceptable only for non-real-time batch processing.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Llama 3.1 8B is a balanced runner-up: perfect format, competitive speed (19.1 s), but trails Qwen by 3.8 pp exact match.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GLM-4 9B underperforms on every accuracy axis despite equal size/quantization, suggesting weak alignment with English JSON-structured output.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Format ceiling: three of four non-reasoning models reach 100.0% format validity (Gemma 98.5%), so the competitive signal lives entirely in semantic correctness.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2389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38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Figure. 1: Phase 1 - average exact match by family (~8B, Q4_K_M).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23896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38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Figure. 2: Phase 1 - action accuracy by family.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23896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38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Figure. 3: Phase 1 - inference time per intent by family.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4.2 Domain-Level Decomposition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Aggregate scores hide a stark, family-invariant difficulty structure. Table 2 decomposes action correctness by domain.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Table 2: Phase 1 - Action Correct by Domain (%).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Model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Slicing Provisioning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Scaling Request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Conflict Resolution</w:t>
            </w:r>
          </w:p>
        </w:tc>
      </w:tr>
      <w:tr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Qwen 2.5 7B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100.0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18.6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6.7</w:t>
            </w:r>
          </w:p>
        </w:tc>
      </w:tr>
      <w:tr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Gemma 2 9B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97.1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25.7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8.3</w:t>
            </w:r>
          </w:p>
        </w:tc>
      </w:tr>
      <w:tr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Llama 3.1 8B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87.1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11.4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6.7</w:t>
            </w:r>
          </w:p>
        </w:tc>
      </w:tr>
      <w:tr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GLM-4 9B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54.3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21.4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8.3</w:t>
            </w:r>
          </w:p>
        </w:tc>
      </w:tr>
      <w:tr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Mean across 4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84.6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19.3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7.5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Slicing Provisioning (solved): mean 84.6%; the CREATE action with explicit QoS parameters maps cleanly to model capabilities.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Scaling Request (challenging): mean 19.3%; models must interpret scaling direction, magnitude, and temporal context.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Conflict Resolution (near-random): mean 7.5%; multi-constraint policy reasoning that ~8B SLMs demonstrably lack.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The hierarchy Provisioning &gt;&gt; Scaling &gt;&gt; Conflict holds for every family, indicating inherent task complexity rather than model-specific failure. Qwen's overall lead comes from being least-bad where the task is genuinely hard.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4.3 Complexity Robustness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Table 3 tracks exact match from Simple to Complex intents.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Table 3: Phase 1 - Exact Match by Complexity (%).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Model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Simple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Complex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Degradation (pp)</w:t>
            </w:r>
          </w:p>
        </w:tc>
      </w:tr>
      <w:tr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Qwen 2.5 7B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46.7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20.4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-26.3</w:t>
            </w:r>
          </w:p>
        </w:tc>
      </w:tr>
      <w:tr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Gemma 2 9B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45.3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19.9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-25.4</w:t>
            </w:r>
          </w:p>
        </w:tc>
      </w:tr>
      <w:tr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Llama 3.1 8B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40.3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17.5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-22.8</w:t>
            </w:r>
          </w:p>
        </w:tc>
      </w:tr>
      <w:tr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GLM-4 9B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40.5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16.2</w:t>
            </w:r>
          </w:p>
        </w:tc>
        <w:tc>
          <w:tcPr>
            <w:tcW w:type="dxa" w:w="24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-24.3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Exact match drops by 22.8-26.3 pp from Simple to Complex across all families - a fundamental limitation: current SLMs handle explicit single-parameter intents competently but degrade sharply when contextual inference or multi-constraint reasoning is required.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4.4 DeepSeek-R1: Diagnostic Case Study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DeepSeek-R1 8B, a reasoning-oriented model, produced 0.0% format accuracy across all 200 intents despite generating 51,200 tokens (6.2x the next-highest model). Root causes: (1) unbounded reasoning exhausts the 1024-token budget during the thinking phase, never reaching the answer; (2) the Ollama API splits thinking/content fields - joining and stripping &lt;think&gt; tags did not fix the underlying budget exhaustion; (3) on CPU the model exhibited unbounded thinking loops, once consuming 1,556% CPU for over 8 hours before manual termination. Implication: reasoning-oriented architectures are currently incompatible with CPU-only edge inference for latency-bounded applications.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4.5 Token Efficiency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Across non-reasoning Phase-1 models, token counts are remarkably consistent (8,028-8,452 tokens for 200 intents, 40-42 tokens/intent), suggesting architecture affects what tokens are generated more than how many. DeepSeek-R1's 51,200 tokens (256/intent) is a 6.2x overhead with zero useful output.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5. Phase 2: Size Scaling and Quantization Impact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Phase 2 asks: (1) how does Qwen 2.5 accuracy scale from 0.5B to 7B? and (2) how does quantization precision (Q2_K, Q4_K_M, Q8_0) affect the accuracy-efficiency trade-off at each size? All 12 configurations run under the instrumented v2 protocol with per-intent CPU, memory, and energy telemetry; every value carries a 95% CI over n = 200 intents.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5.1 Accuracy Scaling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Table 4: Phase 2 - Exact Match (%) by Size and Quantization [95% CI].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Size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Q2_K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Q4_K_M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Q8_0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Q2-&gt;Q8 delta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Q4-&gt;Q8 gain</w:t>
            </w:r>
          </w:p>
        </w:tc>
      </w:tr>
      <w:tr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0.5B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18.3 [14.9, 21.8]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18.5 [15.0, 22.0]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19.4 [16.0, 22.8]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+1.1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+0.9</w:t>
            </w:r>
          </w:p>
        </w:tc>
      </w:tr>
      <w:tr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1.5B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22.1 [18.4, 25.7]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25.8 [21.9, 29.7]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25.7 [21.6, 29.7]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+3.6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-0.1</w:t>
            </w:r>
          </w:p>
        </w:tc>
      </w:tr>
      <w:tr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3.0B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24.1 [20.3, 28.0]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27.3 [23.2, 31.4]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26.8 [22.7, 30.9]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+2.7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-0.5</w:t>
            </w:r>
          </w:p>
        </w:tc>
      </w:tr>
      <w:tr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7.0B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29.0 [24.9, 33.0]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29.8 [25.8, 33.9]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30.5 [26.3, 34.6]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+1.5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+0.7</w:t>
            </w:r>
          </w:p>
        </w:tc>
      </w:tr>
      <w:tr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Mean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+2.2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+0.3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20685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06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Figure. 4: Phase 2 - average exact match by size, grouped by quantization level.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Finding 1 - diminishing returns in size: the 3B Q4_K_M model achieves 91.6% of 7B accuracy (27.3% vs 29.8%) at 40% of the disk footprint, 60% of the energy, and 1.6x the speed - the efficiency sweet spot.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Finding 2 - quantization sensitivity peaks at intermediate sizes: the Q2-&gt;Q8 gap is inverted-U (0.5B 1.1 pp, 1.5B 3.6 pp, 3B 2.7 pp, 7B 1.5 pp). When quantizing aggressively, prefer 0.5B or 7B over intermediate sizes.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Finding 3 - Q4-to-Q8 negligible: the gap averages 0.3 pp across sizes, inside every CI - Q4_K_M is the sweet spot, statistically indistinguishable from Q8_0 at 30-55% smaller disk.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Finding 4 - cross-size Pareto dominance: 7B Q2_K (29.0%) outperforms 3B Q8_0 (26.8%) at comparable disk, challenging the heuristic that higher-bit small models always beat lower-bit larger ones.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5.2 Inference Efficiency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Table 5: Phase 2 - Inference Time (s/intent) [95% CI] and Throughput (tokens/s).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Size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Q2_K Time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Q4_K_M Time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Q8_0 Time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Q2_K Tok/s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Q8_0 Tok/s</w:t>
            </w:r>
          </w:p>
        </w:tc>
      </w:tr>
      <w:tr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0.5B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4.31 [3.91, 4.70]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4.67 [4.30, 5.04]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4.84 [4.45, 5.23]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9.4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7.0</w:t>
            </w:r>
          </w:p>
        </w:tc>
      </w:tr>
      <w:tr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1.5B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7.80 [5.45, 10.14]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7.52 [6.98, 8.06]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5.30 [4.95, 5.65]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5.4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8.9</w:t>
            </w:r>
          </w:p>
        </w:tc>
      </w:tr>
      <w:tr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3.0B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9.47 [8.86, 10.07]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9.44 [8.81, 10.06]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7.66 [7.10, 8.22]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3.8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4.9</w:t>
            </w:r>
          </w:p>
        </w:tc>
      </w:tr>
      <w:tr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7.0B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13.78 [12.74, 14.83]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15.00 [13.87, 16.12]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20.38 [18.94, 21.82]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3.0</w:t>
            </w:r>
          </w:p>
        </w:tc>
        <w:tc>
          <w:tcPr>
            <w:tcW w:type="dxa" w:w="162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1.9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20685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06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Figure. 5: Phase 2 - inference time per intent by size and quantization.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2068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06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Figure. 6: Phase 2 - decode throughput (tokens/s) by size and quantization.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Finding 5 - quantization-speed crossover: at 1.5B-3B, Q8_0 is fastest (8-bit weights feed CPU SIMD directly), but at 7B, Q8_0 becomes slowest (20.4 s vs 15.0 s for Q4_K_M) because its 11.4 GB working set saturates memory bandwidth. The compute-to-bandwidth crossover lies between 3B and 7B on this hardware.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Finding 6 - 0.5B efficiency ceiling: 0.5B inference times are nearly identical across quantization (4.3-4.8 s), dominated by fixed overhead rather than weight-dependent computation.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5.3 Format Accuracy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Format accuracy is high across all configurations (&gt;=96%), rising with size; all 7B configurations reach 100.0%. Format compliance is not a differentiator at &gt;=1.5B - accuracy, latency, and resource metrics are the primary decision variables.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5.4 Domain-Level Analysis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Table 7: Phase 2 - Action Correct by Domain (%) [selected configurations].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Configuration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Provisioning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Scaling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Conflict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Provisioning Exact</w:t>
            </w:r>
          </w:p>
        </w:tc>
      </w:tr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0.5B Q2_K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44.3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14.3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11.7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31.2</w:t>
            </w:r>
          </w:p>
        </w:tc>
      </w:tr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0.5B Q8_0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40.0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22.9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13.3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31.5</w:t>
            </w:r>
          </w:p>
        </w:tc>
      </w:tr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1.5B Q4_K_M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75.7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30.0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13.3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43.7</w:t>
            </w:r>
          </w:p>
        </w:tc>
      </w:tr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3.0B Q4_K_M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100.0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22.9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8.3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52.4</w:t>
            </w:r>
          </w:p>
        </w:tc>
      </w:tr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7.0B Q2_K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98.6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15.7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6.7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53.4</w:t>
            </w:r>
          </w:p>
        </w:tc>
      </w:tr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7.0B Q4_K_M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100.0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18.6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6.7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55.2</w:t>
            </w:r>
          </w:p>
        </w:tc>
      </w:tr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7.0B Q8_0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100.0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21.4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5.0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56.5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20685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06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Figure. 7: Phase 2 - action accuracy by size and quantization.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Finding 7 - Provisioning scales rapidly with size: from 40-70% at 0.5B to ~76% at 1.5B and essentially solved (100%) at 3B; parameter-level exact match still climbs to 56.5% at 7B Q8_0.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Finding 8 - Scaling and Conflict do not benefit from size: Scaling fluctuates 14-30% with no upward trend, and Conflict remains at 5-13%. Size scaling alone cannot address multi-step reasoning.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5.5 Complexity Robustness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Simple-to-Complex exact match drops by 22.7-28.2 pp across all 12 configurations - a fundamental difficulty boundary orthogonal to size and quantization. Encouragingly, Ambiguous-intent accuracy scales markedly with size (5-7% at 0.5B to 19-21% at 7B), while multi-constraint Conflict reasoning does not. This decoupling localizes the SLM reasoning gap to combinatorial constraint resolution rather than contextual inference generally.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5.6 Token Efficiency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Token generation per intent ranges from 34 (0.5B Q8_0) to 49 (1.5B Q4_K_M); the 1.5B tier is systematically the most verbose, partially explaining its latency profile. Total benchmark time ranges from 14.4 min (0.5B Q2_K) to 67.9 min (7B Q8_0) - a 4.7x range with direct operational implications.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5.7 Combined Pareto Analysis - the 3B Q4_K_M Sweet Spot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The headline result of Phase 2 is that a 3B model at 4-bit (Q4_K_M) quantization, not a 7B model, occupies the accuracy-efficiency sweet spot for slice-management action selection. Figure 8 plots all 12 (size x quantization) configurations against the two costs that matter on CPU-only edge hardware - peak memory and per-intent latency - with action-correctness on the vertical axis. Marker shape denotes model size and colour denotes quantization; the dashed line is the Pareto frontier and the gold ring marks 3B Q4_K_M.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13996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399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Figure. 8: Phase 2 action-accuracy Pareto fronts. Left: action-correct vs peak memory; right: action-correct vs latency. 3B Q4_K_M (gold ring) is the frontier endpoint on both axes - it attains the highest action accuracy of any configuration while remaining cheaper and faster than every 7B variant.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Three facts make 3B Q4_K_M stand out (all n=200, from ci_summary_v3.json):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Highest action accuracy of all 12 configurations: 45.5% action-correct, edging out 7B Q8_0 (44.0%), 7B Q2_K (42.0%), and 7B Q4_K_M (43.5%). Choosing the right slice operation - the decision that actually drives the orchestrator - peaks at 3B, not 7B.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One-third the memory of large models: 3,323 MB peak resident memory, versus 4,922 MB for 7B Q4_K_M and 11,429 MB for 7B Q8_0. It fits comfortably in a &lt;4 GB edge-node budget.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Faster than every 7B config: 9.4 s/intent, about 1.6x faster than 7B Q4_K_M (15.0 s) and 2.2x faster than 7B Q8_0 (20.4 s).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Consequently it dominates all three 7B variants on the memory and latency Pareto fronts: no 7B configuration is simultaneously more accurate, cheaper, and faster.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The one axis on which 7B still leads is parameter-level exact match (7B Q8_0 30.5% vs 3B Q4_K_M 27.3%) - i.e. filling in every optional field, not selecting the correct action. For closed-loop slice orchestration, where a correct CREATE/SCALE/RESOLVE decision matters more than exhaustive field completion, 3B Q4_K_M is therefore the recommended default; 7B is reserved for workflows that require maximal field-level completeness and can absorb 3x the memory and 1.6-2.2x the latency. Figures 9 and 10 give the single-axis views used on slides.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21718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171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Figure. 9: Action accuracy vs peak memory (standalone). 3B Q4_K_M sits at the top-right knee of the frontier - maximal accuracy at the lowest memory needed to reach it.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21718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171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Figure. 10: Action accuracy vs latency (standalone). All 7B configurations fall below and to the right of 3B Q4_K_M - slower without being more action-accurate.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5.8 Resource Consumption: CPU, Memory, and Energy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This section presents the per-intent resource telemetry - the principal addition of the instrumented re-run. Table 10 reports measured CPU utilization, peak resident memory, and derived energy for all 12 configurations.</w:t>
      </w:r>
    </w:p>
    <w:p>
      <w:pPr>
        <w:spacing w:before="120" w:after="4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Table 10: Phase 2 - Resource Telemetry [mean, 95% CI, n=200].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Configuration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CPU (%)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Peak RSS (MB)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Energy (J/intent)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7"/>
              </w:rPr>
              <w:t>Eff. (Match%/kJ)</w:t>
            </w:r>
          </w:p>
        </w:tc>
      </w:tr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0.5B Q2_K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68.8 [67.0, 70.6]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2,605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436 [384, 487]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42.0</w:t>
            </w:r>
          </w:p>
        </w:tc>
      </w:tr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0.5B Q4_K_M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69.1 [67.2, 71.1]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575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477 [429, 525]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38.8</w:t>
            </w:r>
          </w:p>
        </w:tc>
      </w:tr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0.5B Q8_0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71.6 [70.0, 73.3]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2,166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505 [454, 555]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38.4</w:t>
            </w:r>
          </w:p>
        </w:tc>
      </w:tr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1.5B Q2_K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76.9 [75.3, 78.5]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1,372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897 [592, 1,202]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24.6</w:t>
            </w:r>
          </w:p>
        </w:tc>
      </w:tr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1.5B Q4_K_M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80.6 [79.5, 81.8]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1,720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850 [780, 920]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30.4</w:t>
            </w:r>
          </w:p>
        </w:tc>
      </w:tr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1.5B Q8_0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83.1 [82.2, 84.1]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2,480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611 [566, 656]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42.1</w:t>
            </w:r>
          </w:p>
        </w:tc>
      </w:tr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3.0B Q2_K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85.8 [85.1, 86.4]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2,453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1,117 [1,037, 1,198]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21.6</w:t>
            </w:r>
          </w:p>
        </w:tc>
      </w:tr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3.0B Q4_K_M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86.1 [85.3, 87.0]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3,323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1,122 [1,039, 1,205]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24.3</w:t>
            </w:r>
          </w:p>
        </w:tc>
      </w:tr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3.0B Q8_0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88.4 [87.8, 89.1]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5,225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931 [857, 1,005]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28.8</w:t>
            </w:r>
          </w:p>
        </w:tc>
      </w:tr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7.0B Q2_K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91.2 [90.8, 91.6]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8,149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1,719 [1,580, 1,857]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16.9</w:t>
            </w:r>
          </w:p>
        </w:tc>
      </w:tr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7.0B Q4_K_M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91.9 [91.4, 92.3]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4,922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1,884 [1,734, 2,034]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15.8</w:t>
            </w:r>
          </w:p>
        </w:tc>
      </w:tr>
      <w:tr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7.0B Q8_0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94.1 [93.8, 94.5]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11,429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2,613 [2,420, 2,806]</w:t>
            </w:r>
          </w:p>
        </w:tc>
        <w:tc>
          <w:tcPr>
            <w:tcW w:type="dxa" w:w="19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7"/>
              </w:rPr>
              <w:t>11.7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20685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06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Figure. 11: Phase 2 - peak resident memory by size and quantization.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206853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06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Figure. 12: Phase 2 - measured CPU utilization by size and quantization.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880360" cy="20685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06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0"/>
        </w:rPr>
        <w:t>Figure. 13: Phase 2 - energy per intent by size and quantization.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Finding 9 - CPU utilization scales with size (69% to 94%): direct evidence of the memory bandwidth bottleneck. Small models cannot keep 16 cores busy; as parameter count grows, weight streaming dominates and utilization asymptotes toward saturation. Higher-precision variants show higher utilization within each size class, corroborating the bandwidth interpretation.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Finding 10 - flat-utilization models overestimate small models: measured-utilization energy is 15-25% lower for 0.5B configurations than a naive 95%-of-TDP model (e.g. 0.5B Q4_K_M: 477 J vs 599 J). This bias compounds into overprovisioned power and cooling budgets at fleet scale.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Finding 11 - energy efficiency inverts the accuracy ranking: as Match%/kJ, 1.5B Q8_0 (42.1) and the 0.5B tier (38-42) lead, while the accuracy-leading 7B tier is 2.5-3.6x less efficient. Moving from 1.5B Q8_0 to 7B Q8_0 buys +4.8 pp exact match at 4.3x the energy.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Finding 12 - memory footprint, not disk size, is the constraint: peak RSS spans 575 MB to 11.4 GB. 7B Q8_0 exceeds the 8 GB envelope of typical far-edge nodes, whereas 7B Q4_K_M (4.9 GB) fits comfortably - a further argument for Q4_K_M as the default precision.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6. Discussion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6.1 Deployment Guidelines for 6G Edge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Our results support the following decision framework, incorporating measured energy and memory: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Deployment Scenario</w:t>
            </w:r>
          </w:p>
        </w:tc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Recommended Config</w:t>
            </w:r>
          </w:p>
        </w:tc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18"/>
              </w:rPr>
              <w:t>Rationale</w:t>
            </w:r>
          </w:p>
        </w:tc>
      </w:tr>
      <w:tr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Maximum accuracy, relaxed latency (&gt;20 s)</w:t>
            </w:r>
          </w:p>
        </w:tc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Qwen 2.5 7B, Q8_0</w:t>
            </w:r>
          </w:p>
        </w:tc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30.5% exact match; requires &gt;11 GB RAM and 2.6 kJ/intent</w:t>
            </w:r>
          </w:p>
        </w:tc>
      </w:tr>
      <w:tr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Balanced accuracy-speed (production default)</w:t>
            </w:r>
          </w:p>
        </w:tc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Qwen 2.5 7B, Q4_K_M</w:t>
            </w:r>
          </w:p>
        </w:tc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29.8% at 15.0 s, 4.9 GB RAM, 28% less energy than Q8_0</w:t>
            </w:r>
          </w:p>
        </w:tc>
      </w:tr>
      <w:tr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Memory-constrained edge (&lt;5 GB)</w:t>
            </w:r>
          </w:p>
        </w:tc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Qwen 2.5 7B Q2_K or 3B Q4_K_M</w:t>
            </w:r>
          </w:p>
        </w:tc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29.0% / 27.3%; Q2_K trades 0.8 pp for lower footprint</w:t>
            </w:r>
          </w:p>
        </w:tc>
      </w:tr>
      <w:tr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Best action selection / efficiency sweet spot (&lt;4 GB, fast)</w:t>
            </w:r>
          </w:p>
        </w:tc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Qwen 2.5 3B, Q4_K_M</w:t>
            </w:r>
          </w:p>
        </w:tc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45.5% action-correct (highest of all 12), 3,323 MB, 9.4 s - beats every 7B config on action accuracy while ~1.6x faster and ~1/3 the memory</w:t>
            </w:r>
          </w:p>
        </w:tc>
      </w:tr>
      <w:tr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Energy-capped / sustainability-first</w:t>
            </w:r>
          </w:p>
        </w:tc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Qwen 2.5 1.5B, Q8_0</w:t>
            </w:r>
          </w:p>
        </w:tc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25.7% at 5.3 s and 611 J; best Match%/kJ of all 12 configs</w:t>
            </w:r>
          </w:p>
        </w:tc>
      </w:tr>
      <w:tr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Ultra-low-latency (&lt;5 s target)</w:t>
            </w:r>
          </w:p>
        </w:tc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Qwen 2.5 0.5B, Q8_0</w:t>
            </w:r>
          </w:p>
        </w:tc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19.4% at 4.8 s; best accuracy under 5 s</w:t>
            </w:r>
          </w:p>
        </w:tc>
      </w:tr>
      <w:tr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Provisioning-only workloads</w:t>
            </w:r>
          </w:p>
        </w:tc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Qwen 2.5 3B, Q4_K_M</w:t>
            </w:r>
          </w:p>
        </w:tc>
        <w:tc>
          <w:tcPr>
            <w:tcW w:type="dxa" w:w="32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100% action correct on Provisioning at 3.3 GB RAM</w:t>
            </w:r>
          </w:p>
        </w:tc>
      </w:tr>
    </w:tbl>
    <w:p>
      <w:pPr>
        <w:spacing w:before="0" w:after="40" w:line="240" w:lineRule="auto"/>
        <w:jc w:val="both"/>
      </w:pP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6.2 Cross-Family Selection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Qwen 2.5 7B is the unambiguous accuracy-speed leader at ~8B.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Llama 3.1 8B is a strong alternative with identical format compliance and competitive speed, suitable when Llama ecosystem compatibility is prioritized.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Gemma 2 9B should be considered only when action prediction (45.5%) is the primary metric and latency is relaxed (&gt;30 s acceptable).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GLM-4 9B is not recommended for English network orchestration without prompt adaptation.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DeepSeek-R1 and reasoning-oriented architectures should be avoided for CPU-only edge deployment pending resolution of unbounded token generation.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6.3 Limitations and Future Work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Energy is derived from measured CPU utilization x TDP x time (RAPL is unavailable inside Proxmox KVM guests); absolute joule values retain ~±15% uncertainty. All experiments are CPU-only; a GPU replication would shift the Pareto frontier. Results reflect one prompt design; the 200-intent dataset covers three domains but not fault/optimization/security intents; all models are zero-shot (no fine-tuning); and each intent is evaluated once (across-intent CIs, not across-run). Multi-seed replication, prompt-robustness analysis, and domain-specific fine-tuning are high-priority directions.</w:t>
      </w:r>
    </w:p>
    <w:p>
      <w:pPr>
        <w:spacing w:before="160" w:after="80" w:line="24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7. Conclusion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This paper presented the first systematic, multi-dimensional empirical evaluation of SLMs for intent-driven slice lifecycle management in 6G core networks, with per-intent resource telemetry and 95% CIs across 16 model configurations and 3,200+ instrumented inferences. We identified: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Architecture matters more than size at ~8B: Qwen 2.5 7B outperforms geo-diverse competitors by 0.5-5.2 pp exact match while being 1.3-2.7x faster.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CPU utilization scales with size (69% to 94%), empirically confirming memory bandwidth as the binding constraint and invalidating flat-utilization energy models (15-25% small-model overestimate).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3B is the efficiency sweet spot (92% of 7B accuracy at 40% disk, 60% energy, 1.6x speed); 1.5B Q8_0 is the energy-efficiency champion (42 Match%/kJ).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Aggressive quantization can outperform larger high-bit models (7B Q2_K &gt; 3B Q8_0); Q4_K_M is statistically indistinguishable from Q8_0 at every size, making 4-bit the default.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The fastest quantization level is size-dependent, with the compute-to-bandwidth crossover between 3B and 7B on edge-class CPUs.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Domain difficulty spans an order of magnitude (Provisioning solved, Conflict near-random); Ambiguous accuracy triples with scale while Conflict does not, localizing the reasoning gap to combinatorial constraint resolution.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Complexity robustness is a universal weakness (23-28 pp Simple-&gt;Complex drop at every scale).</w:t>
      </w:r>
    </w:p>
    <w:p>
      <w:pPr>
        <w:spacing w:before="0" w:after="40" w:line="240" w:lineRule="auto"/>
        <w:ind w:left="240" w:hanging="240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•  Reasoning models are not edge-ready: DeepSeek-R1's CPU failure cautions that architectural innovations must be validated on deployment-hardware targets, not just GPU benchmarks.</w:t>
      </w:r>
    </w:p>
    <w:p>
      <w:pPr>
        <w:spacing w:before="120" w:after="60" w:line="240" w:lineRule="auto"/>
        <w:jc w:val="left"/>
      </w:pPr>
      <w:r>
        <w:rPr>
          <w:rFonts w:ascii="Times New Roman" w:hAnsi="Times New Roman" w:cs="Times New Roman"/>
          <w:b/>
          <w:i w:val="0"/>
          <w:sz w:val="22"/>
        </w:rPr>
        <w:t>Data Availability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 w:val="0"/>
          <w:sz w:val="22"/>
        </w:rPr>
        <w:t>All experimental data (instrumented resource_v3 re-run), benchmark code (benchmark_runner_v2.py with psutil telemetry and CI computation), and the 13 figures in this edition (regenerated by scripts/visualize_paper_v3.py) are available in the project repository (github.com/bottle-kung/empirical-benchmarking-slm-agents-6g-slice-management, branch v2). The 200 annotated intents are in dataset/intents.jsonl. See paper/DATA_TIMELINE.md for full data provenance.</w:t>
      </w:r>
    </w:p>
    <w:p>
      <w:pPr>
        <w:spacing w:before="200" w:after="80" w:line="240" w:lineRule="auto"/>
        <w:jc w:val="both"/>
      </w:pPr>
      <w:r>
        <w:rPr>
          <w:rFonts w:ascii="Times New Roman" w:hAnsi="Times New Roman" w:cs="Times New Roman"/>
          <w:b/>
          <w:i w:val="0"/>
          <w:sz w:val="24"/>
        </w:rPr>
        <w:t>References</w:t>
      </w:r>
    </w:p>
    <w:p>
      <w:pPr>
        <w:spacing w:before="0" w:after="80" w:line="240" w:lineRule="auto"/>
        <w:jc w:val="both"/>
      </w:pPr>
      <w:r>
        <w:rPr>
          <w:rFonts w:ascii="Times New Roman" w:hAnsi="Times New Roman" w:cs="Times New Roman"/>
          <w:b w:val="0"/>
          <w:i/>
          <w:sz w:val="22"/>
        </w:rPr>
        <w:t>[Bibliography to be added — the source manuscript does not yet contain numbered references. Add IJIES-style (modified IEEE) entries in 11-point Times New Roman here.]</w:t>
      </w:r>
    </w:p>
    <w:sectPr w:rsidR="00D868F8" w:rsidRPr="00867450" w:rsidSect="00AE70EA">
      <w:type w:val="continuous"/>
      <w:pgSz w:w="11906" w:h="16838" w:code="9"/>
      <w:pgMar w:top="1440" w:right="1080" w:bottom="1440" w:left="1080" w:header="850" w:footer="567" w:gutter="0"/>
      <w:cols w:space="288" w:num="2" w:equalWidth="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509B8" w14:textId="77777777" w:rsidR="006321CB" w:rsidRDefault="006321CB" w:rsidP="00683763">
      <w:pPr>
        <w:spacing w:after="0" w:line="240" w:lineRule="auto"/>
      </w:pPr>
      <w:r>
        <w:separator/>
      </w:r>
    </w:p>
  </w:endnote>
  <w:endnote w:type="continuationSeparator" w:id="0">
    <w:p w14:paraId="4A12A698" w14:textId="77777777" w:rsidR="006321CB" w:rsidRDefault="006321CB" w:rsidP="00683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3852B" w14:textId="77777777" w:rsidR="00605582" w:rsidRDefault="0014223D" w:rsidP="00477503">
    <w:pPr>
      <w:pStyle w:val="ac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/>
        <w:i/>
        <w:sz w:val="20"/>
      </w:rPr>
      <w:t xml:space="preserve">International Journal of Intelligent Engineering and </w:t>
    </w:r>
    <w:r w:rsidR="0084207F">
      <w:rPr>
        <w:rFonts w:ascii="Times New Roman" w:hAnsi="Times New Roman"/>
        <w:i/>
        <w:sz w:val="20"/>
      </w:rPr>
      <w:t xml:space="preserve">Systems, </w:t>
    </w:r>
    <w:proofErr w:type="spellStart"/>
    <w:r w:rsidR="0084207F">
      <w:rPr>
        <w:rFonts w:ascii="Times New Roman" w:hAnsi="Times New Roman"/>
        <w:i/>
        <w:sz w:val="20"/>
      </w:rPr>
      <w:t>Vol.x</w:t>
    </w:r>
    <w:proofErr w:type="spellEnd"/>
    <w:r>
      <w:rPr>
        <w:rFonts w:ascii="Times New Roman" w:hAnsi="Times New Roman"/>
        <w:i/>
        <w:sz w:val="20"/>
      </w:rPr>
      <w:t xml:space="preserve">, </w:t>
    </w:r>
    <w:proofErr w:type="spellStart"/>
    <w:r>
      <w:rPr>
        <w:rFonts w:ascii="Times New Roman" w:hAnsi="Times New Roman"/>
        <w:i/>
        <w:sz w:val="20"/>
      </w:rPr>
      <w:t>No.</w:t>
    </w:r>
    <w:r w:rsidR="0084207F">
      <w:rPr>
        <w:rFonts w:ascii="Times New Roman" w:hAnsi="Times New Roman" w:hint="eastAsia"/>
        <w:i/>
        <w:sz w:val="20"/>
        <w:lang w:eastAsia="ja-JP"/>
      </w:rPr>
      <w:t>x</w:t>
    </w:r>
    <w:proofErr w:type="spellEnd"/>
    <w:r w:rsidR="0084207F">
      <w:rPr>
        <w:rFonts w:ascii="Times New Roman" w:hAnsi="Times New Roman"/>
        <w:i/>
        <w:sz w:val="20"/>
      </w:rPr>
      <w:t xml:space="preserve">, 20xx    </w:t>
    </w:r>
    <w:r w:rsidR="0084207F">
      <w:rPr>
        <w:rFonts w:ascii="Times New Roman" w:hAnsi="Times New Roman" w:hint="eastAsia"/>
        <w:i/>
        <w:sz w:val="20"/>
        <w:lang w:eastAsia="ja-JP"/>
      </w:rPr>
      <w:t xml:space="preserve"> </w:t>
    </w:r>
    <w:r w:rsidR="0084207F">
      <w:rPr>
        <w:rFonts w:ascii="Times New Roman" w:hAnsi="Times New Roman" w:hint="eastAsia"/>
        <w:sz w:val="20"/>
        <w:lang w:eastAsia="ja-JP"/>
      </w:rPr>
      <w:t xml:space="preserve">    </w:t>
    </w:r>
    <w:r w:rsidR="00E95782">
      <w:rPr>
        <w:rFonts w:ascii="Times New Roman" w:hAnsi="Times New Roman"/>
        <w:sz w:val="20"/>
        <w:lang w:eastAsia="ja-JP"/>
      </w:rPr>
      <w:t xml:space="preserve"> </w:t>
    </w:r>
    <w:r w:rsidR="00F00E54">
      <w:rPr>
        <w:rFonts w:ascii="Times New Roman" w:hAnsi="Times New Roman"/>
        <w:sz w:val="20"/>
        <w:lang w:eastAsia="ja-JP"/>
      </w:rPr>
      <w:t xml:space="preserve">   </w:t>
    </w:r>
    <w:r w:rsidR="00E95782">
      <w:rPr>
        <w:rFonts w:ascii="Times New Roman" w:hAnsi="Times New Roman"/>
        <w:sz w:val="20"/>
        <w:lang w:eastAsia="ja-JP"/>
      </w:rPr>
      <w:t>DOI: 10.22266/ijies201</w:t>
    </w:r>
    <w:r w:rsidR="007E7265">
      <w:rPr>
        <w:rFonts w:ascii="Times New Roman" w:hAnsi="Times New Roman"/>
        <w:sz w:val="20"/>
        <w:lang w:eastAsia="ja-JP"/>
      </w:rPr>
      <w:t>9</w:t>
    </w:r>
    <w:r w:rsidR="0084207F">
      <w:rPr>
        <w:rFonts w:ascii="Times New Roman" w:hAnsi="Times New Roman"/>
        <w:sz w:val="20"/>
        <w:lang w:eastAsia="ja-JP"/>
      </w:rPr>
      <w:t>.xxxx.xx</w:t>
    </w:r>
    <w:r w:rsidR="00477503">
      <w:rPr>
        <w:rFonts w:ascii="Times New Roman" w:hAnsi="Times New Roman"/>
        <w:sz w:val="20"/>
        <w:lang w:eastAsia="ja-JP"/>
      </w:rPr>
      <w:br/>
    </w:r>
  </w:p>
  <w:p w14:paraId="49272F0B" w14:textId="54EFAAAD" w:rsidR="00477503" w:rsidRPr="00477503" w:rsidRDefault="00477503" w:rsidP="00477503">
    <w:pPr>
      <w:pStyle w:val="ac"/>
      <w:rPr>
        <w:rFonts w:ascii="Times New Roman" w:hAnsi="Times New Roman" w:cs="Times New Roman"/>
        <w:sz w:val="16"/>
        <w:szCs w:val="16"/>
      </w:rPr>
    </w:pPr>
    <w:r w:rsidRPr="00477503">
      <w:rPr>
        <w:rFonts w:ascii="Times New Roman" w:hAnsi="Times New Roman" w:cs="Times New Roman"/>
        <w:sz w:val="16"/>
        <w:szCs w:val="16"/>
      </w:rPr>
      <w:t>This article is licensed under a Creative Commons Attribution-</w:t>
    </w:r>
    <w:proofErr w:type="spellStart"/>
    <w:r w:rsidRPr="00477503">
      <w:rPr>
        <w:rFonts w:ascii="Times New Roman" w:hAnsi="Times New Roman" w:cs="Times New Roman"/>
        <w:sz w:val="16"/>
        <w:szCs w:val="16"/>
      </w:rPr>
      <w:t>ShareAlike</w:t>
    </w:r>
    <w:proofErr w:type="spellEnd"/>
    <w:r w:rsidRPr="00477503">
      <w:rPr>
        <w:rFonts w:ascii="Times New Roman" w:hAnsi="Times New Roman" w:cs="Times New Roman"/>
        <w:sz w:val="16"/>
        <w:szCs w:val="16"/>
      </w:rPr>
      <w:t xml:space="preserve"> 4.0 International License. </w:t>
    </w:r>
  </w:p>
  <w:p w14:paraId="715B63B0" w14:textId="7C65D25E" w:rsidR="0014223D" w:rsidRDefault="00477503" w:rsidP="00605582">
    <w:pPr>
      <w:pStyle w:val="ac"/>
      <w:rPr>
        <w:lang w:eastAsia="ja-JP"/>
      </w:rPr>
    </w:pPr>
    <w:r w:rsidRPr="00477503">
      <w:rPr>
        <w:rFonts w:ascii="Times New Roman" w:hAnsi="Times New Roman" w:cs="Times New Roman"/>
        <w:sz w:val="16"/>
        <w:szCs w:val="16"/>
      </w:rPr>
      <w:t>License details: https://creativecommons.org/licenses/by-sa/4.0/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B0053" w14:textId="77777777" w:rsidR="006321CB" w:rsidRDefault="006321CB" w:rsidP="00683763">
      <w:pPr>
        <w:spacing w:after="0" w:line="240" w:lineRule="auto"/>
      </w:pPr>
      <w:r>
        <w:separator/>
      </w:r>
    </w:p>
  </w:footnote>
  <w:footnote w:type="continuationSeparator" w:id="0">
    <w:p w14:paraId="6EF85AEC" w14:textId="77777777" w:rsidR="006321CB" w:rsidRDefault="006321CB" w:rsidP="006837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611F" w14:textId="77777777" w:rsidR="0014223D" w:rsidRPr="00683763" w:rsidRDefault="007218D9" w:rsidP="00917D26">
    <w:pPr>
      <w:pStyle w:val="a7"/>
      <w:wordWrap w:val="0"/>
      <w:jc w:val="right"/>
      <w:rPr>
        <w:rFonts w:ascii="Times New Roman" w:hAnsi="Times New Roman" w:cs="Times New Roman"/>
        <w:sz w:val="20"/>
        <w:szCs w:val="20"/>
      </w:rPr>
    </w:pPr>
    <w:r w:rsidRPr="007218D9">
      <w:rPr>
        <w:rFonts w:ascii="Times New Roman" w:hAnsi="Times New Roman" w:cs="Times New Roman"/>
        <w:sz w:val="20"/>
        <w:szCs w:val="20"/>
      </w:rPr>
      <w:t>Received:  October 18, 20</w:t>
    </w:r>
    <w:r>
      <w:rPr>
        <w:rFonts w:ascii="Times New Roman" w:hAnsi="Times New Roman" w:cs="Times New Roman"/>
        <w:sz w:val="20"/>
        <w:szCs w:val="20"/>
      </w:rPr>
      <w:t>2</w:t>
    </w:r>
    <w:r w:rsidR="001B0753">
      <w:rPr>
        <w:rFonts w:ascii="Times New Roman" w:hAnsi="Times New Roman" w:cs="Times New Roman"/>
        <w:sz w:val="20"/>
        <w:szCs w:val="20"/>
      </w:rPr>
      <w:t>1</w:t>
    </w:r>
    <w:r w:rsidRPr="007218D9">
      <w:rPr>
        <w:rFonts w:ascii="Times New Roman" w:hAnsi="Times New Roman" w:cs="Times New Roman"/>
        <w:sz w:val="20"/>
        <w:szCs w:val="20"/>
      </w:rPr>
      <w:t>.     Revised: December 20, 20</w:t>
    </w:r>
    <w:r>
      <w:rPr>
        <w:rFonts w:ascii="Times New Roman" w:hAnsi="Times New Roman" w:cs="Times New Roman"/>
        <w:sz w:val="20"/>
        <w:szCs w:val="20"/>
      </w:rPr>
      <w:t>2</w:t>
    </w:r>
    <w:r w:rsidR="001B0753">
      <w:rPr>
        <w:rFonts w:ascii="Times New Roman" w:hAnsi="Times New Roman" w:cs="Times New Roman"/>
        <w:sz w:val="20"/>
        <w:szCs w:val="20"/>
      </w:rPr>
      <w:t>1</w:t>
    </w:r>
    <w:r w:rsidRPr="007218D9">
      <w:rPr>
        <w:rFonts w:ascii="Times New Roman" w:hAnsi="Times New Roman" w:cs="Times New Roman"/>
        <w:sz w:val="20"/>
        <w:szCs w:val="20"/>
      </w:rPr>
      <w:t>.</w:t>
    </w:r>
    <w:r>
      <w:rPr>
        <w:rFonts w:ascii="Times New Roman" w:hAnsi="Times New Roman" w:cs="Times New Roman"/>
        <w:sz w:val="20"/>
        <w:szCs w:val="20"/>
      </w:rPr>
      <w:t xml:space="preserve">         </w:t>
    </w:r>
    <w:r w:rsidR="00917D26">
      <w:rPr>
        <w:rFonts w:ascii="Times New Roman" w:hAnsi="Times New Roman" w:cs="Times New Roman"/>
        <w:sz w:val="20"/>
        <w:szCs w:val="20"/>
      </w:rPr>
      <w:t xml:space="preserve">                                                                                   </w:t>
    </w:r>
    <w:sdt>
      <w:sdtPr>
        <w:rPr>
          <w:rFonts w:ascii="Times New Roman" w:hAnsi="Times New Roman" w:cs="Times New Roman"/>
          <w:sz w:val="20"/>
          <w:szCs w:val="20"/>
        </w:rPr>
        <w:id w:val="1583253042"/>
        <w:docPartObj>
          <w:docPartGallery w:val="Page Numbers (Top of Page)"/>
          <w:docPartUnique/>
        </w:docPartObj>
      </w:sdtPr>
      <w:sdtEndPr/>
      <w:sdtContent>
        <w:r w:rsidR="00267044" w:rsidRPr="00683763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="0014223D" w:rsidRPr="00683763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="00267044" w:rsidRPr="00683763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196477" w:rsidRPr="00196477">
          <w:rPr>
            <w:rFonts w:ascii="Times New Roman" w:hAnsi="Times New Roman" w:cs="Times New Roman"/>
            <w:noProof/>
            <w:sz w:val="20"/>
            <w:szCs w:val="20"/>
            <w:lang w:val="ja-JP" w:eastAsia="ja-JP"/>
          </w:rPr>
          <w:t>1</w:t>
        </w:r>
        <w:r w:rsidR="00267044" w:rsidRPr="00683763">
          <w:rPr>
            <w:rFonts w:ascii="Times New Roman" w:hAnsi="Times New Roman" w:cs="Times New Roman"/>
            <w:sz w:val="20"/>
            <w:szCs w:val="20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65A7"/>
    <w:multiLevelType w:val="hybridMultilevel"/>
    <w:tmpl w:val="F2C402E2"/>
    <w:lvl w:ilvl="0" w:tplc="994689B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5E348F"/>
    <w:multiLevelType w:val="hybridMultilevel"/>
    <w:tmpl w:val="43B01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F2F34"/>
    <w:multiLevelType w:val="hybridMultilevel"/>
    <w:tmpl w:val="6C186B9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F3748"/>
    <w:multiLevelType w:val="hybridMultilevel"/>
    <w:tmpl w:val="115081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714B0"/>
    <w:multiLevelType w:val="hybridMultilevel"/>
    <w:tmpl w:val="9ED60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C3D2D"/>
    <w:multiLevelType w:val="multilevel"/>
    <w:tmpl w:val="6C86BD74"/>
    <w:lvl w:ilvl="0">
      <w:start w:val="1"/>
      <w:numFmt w:val="none"/>
      <w:suff w:val="space"/>
      <w:lvlText w:val="7.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/>
        <w:spacing w:val="0"/>
        <w:w w:val="100"/>
        <w:kern w:val="0"/>
        <w:position w:val="0"/>
        <w:sz w:val="24"/>
        <w:szCs w:val="24"/>
      </w:rPr>
    </w:lvl>
    <w:lvl w:ilvl="1">
      <w:start w:val="1"/>
      <w:numFmt w:val="decimal"/>
      <w:pStyle w:val="SectionHeading"/>
      <w:suff w:val="space"/>
      <w:lvlText w:val="7.%2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/>
        <w:spacing w:val="0"/>
        <w:w w:val="100"/>
        <w:position w:val="0"/>
        <w:sz w:val="22"/>
        <w:szCs w:val="22"/>
      </w:rPr>
    </w:lvl>
    <w:lvl w:ilvl="2">
      <w:start w:val="1"/>
      <w:numFmt w:val="decimal"/>
      <w:suff w:val="space"/>
      <w:lvlText w:val="%17.%2.%3.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/>
        <w:spacing w:val="0"/>
        <w:w w:val="100"/>
        <w:position w:val="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49DD7832"/>
    <w:multiLevelType w:val="hybridMultilevel"/>
    <w:tmpl w:val="5AACDE2A"/>
    <w:lvl w:ilvl="0" w:tplc="22187E44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7" w15:restartNumberingAfterBreak="0">
    <w:nsid w:val="4FCD4003"/>
    <w:multiLevelType w:val="hybridMultilevel"/>
    <w:tmpl w:val="9BEE8266"/>
    <w:lvl w:ilvl="0" w:tplc="81145634">
      <w:start w:val="1"/>
      <w:numFmt w:val="bullet"/>
      <w:lvlText w:val=""/>
      <w:lvlJc w:val="left"/>
      <w:pPr>
        <w:ind w:left="720" w:hanging="360"/>
      </w:pPr>
      <w:rPr>
        <w:rFonts w:ascii="Wingdings" w:eastAsiaTheme="minorEastAsia" w:hAnsi="Wingdings" w:cs="Tahoma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" w15:restartNumberingAfterBreak="0">
    <w:nsid w:val="53EC50EC"/>
    <w:multiLevelType w:val="hybridMultilevel"/>
    <w:tmpl w:val="C590A3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F536BA"/>
    <w:multiLevelType w:val="hybridMultilevel"/>
    <w:tmpl w:val="0B4CC51E"/>
    <w:lvl w:ilvl="0" w:tplc="E736A0E6">
      <w:numFmt w:val="bullet"/>
      <w:lvlText w:val="□"/>
      <w:lvlJc w:val="left"/>
      <w:pPr>
        <w:ind w:left="360" w:hanging="360"/>
      </w:pPr>
      <w:rPr>
        <w:rFonts w:ascii="ＭＳ 明朝" w:eastAsia="ＭＳ 明朝" w:hAnsi="ＭＳ 明朝" w:cs="Tahoma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2C02348"/>
    <w:multiLevelType w:val="hybridMultilevel"/>
    <w:tmpl w:val="67B60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5B69DF"/>
    <w:multiLevelType w:val="hybridMultilevel"/>
    <w:tmpl w:val="9EC8F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F114CC"/>
    <w:multiLevelType w:val="multilevel"/>
    <w:tmpl w:val="1EB8C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 w:val="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 w:val="0"/>
      </w:rPr>
    </w:lvl>
  </w:abstractNum>
  <w:abstractNum w:abstractNumId="13" w15:restartNumberingAfterBreak="0">
    <w:nsid w:val="7AE201F6"/>
    <w:multiLevelType w:val="hybridMultilevel"/>
    <w:tmpl w:val="3692EF9C"/>
    <w:lvl w:ilvl="0" w:tplc="9F782524">
      <w:start w:val="1"/>
      <w:numFmt w:val="bullet"/>
      <w:lvlText w:val=""/>
      <w:lvlJc w:val="left"/>
      <w:pPr>
        <w:ind w:left="720" w:hanging="360"/>
      </w:pPr>
      <w:rPr>
        <w:rFonts w:ascii="Wingdings" w:eastAsiaTheme="minorEastAsia" w:hAnsi="Wingdings" w:cs="Tahoma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355279607">
    <w:abstractNumId w:val="1"/>
  </w:num>
  <w:num w:numId="2" w16cid:durableId="291448271">
    <w:abstractNumId w:val="8"/>
  </w:num>
  <w:num w:numId="3" w16cid:durableId="1147743735">
    <w:abstractNumId w:val="10"/>
  </w:num>
  <w:num w:numId="4" w16cid:durableId="1851600396">
    <w:abstractNumId w:val="4"/>
  </w:num>
  <w:num w:numId="5" w16cid:durableId="195628225">
    <w:abstractNumId w:val="11"/>
  </w:num>
  <w:num w:numId="6" w16cid:durableId="863985005">
    <w:abstractNumId w:val="2"/>
  </w:num>
  <w:num w:numId="7" w16cid:durableId="1487017311">
    <w:abstractNumId w:val="12"/>
  </w:num>
  <w:num w:numId="8" w16cid:durableId="544492594">
    <w:abstractNumId w:val="3"/>
  </w:num>
  <w:num w:numId="9" w16cid:durableId="1879080119">
    <w:abstractNumId w:val="0"/>
  </w:num>
  <w:num w:numId="10" w16cid:durableId="315839151">
    <w:abstractNumId w:val="5"/>
  </w:num>
  <w:num w:numId="11" w16cid:durableId="798189272">
    <w:abstractNumId w:val="9"/>
  </w:num>
  <w:num w:numId="12" w16cid:durableId="141429426">
    <w:abstractNumId w:val="6"/>
  </w:num>
  <w:num w:numId="13" w16cid:durableId="1605336153">
    <w:abstractNumId w:val="7"/>
  </w:num>
  <w:num w:numId="14" w16cid:durableId="36583946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867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5191"/>
    <w:rsid w:val="00000BDB"/>
    <w:rsid w:val="00001B11"/>
    <w:rsid w:val="00011029"/>
    <w:rsid w:val="00027B23"/>
    <w:rsid w:val="00044D61"/>
    <w:rsid w:val="00046BF4"/>
    <w:rsid w:val="00051AF6"/>
    <w:rsid w:val="00095CC6"/>
    <w:rsid w:val="000A255D"/>
    <w:rsid w:val="000A2DD7"/>
    <w:rsid w:val="000A32ED"/>
    <w:rsid w:val="000A403E"/>
    <w:rsid w:val="000A4734"/>
    <w:rsid w:val="000A4B1A"/>
    <w:rsid w:val="000B2191"/>
    <w:rsid w:val="000B3077"/>
    <w:rsid w:val="000B4103"/>
    <w:rsid w:val="000B5CEA"/>
    <w:rsid w:val="000C03D8"/>
    <w:rsid w:val="000C4722"/>
    <w:rsid w:val="000F0020"/>
    <w:rsid w:val="0010361A"/>
    <w:rsid w:val="0011144B"/>
    <w:rsid w:val="00114C4E"/>
    <w:rsid w:val="00117EEB"/>
    <w:rsid w:val="00123FD0"/>
    <w:rsid w:val="00136F4E"/>
    <w:rsid w:val="00137692"/>
    <w:rsid w:val="00140517"/>
    <w:rsid w:val="0014223D"/>
    <w:rsid w:val="00144B54"/>
    <w:rsid w:val="00150380"/>
    <w:rsid w:val="001626E3"/>
    <w:rsid w:val="00174C47"/>
    <w:rsid w:val="00182601"/>
    <w:rsid w:val="00182BB6"/>
    <w:rsid w:val="00187006"/>
    <w:rsid w:val="00187DBA"/>
    <w:rsid w:val="001917D5"/>
    <w:rsid w:val="00191D30"/>
    <w:rsid w:val="00196477"/>
    <w:rsid w:val="001A6540"/>
    <w:rsid w:val="001B0753"/>
    <w:rsid w:val="001E179E"/>
    <w:rsid w:val="001E1883"/>
    <w:rsid w:val="002004F3"/>
    <w:rsid w:val="00201C8B"/>
    <w:rsid w:val="00211603"/>
    <w:rsid w:val="00212453"/>
    <w:rsid w:val="0022139F"/>
    <w:rsid w:val="00233978"/>
    <w:rsid w:val="00244480"/>
    <w:rsid w:val="00260D13"/>
    <w:rsid w:val="002621D5"/>
    <w:rsid w:val="00267044"/>
    <w:rsid w:val="00274444"/>
    <w:rsid w:val="00274C6E"/>
    <w:rsid w:val="00275DC9"/>
    <w:rsid w:val="00280FCF"/>
    <w:rsid w:val="002910E7"/>
    <w:rsid w:val="002B4F86"/>
    <w:rsid w:val="002C1A97"/>
    <w:rsid w:val="002E2B91"/>
    <w:rsid w:val="002F3F26"/>
    <w:rsid w:val="00311287"/>
    <w:rsid w:val="00311489"/>
    <w:rsid w:val="0031287B"/>
    <w:rsid w:val="00313CE1"/>
    <w:rsid w:val="00322601"/>
    <w:rsid w:val="003324D8"/>
    <w:rsid w:val="00337443"/>
    <w:rsid w:val="003407CB"/>
    <w:rsid w:val="00345591"/>
    <w:rsid w:val="003635B9"/>
    <w:rsid w:val="00363EC1"/>
    <w:rsid w:val="00373CA0"/>
    <w:rsid w:val="00382564"/>
    <w:rsid w:val="003836D4"/>
    <w:rsid w:val="00387604"/>
    <w:rsid w:val="003877F2"/>
    <w:rsid w:val="0039261C"/>
    <w:rsid w:val="003A07F5"/>
    <w:rsid w:val="003A0F33"/>
    <w:rsid w:val="003A1774"/>
    <w:rsid w:val="003A406D"/>
    <w:rsid w:val="003A5E74"/>
    <w:rsid w:val="003A5F4D"/>
    <w:rsid w:val="003C521D"/>
    <w:rsid w:val="003D429C"/>
    <w:rsid w:val="003E483F"/>
    <w:rsid w:val="003E4E82"/>
    <w:rsid w:val="003E58EF"/>
    <w:rsid w:val="00420A0E"/>
    <w:rsid w:val="0042354F"/>
    <w:rsid w:val="00424839"/>
    <w:rsid w:val="00432B4F"/>
    <w:rsid w:val="004336B1"/>
    <w:rsid w:val="00437286"/>
    <w:rsid w:val="00446143"/>
    <w:rsid w:val="00447B7D"/>
    <w:rsid w:val="00451E6A"/>
    <w:rsid w:val="00477503"/>
    <w:rsid w:val="004804D1"/>
    <w:rsid w:val="00480E6D"/>
    <w:rsid w:val="004816C9"/>
    <w:rsid w:val="00484347"/>
    <w:rsid w:val="004848AF"/>
    <w:rsid w:val="004A10FA"/>
    <w:rsid w:val="004A4FB2"/>
    <w:rsid w:val="004B073A"/>
    <w:rsid w:val="004C5C4C"/>
    <w:rsid w:val="004C79AB"/>
    <w:rsid w:val="004D0113"/>
    <w:rsid w:val="004E4044"/>
    <w:rsid w:val="004F45D9"/>
    <w:rsid w:val="004F5EEE"/>
    <w:rsid w:val="005109C7"/>
    <w:rsid w:val="00512C4F"/>
    <w:rsid w:val="0051537F"/>
    <w:rsid w:val="00517E07"/>
    <w:rsid w:val="00520B16"/>
    <w:rsid w:val="005233D1"/>
    <w:rsid w:val="0053310F"/>
    <w:rsid w:val="005432CB"/>
    <w:rsid w:val="005448CC"/>
    <w:rsid w:val="00551B27"/>
    <w:rsid w:val="005536F6"/>
    <w:rsid w:val="00576596"/>
    <w:rsid w:val="00577C7D"/>
    <w:rsid w:val="00584D6A"/>
    <w:rsid w:val="00595B42"/>
    <w:rsid w:val="00596082"/>
    <w:rsid w:val="005A34A6"/>
    <w:rsid w:val="005C061C"/>
    <w:rsid w:val="005C1D32"/>
    <w:rsid w:val="005C2E16"/>
    <w:rsid w:val="005C3F86"/>
    <w:rsid w:val="005C4441"/>
    <w:rsid w:val="005E2092"/>
    <w:rsid w:val="005E258E"/>
    <w:rsid w:val="005E29F3"/>
    <w:rsid w:val="005F3120"/>
    <w:rsid w:val="005F5328"/>
    <w:rsid w:val="00603681"/>
    <w:rsid w:val="0060489B"/>
    <w:rsid w:val="00605582"/>
    <w:rsid w:val="006236B0"/>
    <w:rsid w:val="00623A13"/>
    <w:rsid w:val="006321CB"/>
    <w:rsid w:val="0063355E"/>
    <w:rsid w:val="006419AB"/>
    <w:rsid w:val="00657464"/>
    <w:rsid w:val="006637AE"/>
    <w:rsid w:val="00664D3A"/>
    <w:rsid w:val="0066772C"/>
    <w:rsid w:val="00675422"/>
    <w:rsid w:val="006762CB"/>
    <w:rsid w:val="00676948"/>
    <w:rsid w:val="00676D75"/>
    <w:rsid w:val="00683763"/>
    <w:rsid w:val="006912FB"/>
    <w:rsid w:val="00695B2D"/>
    <w:rsid w:val="006A4B7F"/>
    <w:rsid w:val="006A4DE7"/>
    <w:rsid w:val="006A739C"/>
    <w:rsid w:val="006B0498"/>
    <w:rsid w:val="006B2697"/>
    <w:rsid w:val="006B2F83"/>
    <w:rsid w:val="006B54C6"/>
    <w:rsid w:val="006C41AB"/>
    <w:rsid w:val="006C4E0D"/>
    <w:rsid w:val="006C65C7"/>
    <w:rsid w:val="006D6AB6"/>
    <w:rsid w:val="006F678E"/>
    <w:rsid w:val="007007DB"/>
    <w:rsid w:val="00703545"/>
    <w:rsid w:val="007046AD"/>
    <w:rsid w:val="007046ED"/>
    <w:rsid w:val="00707737"/>
    <w:rsid w:val="00710A98"/>
    <w:rsid w:val="007110D0"/>
    <w:rsid w:val="007159DB"/>
    <w:rsid w:val="00715C7E"/>
    <w:rsid w:val="007218D9"/>
    <w:rsid w:val="007229A1"/>
    <w:rsid w:val="00725C0C"/>
    <w:rsid w:val="00731239"/>
    <w:rsid w:val="0073333B"/>
    <w:rsid w:val="00734FD6"/>
    <w:rsid w:val="00740DA8"/>
    <w:rsid w:val="007410E7"/>
    <w:rsid w:val="007425D9"/>
    <w:rsid w:val="00756731"/>
    <w:rsid w:val="007600F7"/>
    <w:rsid w:val="00762387"/>
    <w:rsid w:val="00763DE7"/>
    <w:rsid w:val="00775DBD"/>
    <w:rsid w:val="00783364"/>
    <w:rsid w:val="00785AF6"/>
    <w:rsid w:val="00791A49"/>
    <w:rsid w:val="007927CC"/>
    <w:rsid w:val="007A512A"/>
    <w:rsid w:val="007A5E5D"/>
    <w:rsid w:val="007B6B6A"/>
    <w:rsid w:val="007B7684"/>
    <w:rsid w:val="007D4607"/>
    <w:rsid w:val="007D78AA"/>
    <w:rsid w:val="007E3EF1"/>
    <w:rsid w:val="007E7265"/>
    <w:rsid w:val="007F5691"/>
    <w:rsid w:val="007F739E"/>
    <w:rsid w:val="00801470"/>
    <w:rsid w:val="008079A3"/>
    <w:rsid w:val="008106B4"/>
    <w:rsid w:val="00814AF2"/>
    <w:rsid w:val="00816BBA"/>
    <w:rsid w:val="00822A46"/>
    <w:rsid w:val="00825FFA"/>
    <w:rsid w:val="00826EFF"/>
    <w:rsid w:val="00837A14"/>
    <w:rsid w:val="0084207F"/>
    <w:rsid w:val="008542E2"/>
    <w:rsid w:val="008660BD"/>
    <w:rsid w:val="00867450"/>
    <w:rsid w:val="00880F85"/>
    <w:rsid w:val="008852F1"/>
    <w:rsid w:val="0088670F"/>
    <w:rsid w:val="00887194"/>
    <w:rsid w:val="008A3A4E"/>
    <w:rsid w:val="008A4AE9"/>
    <w:rsid w:val="008D1E10"/>
    <w:rsid w:val="008D27A3"/>
    <w:rsid w:val="008E5CD2"/>
    <w:rsid w:val="008F3A4E"/>
    <w:rsid w:val="0090021D"/>
    <w:rsid w:val="00904BBE"/>
    <w:rsid w:val="0090732E"/>
    <w:rsid w:val="00917D26"/>
    <w:rsid w:val="00923488"/>
    <w:rsid w:val="0092724E"/>
    <w:rsid w:val="00933290"/>
    <w:rsid w:val="00952961"/>
    <w:rsid w:val="00962A2C"/>
    <w:rsid w:val="009730CC"/>
    <w:rsid w:val="00984857"/>
    <w:rsid w:val="00990D2D"/>
    <w:rsid w:val="009B21C6"/>
    <w:rsid w:val="009B59BF"/>
    <w:rsid w:val="009B63CF"/>
    <w:rsid w:val="009C4919"/>
    <w:rsid w:val="009C605C"/>
    <w:rsid w:val="009C6F7D"/>
    <w:rsid w:val="009D614C"/>
    <w:rsid w:val="009F1CA2"/>
    <w:rsid w:val="009F48C9"/>
    <w:rsid w:val="00A0361C"/>
    <w:rsid w:val="00A05BEE"/>
    <w:rsid w:val="00A10C9F"/>
    <w:rsid w:val="00A135B4"/>
    <w:rsid w:val="00A158E6"/>
    <w:rsid w:val="00A26FAF"/>
    <w:rsid w:val="00A32250"/>
    <w:rsid w:val="00A3315D"/>
    <w:rsid w:val="00A413B3"/>
    <w:rsid w:val="00A41DDF"/>
    <w:rsid w:val="00A425E5"/>
    <w:rsid w:val="00A46D43"/>
    <w:rsid w:val="00A50043"/>
    <w:rsid w:val="00A50B27"/>
    <w:rsid w:val="00A6002A"/>
    <w:rsid w:val="00A616F6"/>
    <w:rsid w:val="00A62E36"/>
    <w:rsid w:val="00A62FD7"/>
    <w:rsid w:val="00A65308"/>
    <w:rsid w:val="00A675DC"/>
    <w:rsid w:val="00A73591"/>
    <w:rsid w:val="00A73A9B"/>
    <w:rsid w:val="00A75D34"/>
    <w:rsid w:val="00A8558B"/>
    <w:rsid w:val="00A8764A"/>
    <w:rsid w:val="00A9622A"/>
    <w:rsid w:val="00AA1C55"/>
    <w:rsid w:val="00AA5584"/>
    <w:rsid w:val="00AA74FF"/>
    <w:rsid w:val="00AB4DFF"/>
    <w:rsid w:val="00AC0CF4"/>
    <w:rsid w:val="00AC7CBD"/>
    <w:rsid w:val="00AD2772"/>
    <w:rsid w:val="00AD6091"/>
    <w:rsid w:val="00AE0A4D"/>
    <w:rsid w:val="00AE70EA"/>
    <w:rsid w:val="00AF2ED3"/>
    <w:rsid w:val="00AF3965"/>
    <w:rsid w:val="00B05B8C"/>
    <w:rsid w:val="00B1026A"/>
    <w:rsid w:val="00B117C1"/>
    <w:rsid w:val="00B11C6F"/>
    <w:rsid w:val="00B1395E"/>
    <w:rsid w:val="00B27BE1"/>
    <w:rsid w:val="00B36B62"/>
    <w:rsid w:val="00B5380F"/>
    <w:rsid w:val="00B638BB"/>
    <w:rsid w:val="00B75909"/>
    <w:rsid w:val="00B7731E"/>
    <w:rsid w:val="00B834EC"/>
    <w:rsid w:val="00B8682D"/>
    <w:rsid w:val="00B876E6"/>
    <w:rsid w:val="00B9077F"/>
    <w:rsid w:val="00BB2ABF"/>
    <w:rsid w:val="00BC0E67"/>
    <w:rsid w:val="00BD49CF"/>
    <w:rsid w:val="00BD59AA"/>
    <w:rsid w:val="00BD62F1"/>
    <w:rsid w:val="00BE22D7"/>
    <w:rsid w:val="00BE54E9"/>
    <w:rsid w:val="00BE5999"/>
    <w:rsid w:val="00BE6706"/>
    <w:rsid w:val="00BF561A"/>
    <w:rsid w:val="00C0222D"/>
    <w:rsid w:val="00C070DB"/>
    <w:rsid w:val="00C11B40"/>
    <w:rsid w:val="00C13F3E"/>
    <w:rsid w:val="00C14729"/>
    <w:rsid w:val="00C23BE8"/>
    <w:rsid w:val="00C23FDC"/>
    <w:rsid w:val="00C24540"/>
    <w:rsid w:val="00C31B47"/>
    <w:rsid w:val="00C350C7"/>
    <w:rsid w:val="00C42C77"/>
    <w:rsid w:val="00C4478D"/>
    <w:rsid w:val="00C6526C"/>
    <w:rsid w:val="00C70CB0"/>
    <w:rsid w:val="00C72296"/>
    <w:rsid w:val="00C749BE"/>
    <w:rsid w:val="00C774EB"/>
    <w:rsid w:val="00C839FB"/>
    <w:rsid w:val="00C84600"/>
    <w:rsid w:val="00C93221"/>
    <w:rsid w:val="00C941CD"/>
    <w:rsid w:val="00C95F64"/>
    <w:rsid w:val="00CA408B"/>
    <w:rsid w:val="00CA6379"/>
    <w:rsid w:val="00CB19A1"/>
    <w:rsid w:val="00CB4709"/>
    <w:rsid w:val="00CC1A6C"/>
    <w:rsid w:val="00CC3EF6"/>
    <w:rsid w:val="00CC4F68"/>
    <w:rsid w:val="00CD4C88"/>
    <w:rsid w:val="00CD5651"/>
    <w:rsid w:val="00CE1491"/>
    <w:rsid w:val="00CE31F4"/>
    <w:rsid w:val="00CE3E0D"/>
    <w:rsid w:val="00CE7FC8"/>
    <w:rsid w:val="00D046B1"/>
    <w:rsid w:val="00D06777"/>
    <w:rsid w:val="00D17DA0"/>
    <w:rsid w:val="00D2006D"/>
    <w:rsid w:val="00D266DB"/>
    <w:rsid w:val="00D41248"/>
    <w:rsid w:val="00D62310"/>
    <w:rsid w:val="00D63E80"/>
    <w:rsid w:val="00D74046"/>
    <w:rsid w:val="00D868F8"/>
    <w:rsid w:val="00D96D69"/>
    <w:rsid w:val="00DA25A9"/>
    <w:rsid w:val="00DB3B22"/>
    <w:rsid w:val="00DC336F"/>
    <w:rsid w:val="00DD1CC0"/>
    <w:rsid w:val="00DD4A29"/>
    <w:rsid w:val="00DE1C8A"/>
    <w:rsid w:val="00DF031E"/>
    <w:rsid w:val="00E0320B"/>
    <w:rsid w:val="00E03977"/>
    <w:rsid w:val="00E03DEE"/>
    <w:rsid w:val="00E06FE7"/>
    <w:rsid w:val="00E13D90"/>
    <w:rsid w:val="00E21ADF"/>
    <w:rsid w:val="00E261DE"/>
    <w:rsid w:val="00E30B0A"/>
    <w:rsid w:val="00E353A9"/>
    <w:rsid w:val="00E425B2"/>
    <w:rsid w:val="00E42B17"/>
    <w:rsid w:val="00E4311A"/>
    <w:rsid w:val="00E47558"/>
    <w:rsid w:val="00E47B6B"/>
    <w:rsid w:val="00E641B8"/>
    <w:rsid w:val="00E667AD"/>
    <w:rsid w:val="00E66BFD"/>
    <w:rsid w:val="00E7466D"/>
    <w:rsid w:val="00E8243B"/>
    <w:rsid w:val="00E937B1"/>
    <w:rsid w:val="00E93B37"/>
    <w:rsid w:val="00E95782"/>
    <w:rsid w:val="00E97510"/>
    <w:rsid w:val="00E97D8E"/>
    <w:rsid w:val="00EA2F30"/>
    <w:rsid w:val="00EB24C3"/>
    <w:rsid w:val="00EB25CD"/>
    <w:rsid w:val="00EB411D"/>
    <w:rsid w:val="00EB49CD"/>
    <w:rsid w:val="00EC0BC5"/>
    <w:rsid w:val="00EC43B5"/>
    <w:rsid w:val="00EC600E"/>
    <w:rsid w:val="00EC7220"/>
    <w:rsid w:val="00ED671F"/>
    <w:rsid w:val="00EE33DC"/>
    <w:rsid w:val="00EE71BF"/>
    <w:rsid w:val="00EF60CF"/>
    <w:rsid w:val="00EF6EBA"/>
    <w:rsid w:val="00F002A8"/>
    <w:rsid w:val="00F00E54"/>
    <w:rsid w:val="00F0342A"/>
    <w:rsid w:val="00F04A99"/>
    <w:rsid w:val="00F127C6"/>
    <w:rsid w:val="00F323CF"/>
    <w:rsid w:val="00F3294B"/>
    <w:rsid w:val="00F331E7"/>
    <w:rsid w:val="00F33DD0"/>
    <w:rsid w:val="00F43DEF"/>
    <w:rsid w:val="00F53239"/>
    <w:rsid w:val="00F542AF"/>
    <w:rsid w:val="00F622C4"/>
    <w:rsid w:val="00F630E4"/>
    <w:rsid w:val="00F63CD7"/>
    <w:rsid w:val="00F64F03"/>
    <w:rsid w:val="00F7033A"/>
    <w:rsid w:val="00F723B2"/>
    <w:rsid w:val="00F735AD"/>
    <w:rsid w:val="00F849F6"/>
    <w:rsid w:val="00F863A6"/>
    <w:rsid w:val="00F969A7"/>
    <w:rsid w:val="00FA17AA"/>
    <w:rsid w:val="00FB7E5A"/>
    <w:rsid w:val="00FC1C28"/>
    <w:rsid w:val="00FC5B87"/>
    <w:rsid w:val="00FC6C60"/>
    <w:rsid w:val="00FD3372"/>
    <w:rsid w:val="00FD560B"/>
    <w:rsid w:val="00FE01FF"/>
    <w:rsid w:val="00FE5191"/>
    <w:rsid w:val="00FF569D"/>
    <w:rsid w:val="00FF5795"/>
    <w:rsid w:val="00FF67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8673">
      <v:textbox inset="5.85pt,.7pt,5.85pt,.7pt"/>
    </o:shapedefaults>
    <o:shapelayout v:ext="edit">
      <o:idmap v:ext="edit" data="1"/>
      <o:rules v:ext="edit">
        <o:r id="V:Rule3" type="connector" idref="#_x0000_s1149"/>
        <o:r id="V:Rule4" type="connector" idref="#_x0000_s1148"/>
      </o:rules>
    </o:shapelayout>
  </w:shapeDefaults>
  <w:decimalSymbol w:val="."/>
  <w:listSeparator w:val=","/>
  <w14:docId w14:val="22A191A0"/>
  <w15:docId w15:val="{F29E36FB-95E6-4F85-BBB2-761F9FCEA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E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3978"/>
    <w:pPr>
      <w:ind w:left="720"/>
      <w:contextualSpacing/>
    </w:pPr>
    <w:rPr>
      <w:rFonts w:ascii="Times New Roman" w:eastAsiaTheme="minorHAnsi" w:hAnsi="Times New Roman" w:cs="Times New Roman"/>
      <w:color w:val="000000" w:themeColor="text1"/>
      <w:sz w:val="24"/>
      <w:szCs w:val="24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rsid w:val="002339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吹き出し (文字)"/>
    <w:basedOn w:val="a0"/>
    <w:link w:val="a4"/>
    <w:uiPriority w:val="99"/>
    <w:semiHidden/>
    <w:rsid w:val="00233978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584D6A"/>
  </w:style>
  <w:style w:type="character" w:customStyle="1" w:styleId="snippet">
    <w:name w:val="snippet"/>
    <w:basedOn w:val="a0"/>
    <w:rsid w:val="001E1883"/>
  </w:style>
  <w:style w:type="character" w:customStyle="1" w:styleId="nw1">
    <w:name w:val="nw1"/>
    <w:rsid w:val="001E1883"/>
  </w:style>
  <w:style w:type="paragraph" w:customStyle="1" w:styleId="Default">
    <w:name w:val="Default"/>
    <w:rsid w:val="001E1883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styleId="a6">
    <w:name w:val="Hyperlink"/>
    <w:basedOn w:val="a0"/>
    <w:uiPriority w:val="99"/>
    <w:unhideWhenUsed/>
    <w:rsid w:val="001E1883"/>
    <w:rPr>
      <w:color w:val="0000FF"/>
      <w:u w:val="single"/>
    </w:rPr>
  </w:style>
  <w:style w:type="paragraph" w:styleId="a7">
    <w:name w:val="header"/>
    <w:basedOn w:val="a"/>
    <w:link w:val="a8"/>
    <w:uiPriority w:val="99"/>
    <w:unhideWhenUsed/>
    <w:rsid w:val="0068376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683763"/>
  </w:style>
  <w:style w:type="paragraph" w:styleId="a9">
    <w:name w:val="footer"/>
    <w:basedOn w:val="a"/>
    <w:link w:val="aa"/>
    <w:uiPriority w:val="99"/>
    <w:unhideWhenUsed/>
    <w:rsid w:val="00683763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683763"/>
  </w:style>
  <w:style w:type="table" w:styleId="ab">
    <w:name w:val="Table Grid"/>
    <w:basedOn w:val="a1"/>
    <w:uiPriority w:val="59"/>
    <w:rsid w:val="00B102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Heading">
    <w:name w:val="SectionHeading"/>
    <w:basedOn w:val="a"/>
    <w:rsid w:val="003A0F33"/>
    <w:pPr>
      <w:keepNext/>
      <w:keepLines/>
      <w:numPr>
        <w:ilvl w:val="1"/>
        <w:numId w:val="10"/>
      </w:numPr>
      <w:spacing w:before="200" w:line="240" w:lineRule="auto"/>
      <w:jc w:val="both"/>
    </w:pPr>
    <w:rPr>
      <w:rFonts w:ascii="Times New Roman" w:eastAsia="ＭＳ 明朝" w:hAnsi="Times New Roman" w:cs="Times New Roman"/>
      <w:kern w:val="28"/>
      <w:lang w:val="en-US" w:eastAsia="ja-JP"/>
    </w:rPr>
  </w:style>
  <w:style w:type="paragraph" w:customStyle="1" w:styleId="TextBody">
    <w:name w:val="TextBody"/>
    <w:basedOn w:val="a"/>
    <w:rsid w:val="00AC7CBD"/>
    <w:pPr>
      <w:spacing w:after="0" w:line="240" w:lineRule="auto"/>
      <w:ind w:firstLine="397"/>
      <w:jc w:val="both"/>
    </w:pPr>
    <w:rPr>
      <w:rFonts w:ascii="Times New Roman" w:eastAsia="ＭＳ 明朝" w:hAnsi="Times New Roman" w:cs="Times New Roman"/>
      <w:sz w:val="20"/>
      <w:szCs w:val="20"/>
      <w:lang w:val="en-US" w:eastAsia="en-US"/>
    </w:rPr>
  </w:style>
  <w:style w:type="paragraph" w:customStyle="1" w:styleId="ChapterTitle">
    <w:name w:val="Chapter Title"/>
    <w:basedOn w:val="a"/>
    <w:next w:val="a"/>
    <w:rsid w:val="00AC7CBD"/>
    <w:pPr>
      <w:keepNext/>
      <w:spacing w:before="400" w:line="240" w:lineRule="auto"/>
      <w:ind w:left="282" w:hangingChars="117" w:hanging="282"/>
    </w:pPr>
    <w:rPr>
      <w:rFonts w:ascii="Times New Roman" w:eastAsia="ＭＳ 明朝" w:hAnsi="Times New Roman" w:cs="Times New Roman"/>
      <w:b/>
      <w:bCs/>
      <w:kern w:val="28"/>
      <w:sz w:val="24"/>
      <w:szCs w:val="24"/>
      <w:lang w:val="en-US" w:eastAsia="ja-JP"/>
    </w:rPr>
  </w:style>
  <w:style w:type="paragraph" w:customStyle="1" w:styleId="ReferenceHeading">
    <w:name w:val="Reference Heading"/>
    <w:basedOn w:val="a"/>
    <w:next w:val="a"/>
    <w:rsid w:val="00AC7CBD"/>
    <w:pPr>
      <w:keepNext/>
      <w:spacing w:after="0" w:line="240" w:lineRule="auto"/>
      <w:ind w:left="235" w:hangingChars="117" w:hanging="235"/>
      <w:jc w:val="both"/>
    </w:pPr>
    <w:rPr>
      <w:rFonts w:ascii="Times New Roman" w:eastAsia="ＭＳ 明朝" w:hAnsi="Times New Roman" w:cs="Times New Roman"/>
      <w:b/>
      <w:bCs/>
      <w:kern w:val="28"/>
      <w:sz w:val="20"/>
      <w:szCs w:val="20"/>
      <w:lang w:val="en-US" w:eastAsia="ja-JP"/>
    </w:rPr>
  </w:style>
  <w:style w:type="paragraph" w:styleId="ac">
    <w:name w:val="No Spacing"/>
    <w:uiPriority w:val="1"/>
    <w:qFormat/>
    <w:rsid w:val="00BD59AA"/>
    <w:pPr>
      <w:spacing w:after="0" w:line="240" w:lineRule="auto"/>
    </w:pPr>
  </w:style>
  <w:style w:type="paragraph" w:styleId="Web">
    <w:name w:val="Normal (Web)"/>
    <w:basedOn w:val="a"/>
    <w:rsid w:val="00933290"/>
    <w:pPr>
      <w:spacing w:before="100" w:beforeAutospacing="1" w:after="100" w:afterAutospacing="1" w:line="240" w:lineRule="auto"/>
    </w:pPr>
    <w:rPr>
      <w:rFonts w:ascii="Times New Roman" w:eastAsia="ＭＳ 明朝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BB907D-B9DE-4125-BDEE-D9F7C0150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7</Pages>
  <Words>2173</Words>
  <Characters>12392</Characters>
  <Application>Microsoft Office Word</Application>
  <DocSecurity>0</DocSecurity>
  <Lines>103</Lines>
  <Paragraphs>29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XYZ</dc:creator>
  <cp:lastModifiedBy>Kei Eguchi</cp:lastModifiedBy>
  <cp:revision>286</cp:revision>
  <dcterms:created xsi:type="dcterms:W3CDTF">2014-11-25T06:09:00Z</dcterms:created>
  <dcterms:modified xsi:type="dcterms:W3CDTF">2025-06-15T14:50:00Z</dcterms:modified>
</cp:coreProperties>
</file>