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ntroduction"/>
    <w:bookmarkStart w:id="20" w:name="motivation"/>
    <w:bookmarkEnd w:id="20"/>
    <w:bookmarkStart w:id="21" w:name="research-gaps"/>
    <w:bookmarkEnd w:id="21"/>
    <w:bookmarkStart w:id="22" w:name="contributions"/>
    <w:bookmarkEnd w:id="22"/>
    <w:bookmarkEnd w:id="23"/>
    <w:bookmarkStart w:id="27" w:name="related-work"/>
    <w:bookmarkStart w:id="24" w:name="intent-based-networking-in-5g6g"/>
    <w:bookmarkEnd w:id="24"/>
    <w:bookmarkStart w:id="25" w:name="X563ecd4c28b81b67d5ade5e876a6e3560081f0f"/>
    <w:bookmarkEnd w:id="25"/>
    <w:bookmarkStart w:id="26" w:name="post-training-quantization"/>
    <w:bookmarkEnd w:id="26"/>
    <w:bookmarkEnd w:id="27"/>
    <w:bookmarkStart w:id="34" w:name="methodology"/>
    <w:bookmarkStart w:id="28" w:name="dataset-construction"/>
    <w:bookmarkEnd w:id="28"/>
    <w:bookmarkStart w:id="29" w:name="models-evaluated"/>
    <w:bookmarkEnd w:id="29"/>
    <w:bookmarkStart w:id="30" w:name="infrastructure"/>
    <w:bookmarkEnd w:id="30"/>
    <w:bookmarkStart w:id="31" w:name="Xb91068f1a7dadb622be9596e11211024e0cefea"/>
    <w:bookmarkEnd w:id="31"/>
    <w:bookmarkStart w:id="32" w:name="evaluation-metrics"/>
    <w:bookmarkEnd w:id="32"/>
    <w:bookmarkStart w:id="33" w:name="prompt-design"/>
    <w:bookmarkEnd w:id="33"/>
    <w:bookmarkEnd w:id="34"/>
    <w:bookmarkStart w:id="40" w:name="phase-1-cross-family-model-comparison"/>
    <w:bookmarkStart w:id="35" w:name="aggregate-performance"/>
    <w:bookmarkEnd w:id="35"/>
    <w:bookmarkStart w:id="36" w:name="domain-level-decomposition"/>
    <w:bookmarkEnd w:id="36"/>
    <w:bookmarkStart w:id="37" w:name="complexity-robustness"/>
    <w:bookmarkEnd w:id="37"/>
    <w:bookmarkStart w:id="38" w:name="deepseek-r1-diagnostic-case-study"/>
    <w:bookmarkEnd w:id="38"/>
    <w:bookmarkStart w:id="39" w:name="token-efficiency"/>
    <w:bookmarkEnd w:id="39"/>
    <w:bookmarkEnd w:id="40"/>
    <w:bookmarkStart w:id="49" w:name="Xad7647b02ea66f2fbe64470e7a4cba05a1d07d6"/>
    <w:bookmarkStart w:id="41" w:name="accuracy-scaling"/>
    <w:bookmarkEnd w:id="41"/>
    <w:bookmarkStart w:id="42" w:name="inference-efficiency"/>
    <w:bookmarkEnd w:id="42"/>
    <w:bookmarkStart w:id="43" w:name="format-accuracy"/>
    <w:bookmarkEnd w:id="43"/>
    <w:bookmarkStart w:id="44" w:name="domain-level-analysis"/>
    <w:bookmarkEnd w:id="44"/>
    <w:bookmarkStart w:id="45" w:name="complexity-robustness-1"/>
    <w:bookmarkEnd w:id="45"/>
    <w:bookmarkStart w:id="46" w:name="token-efficiency-1"/>
    <w:bookmarkEnd w:id="46"/>
    <w:bookmarkStart w:id="47" w:name="combined-pareto-analysis"/>
    <w:bookmarkEnd w:id="47"/>
    <w:bookmarkStart w:id="48" w:name="X2cc493525e95b76ac43a261fa80fd42defbd835"/>
    <w:bookmarkEnd w:id="48"/>
    <w:bookmarkEnd w:id="49"/>
    <w:bookmarkStart w:id="53" w:name="discussion"/>
    <w:bookmarkStart w:id="50" w:name="deployment-guidelines-for-6g-edge"/>
    <w:bookmarkEnd w:id="50"/>
    <w:bookmarkStart w:id="51" w:name="cross-family-selection"/>
    <w:bookmarkEnd w:id="51"/>
    <w:bookmarkStart w:id="52" w:name="limitations-and-future-work"/>
    <w:bookmarkEnd w:id="52"/>
    <w:bookmarkEnd w:id="53"/>
    <w:bookmarkStart w:id="54" w:name="conclusion"/>
    <w:bookmarkEnd w:id="54"/>
    <w:bookmarkStart w:id="55" w:name="data-availability"/>
    <w:bookmarkEnd w:id="55"/>
    <w:bookmarkStart w:id="56" w:name="references"/>
    <w:bookmarkEnd w:id="56"/>
    <w:p>
      <w:pPr>
        <w:pStyle w:val="Title"/>
      </w:pPr>
      <w:r>
        <w:rPr>
          <w:b w:val="0"/>
          <w:i w:val="0"/>
        </w:rPr>
        <w:t>Empirical Evaluation of Small Language Models for Intent-Driven Slice Lifecycle Management in 6G Core Networks</w:t>
      </w:r>
    </w:p>
    <w:p>
      <w:pPr>
        <w:pStyle w:val="Subtitle"/>
      </w:pPr>
      <w:r>
        <w:rPr>
          <w:b w:val="0"/>
          <w:i w:val="0"/>
        </w:rPr>
        <w:t>A Systematic Study of Model Architecture, Size Scaling, and Quantization Impact on CPU-Only Edge Inference</w:t>
      </w:r>
    </w:p>
    <w:p>
      <w:pPr>
        <w:pStyle w:val="Author"/>
      </w:pPr>
      <w:r>
        <w:rPr>
          <w:b w:val="0"/>
          <w:i w:val="0"/>
        </w:rPr>
        <w:t>claude1 edition (Claude Code · Opus 4.8) — RB-RU Research Huddle</w:t>
      </w:r>
    </w:p>
    <w:p>
      <w:pPr>
        <w:pStyle w:val="Date"/>
      </w:pPr>
      <w:r>
        <w:rPr>
          <w:b w:val="0"/>
          <w:i w:val="0"/>
        </w:rPr>
        <w:t>July 2026</w:t>
      </w:r>
    </w:p>
    <w:p>
      <w:pPr>
        <w:pStyle w:val="AbstractTitle"/>
      </w:pPr>
      <w:r>
        <w:rPr>
          <w:b w:val="0"/>
          <w:i w:val="0"/>
        </w:rPr>
        <w:t>Abstract</w:t>
      </w:r>
    </w:p>
    <w:p>
      <w:pPr>
        <w:pStyle w:val="Abstract"/>
      </w:pPr>
      <w:r>
        <w:rPr>
          <w:b w:val="0"/>
          <w:i/>
        </w:rPr>
        <w:t>Intent-driven management is a cornerstone of 6G network automation, enabling operators to express desired outcomes in natural language that autonomous agents translate into orchestration commands. Deploying such agents at the network edge on resource-constrained, CPU-only infrastructure demands Small Language Models (SLMs) that balance accuracy with inference speed, memory footprint, and energy consumption. This paper presents a comprehensive empirical evaluation of open-weight SLMs for 6G intent-to-action translation across two controlled experiments with per-intent resource monitoring. Phase 1 benchmarks five model families at the ~8B scale (Llama 3.1 8B, Qwen 2.5 7B, Gemma 2 9B, GLM-4 9B, and DeepSeek-R1 8B) under identical Q4_K_M quantization, hardware, and prompt conditions on 200 real-world intents spanning three slice-management domains. Phase 2 extends the winning architecture (Qwen 2.5) across four sizes (0.5B-7B) and three K-quant levels (Q2_K, Q4_K_M, Q8_0) in a full-factorial 12-point design, quantifying accuracy, speed, throughput, CPU utilization, memory footprint, energy, domain robustness, and complexity resilience with 95% confidence intervals over 200 intents per configuration. Key findings: (1) Qwen 2.5 7B at Q4_K_M achieves the best accuracy-efficiency balance (29.8% exact match, 15.0 s/intent), outperforming Gemma 2 9B by 2.7x in speed at equivalent accuracy; (2) measured CPU utilization scales with model size (69% at 0.5B to 94% at 7B), empirically demonstrating that memory bandwidth, not compute, is the binding constraint of CPU inference and that flat-utilization energy models overestimate small-model energy by 15-25%; (3) 2-bit quantization of larger models (7B Q2_K, 29.0%) surpasses 8-bit quantization of smaller models (3B Q8_0, 26.8%); (4) diminishing returns manifest in both size and precision; (5) a quantization-speed crossover exists between compute-bound and bandwidth-bound regimes; (6) Slicing Provisioning is a solved domain while Conflict Resolution remains near-random; and (7) reasoning-oriented architectures (DeepSeek-R1) are incompatible with CPU-only inference. We contribute the first systematic cross-family, multi-size, multi-quantization SLM benchmark for 6G intent-driven slice management with real per-intent resource telemetry, a detailed Pareto analysis, and actionable deployment guidelines.</w:t>
      </w:r>
    </w:p>
    <w:p/>
    <w:p>
      <w:r>
        <w:rPr>
          <w:b/>
          <w:i w:val="0"/>
          <w:sz w:val="32"/>
        </w:rPr>
        <w:t>1. Introduction</w:t>
      </w:r>
    </w:p>
    <w:p/>
    <w:p>
      <w:r>
        <w:rPr>
          <w:b/>
          <w:i w:val="0"/>
          <w:sz w:val="26"/>
        </w:rPr>
        <w:t>1.1 Motivation</w:t>
      </w:r>
    </w:p>
    <w:p>
      <w:pPr>
        <w:pStyle w:val="FirstParagraph"/>
      </w:pPr>
      <w:r>
        <w:rPr>
          <w:b w:val="0"/>
          <w:i w:val="0"/>
        </w:rPr>
        <w:t>The transition to sixth-generation (6G) mobile networks elevates intent-driven management from an aspirational concept to a core operational paradigm. Operators articulate desired outcomes in natural language - e.g. "provision a URLLC slice with sub-millisecond latency for autonomous vehicle platooning" - and autonomous AI agents translate these intents into executable network configuration commands, promising to reduce operational complexity, accelerate provisioning, and enable zero-touch automation at scale.</w:t>
      </w:r>
    </w:p>
    <w:p>
      <w:pPr>
        <w:pStyle w:val="BodyText"/>
      </w:pPr>
      <w:r>
        <w:rPr>
          <w:b w:val="0"/>
          <w:i w:val="0"/>
        </w:rPr>
        <w:t>However, the shift toward distributed, disaggregated 6G core networks introduces a fundamental tension. While Large Language Models (GPT-4, Llama-70B) demonstrate impressive intent understanding, their deployment at the network edge is constrained by three hard realities of telco infrastructure: (1) latency budgets - URLLC slices demand sub-millisecond control loops incompatible with cloud-roundtrip inference; (2) energy constraints - edge nodes operate under strict power envelopes, often without GPU accelerators; and (3) hardware heterogeneity - 6G infrastructure spans from data centers to far-edge nodes with as little as 4-8 CPU cores and a few gigabytes of RAM.</w:t>
      </w:r>
    </w:p>
    <w:p>
      <w:pPr>
        <w:pStyle w:val="BodyText"/>
      </w:pPr>
      <w:r>
        <w:rPr>
          <w:b w:val="0"/>
          <w:i w:val="0"/>
        </w:rPr>
        <w:t>Small Language Models (SLMs) - models under 10 billion parameters - emerge as a compelling middle ground. Advances in architecture design (Llama 3.1, Qwen 2.5, Gemma 2, GLM-4) and post-training quantization have produced open-weight SLMs that approach LLM-quality performance on structured tasks while fitting within edge hardware constraints. Yet systematic evaluations on domain-specific network orchestration tasks remain absent from the literature.</w:t>
      </w:r>
    </w:p>
    <w:p/>
    <w:p>
      <w:r>
        <w:rPr>
          <w:b/>
          <w:i w:val="0"/>
          <w:sz w:val="26"/>
        </w:rPr>
        <w:t>1.2 Research Gaps</w:t>
      </w:r>
    </w:p>
    <w:p>
      <w:pPr>
        <w:pStyle w:val="FirstParagraph"/>
      </w:pPr>
      <w:r>
        <w:rPr>
          <w:b w:val="0"/>
          <w:i w:val="0"/>
        </w:rPr>
        <w:t>Existing SLM evaluation suffers from four limitations when applied to 6G intent-driven management:</w:t>
      </w:r>
    </w:p>
    <w:p/>
    <w:p>
      <w:pPr>
        <w:ind w:left="432"/>
      </w:pPr>
      <w:r>
        <w:t>•  Single-family bias: most benchmarks evaluate one model family in isolation, precluding the cross-architecture comparisons essential for technology selection.</w:t>
      </w:r>
    </w:p>
    <w:p/>
    <w:p>
      <w:pPr>
        <w:ind w:left="432"/>
      </w:pPr>
      <w:r>
        <w:t>•  Generic benchmarks: MMLU/HellaSwag/GSM8K measure broad language understanding but not the structured output generation and domain reasoning required for network intent translation.</w:t>
      </w:r>
    </w:p>
    <w:p/>
    <w:p>
      <w:pPr>
        <w:ind w:left="432"/>
      </w:pPr>
      <w:r>
        <w:t>•  Neglect of quantization interaction: the interaction of quantization with model size on structured-task accuracy (valid JSON commands) has not been characterized.</w:t>
      </w:r>
    </w:p>
    <w:p/>
    <w:p>
      <w:pPr>
        <w:ind w:left="432"/>
      </w:pPr>
      <w:r>
        <w:t>•  Absence of resource telemetry: prior benchmarks rarely measure CPU utilization, resident memory, or energy per inference on the actual deployment hardware class.</w:t>
      </w:r>
    </w:p>
    <w:p/>
    <w:p>
      <w:r>
        <w:rPr>
          <w:b/>
          <w:i w:val="0"/>
          <w:sz w:val="26"/>
        </w:rPr>
        <w:t>1.3 Contributions</w:t>
      </w:r>
    </w:p>
    <w:p/>
    <w:p>
      <w:pPr>
        <w:ind w:left="432"/>
      </w:pPr>
      <w:r>
        <w:t>•  Phase 1 - Cross-family comparison (Sec 4): five ~8B families under identical quantization, hardware, prompt, and a shared 200-intent dataset.</w:t>
      </w:r>
    </w:p>
    <w:p/>
    <w:p>
      <w:pPr>
        <w:ind w:left="432"/>
      </w:pPr>
      <w:r>
        <w:t>•  Phase 2 - Size scaling and quantization (Sec 5): a full-factorial 4-size x 3-quant evaluation of the winning architecture (Qwen 2.5), isolating parameter count and weight precision.</w:t>
      </w:r>
    </w:p>
    <w:p/>
    <w:p>
      <w:pPr>
        <w:ind w:left="432"/>
      </w:pPr>
      <w:r>
        <w:t>•  Per-intent resource telemetry with statistical rigor (Sec 5.8): 0.5 s psutil sampling of CPU and process RSS, with per-intent energy from measured utilization; all metrics as mean +/- 95% CI.</w:t>
      </w:r>
    </w:p>
    <w:p/>
    <w:p>
      <w:pPr>
        <w:ind w:left="432"/>
      </w:pPr>
      <w:r>
        <w:t>•  Comprehensive multi-metric analysis across domain, complexity, token efficiency, memory, and energy dimensions, plus actionable deployment guidelines (Sec 6).</w:t>
      </w:r>
    </w:p>
    <w:p/>
    <w:p>
      <w:r>
        <w:rPr>
          <w:b/>
          <w:i w:val="0"/>
          <w:sz w:val="32"/>
        </w:rPr>
        <w:t>2. Related Work</w:t>
      </w:r>
    </w:p>
    <w:p/>
    <w:p>
      <w:r>
        <w:rPr>
          <w:b/>
          <w:i w:val="0"/>
          <w:sz w:val="26"/>
        </w:rPr>
        <w:t>2.1 Intent-Based Networking in 5G/6G</w:t>
      </w:r>
    </w:p>
    <w:p>
      <w:pPr>
        <w:pStyle w:val="FirstParagraph"/>
      </w:pPr>
      <w:r>
        <w:rPr>
          <w:b w:val="0"/>
          <w:i w:val="0"/>
        </w:rPr>
        <w:t>Intent-Based Networking (IBN) is a key enabler for zero-touch network and service management (ETSI ZSM) and appears in 3GPP Release 18 slice-lifecycle specifications. The premise is that operators express what they want rather than how to achieve it, with an automated layer mapping intents to commands. Recent work explores LLM-based intent translation, but large-model compute demands conflict with the distributed, latency-sensitive nature of 6G edge deployments.</w:t>
      </w:r>
    </w:p>
    <w:p/>
    <w:p>
      <w:r>
        <w:rPr>
          <w:b/>
          <w:i w:val="0"/>
          <w:sz w:val="26"/>
        </w:rPr>
        <w:t>2.2 Small Language Models for Structured Tasks</w:t>
      </w:r>
    </w:p>
    <w:p>
      <w:pPr>
        <w:pStyle w:val="FirstParagraph"/>
      </w:pPr>
      <w:r>
        <w:rPr>
          <w:b w:val="0"/>
          <w:i w:val="0"/>
        </w:rPr>
        <w:t>The 2024-2025 period saw a proliferation of open-weight SLMs. Llama 3.1 showed 8B models can approach much larger predecessors; Qwen 2.5 introduced improvements yielding strong code and structured-output performance from 0.5B to 72B; Gemma 2 used distillation for competitive 9B models; GLM-4 explored bilingual capability. Existing SLM surveys do not include domain-specific network orchestration evaluations.</w:t>
      </w:r>
    </w:p>
    <w:p/>
    <w:p>
      <w:r>
        <w:rPr>
          <w:b/>
          <w:i w:val="0"/>
          <w:sz w:val="26"/>
        </w:rPr>
        <w:t>2.3 Post-Training Quantization</w:t>
      </w:r>
    </w:p>
    <w:p>
      <w:pPr>
        <w:pStyle w:val="FirstParagraph"/>
      </w:pPr>
      <w:r>
        <w:rPr>
          <w:b w:val="0"/>
          <w:i w:val="0"/>
        </w:rPr>
        <w:t>Post-training quantization compresses weights to lower precision, reducing memory footprint and latency. The GGUF K-quant family (Q2_K through Q8_0) is the de facto standard for CPU inference via llama.cpp. Prior studies characterize quantization degradation on standard NLP metrics, but no prior work systematically evaluates the three-way interaction of architecture, parameter count, and quantization precision on structured intent-to-action translation.</w:t>
      </w:r>
    </w:p>
    <w:p/>
    <w:p>
      <w:r>
        <w:rPr>
          <w:b/>
          <w:i w:val="0"/>
          <w:sz w:val="32"/>
        </w:rPr>
        <w:t>3. Methodology</w:t>
      </w:r>
    </w:p>
    <w:p/>
    <w:p>
      <w:r>
        <w:rPr>
          <w:b/>
          <w:i w:val="0"/>
          <w:sz w:val="26"/>
        </w:rPr>
        <w:t>3.1 Dataset Construction</w:t>
      </w:r>
    </w:p>
    <w:p>
      <w:pPr>
        <w:pStyle w:val="FirstParagraph"/>
      </w:pPr>
      <w:r>
        <w:rPr>
          <w:b w:val="0"/>
          <w:i w:val="0"/>
        </w:rPr>
        <w:t>We construct a dataset of 200 intents spanning three 6G slice-management domains, each annotated with a ground-truth JSON action: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340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Slicing Provisioning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Creation of new slices with QoS parameters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"Create a URLLC slice with 1 ms latency for AV platooning in Bangkok"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Scaling Request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70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Modification of existing slice capacity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"Scale the eMBB slice for the stadium event to 10 Gbps during the concert"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Conflict Resolution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60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Resolution of resource conflicts between slices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"URLLC factory slice needs priority over eMBB streaming during emergency"</w:t>
            </w:r>
          </w:p>
        </w:tc>
      </w:tr>
    </w:tbl>
    <w:p>
      <w:pPr>
        <w:pStyle w:val="BodyText"/>
      </w:pPr>
      <w:r>
        <w:rPr>
          <w:b w:val="0"/>
          <w:i w:val="0"/>
        </w:rPr>
        <w:t>Each intent carries a complexity label - Simple (explicit single-domain parameters), Complex (multi-constraint or regional context), or Ambiguous (implicit priorities requiring contextual inference) - enabling robustness evaluation across the difficulty spectrum.</w:t>
      </w:r>
    </w:p>
    <w:p/>
    <w:p>
      <w:r>
        <w:rPr>
          <w:b/>
          <w:i w:val="0"/>
          <w:sz w:val="26"/>
        </w:rPr>
        <w:t>3.2 Models Evaluated</w:t>
      </w:r>
    </w:p>
    <w:p>
      <w:pPr>
        <w:pStyle w:val="FirstParagraph"/>
      </w:pPr>
      <w:r>
        <w:rPr>
          <w:b w:val="0"/>
          <w:i w:val="0"/>
        </w:rPr>
        <w:t>Phase 1 evaluates five families at ~8B, all under Q4_K_M (the most widely deployed llama.cpp default) for fair comparison: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#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Ollama Tag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Family</w:t>
            </w:r>
          </w:p>
        </w:tc>
        <w:tc>
          <w:tcPr>
            <w:tcW w:type="dxa" w:w="1170"/>
          </w:tcPr>
          <w:p>
            <w:r>
              <w:rPr>
                <w:b/>
              </w:rPr>
              <w:t>Params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Quant</w:t>
            </w:r>
          </w:p>
        </w:tc>
        <w:tc>
          <w:tcPr>
            <w:tcW w:type="dxa" w:w="1170"/>
          </w:tcPr>
          <w:p>
            <w:r>
              <w:rPr>
                <w:b/>
              </w:rPr>
              <w:t>Disk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Llama 3.1 8B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llama3.1:8b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Meta (USA)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8.0B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Q4_K_M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4.9 GB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Ollama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b/>
              </w:rPr>
              <w:t>Qwen 2.5 7B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qwen2.5:7b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Alibaba (CN)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7.6B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Q4_K_M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4.7 GB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Ollama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Gemma 2 9B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gemma2:9b-q4_K_M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Google (USA)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9.4B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Q4_K_M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5.4 GB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Custom GGUF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GLM-4 9B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glm4:9b-q4_K_M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Tsinghua (CN)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9.4B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Q4_K_M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5.5 GB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Custom GGUF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DeepSeek-R1 8B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deepseek-r1:8b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DeepSeek (CN)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8.0B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Q4_K_M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5.2 GB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Ollama</w:t>
            </w:r>
          </w:p>
        </w:tc>
      </w:tr>
    </w:tbl>
    <w:p>
      <w:pPr>
        <w:pStyle w:val="BodyText"/>
      </w:pPr>
      <w:r>
        <w:rPr>
          <w:b w:val="0"/>
          <w:i w:val="0"/>
        </w:rPr>
        <w:t>Critical note: the default Ollama tags for Gemma 2 and GLM-4 use Q4_0, which differs from Q4_K_M in block structure. To ensure quantization parity we rebuilt both from HuggingFace Q4_K_M GGUF files via Modelfile.</w:t>
      </w:r>
    </w:p>
    <w:p>
      <w:pPr>
        <w:pStyle w:val="BodyText"/>
      </w:pPr>
      <w:r>
        <w:rPr>
          <w:b w:val="0"/>
          <w:i w:val="0"/>
        </w:rPr>
        <w:t>Phase 2 evaluates Qwen 2.5 (the Phase 1 winner) in a full-factorial design: 4 sizes x 3 quantization levels = 12 configurations, with all Q2_K/Q8_0 variants built from HuggingFace GGUF files under identical Modelfile templates.</w:t>
      </w:r>
    </w:p>
    <w:p/>
    <w:p>
      <w:r>
        <w:rPr>
          <w:b/>
          <w:i w:val="0"/>
          <w:sz w:val="26"/>
        </w:rPr>
        <w:t>3.3 Infrastructure</w:t>
      </w:r>
    </w:p>
    <w:p>
      <w:pPr>
        <w:pStyle w:val="FirstParagraph"/>
      </w:pPr>
      <w:r>
        <w:rPr>
          <w:b w:val="0"/>
          <w:i w:val="0"/>
        </w:rPr>
        <w:t>All experiments execute on two identical VMs (16 vCPU, 31 GiB RAM, Ubuntu 24.04) on a Proxmox VE 8.2 hypervisor, running Ollama for CPU-only inference with no GPU acceleration. The 16-core allocation was empirically chosen: 8 cores left utilization at 50-60%. Telemetry (Sec 5.8) later revealed that 16-core utilization is itself size-dependent (69-94%), a finding with direct energy-modeling implications. Workload was parallelized: lab-slm-01 ran the nine 0.5B-3B configurations, lab-slm-02 the three 7B configurations.</w:t>
      </w:r>
    </w:p>
    <w:p/>
    <w:p>
      <w:r>
        <w:rPr>
          <w:b/>
          <w:i w:val="0"/>
          <w:sz w:val="26"/>
        </w:rPr>
        <w:t>3.4 Inference Protocol and Resource Instrumentation</w:t>
      </w:r>
    </w:p>
    <w:p>
      <w:pPr>
        <w:pStyle w:val="FirstParagraph"/>
      </w:pPr>
      <w:r>
        <w:rPr>
          <w:b w:val="0"/>
          <w:i w:val="0"/>
        </w:rPr>
        <w:t>A uniform protocol (benchmark_runner_v2.py) governs all runs:</w:t>
      </w:r>
    </w:p>
    <w:p/>
    <w:p>
      <w:pPr>
        <w:ind w:left="432"/>
      </w:pPr>
      <w:r>
        <w:t>•  System prompt: a fixed enriched prompt mandating JSON-only output with a one-shot example.</w:t>
      </w:r>
    </w:p>
    <w:p/>
    <w:p>
      <w:pPr>
        <w:ind w:left="432"/>
      </w:pPr>
      <w:r>
        <w:t>•  Inference parameters: temperature=0.1, num_predict=1024, stream=false.</w:t>
      </w:r>
    </w:p>
    <w:p/>
    <w:p>
      <w:pPr>
        <w:ind w:left="432"/>
      </w:pPr>
      <w:r>
        <w:t>•  Warmup: two warmup inferences before timing to initialize weights in memory.</w:t>
      </w:r>
    </w:p>
    <w:p/>
    <w:p>
      <w:pPr>
        <w:ind w:left="432"/>
      </w:pPr>
      <w:r>
        <w:t>•  No retry sampling: each intent is evaluated exactly once - measuring reliability, not best-of-N.</w:t>
      </w:r>
    </w:p>
    <w:p/>
    <w:p>
      <w:pPr>
        <w:ind w:left="432"/>
      </w:pPr>
      <w:r>
        <w:t>•  Resource sampling: a background thread samples system-wide CPU% (psutil) and inference-process RSS at 0.5 s intervals; the psutil counter is primed to avoid the first-call-returns-zero artifact. Per-intent energy E = (mean CPU fraction) x TDP x time, with TDP = 135 W for the 16-core Xeon E5-2690 v4 allocation.</w:t>
      </w:r>
    </w:p>
    <w:p>
      <w:pPr>
        <w:pStyle w:val="BodyText"/>
      </w:pPr>
      <w:r>
        <w:rPr>
          <w:b w:val="0"/>
          <w:i w:val="0"/>
        </w:rPr>
        <w:t>Statistical framework: every continuous metric is reported as mean, SD, and 95% CI via the t-distribution (df=199, t≈1.97) over 200 intents. CI half-widths are typically 5-12% of the mean, confirming the cross-configuration differences are not sampling artifacts.</w:t>
      </w:r>
    </w:p>
    <w:p/>
    <w:p>
      <w:r>
        <w:rPr>
          <w:b/>
          <w:i w:val="0"/>
          <w:sz w:val="26"/>
        </w:rPr>
        <w:t>3.5 Evaluation Metrics</w:t>
      </w:r>
    </w:p>
    <w:p>
      <w:pPr>
        <w:pStyle w:val="FirstParagraph"/>
      </w:pPr>
      <w:r>
        <w:rPr>
          <w:b w:val="0"/>
          <w:i w:val="0"/>
        </w:rPr>
        <w:t>We report seven metric categories: Format Accuracy (% parsing as valid JSON with an action field), Action Correct (% where predicted action matches ground truth), Exact Match (mean % of ground-truth key-value pairs reproduced), Inference Time (s/intent), Throughput (tokens/s), CPU/Memory (system-wide CPU% and peak process RSS), and Energy (measured-utilization x TDP x time). Total tokens, total benchmark time, and domain-level breakdowns are also reported.</w:t>
      </w:r>
    </w:p>
    <w:p/>
    <w:p>
      <w:r>
        <w:rPr>
          <w:b/>
          <w:i w:val="0"/>
          <w:sz w:val="32"/>
        </w:rPr>
        <w:t>4. Phase 1: Cross-Family Model Comparison</w:t>
      </w:r>
    </w:p>
    <w:p>
      <w:pPr>
        <w:pStyle w:val="FirstParagraph"/>
      </w:pPr>
      <w:r>
        <w:rPr>
          <w:b w:val="0"/>
          <w:i w:val="0"/>
        </w:rPr>
        <w:t>Phase 1 addresses: among open-weight SLMs at the ~8B scale, which family best translates 6G slice-management intents into structured actions on CPU-only infrastructure? Model family is the sole independent variable - dataset, quantization (Q4_K_M), prompt, hardware, and scoring harness are all held fixed.</w:t>
      </w:r>
    </w:p>
    <w:p/>
    <w:p>
      <w:r>
        <w:rPr>
          <w:b/>
          <w:i w:val="0"/>
          <w:sz w:val="26"/>
        </w:rPr>
        <w:t>4.1 Aggregate Performance</w:t>
      </w:r>
    </w:p>
    <w:p>
      <w:pPr>
        <w:pStyle w:val="FirstParagraph"/>
      </w:pPr>
      <w:r>
        <w:rPr>
          <w:b w:val="0"/>
          <w:i w:val="0"/>
        </w:rPr>
        <w:t>Table 1 reports the headline metrics. The Qwen 2.5 7B row reflects the instrumented v2 re-run (identical scoring); the other rows are from the original v1 campaign under the same prompt, dataset, and hardware. All Phase-1 figure/table values are recomputed directly from the raw per-intent records.</w:t>
      </w:r>
    </w:p>
    <w:p>
      <w:pPr>
        <w:pStyle w:val="BodyText"/>
      </w:pPr>
      <w:r>
        <w:rPr>
          <w:b w:val="0"/>
          <w:i/>
        </w:rPr>
        <w:t>Table 1: Phase 1 - Cross-Family Performance at ~8B (Q4_K_M), n = 200 each.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</w:tcPr>
          <w:p>
            <w:r>
              <w:rPr>
                <w:b/>
              </w:rPr>
              <w:t>Rank</w:t>
            </w:r>
          </w:p>
        </w:tc>
        <w:tc>
          <w:tcPr>
            <w:tcW w:type="dxa" w:w="117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70"/>
          </w:tcPr>
          <w:p>
            <w:r>
              <w:rPr>
                <w:b/>
              </w:rPr>
              <w:t>Format %</w:t>
            </w:r>
          </w:p>
        </w:tc>
        <w:tc>
          <w:tcPr>
            <w:tcW w:type="dxa" w:w="1170"/>
          </w:tcPr>
          <w:p>
            <w:r>
              <w:rPr>
                <w:b/>
              </w:rPr>
              <w:t>Action %</w:t>
            </w:r>
          </w:p>
        </w:tc>
        <w:tc>
          <w:tcPr>
            <w:tcW w:type="dxa" w:w="1170"/>
          </w:tcPr>
          <w:p>
            <w:r>
              <w:rPr>
                <w:b/>
              </w:rPr>
              <w:t>Exact %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Time (s)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Tok/s</w:t>
            </w:r>
          </w:p>
        </w:tc>
        <w:tc>
          <w:tcPr>
            <w:tcW w:type="dxa" w:w="1170"/>
          </w:tcPr>
          <w:p>
            <w:r>
              <w:rPr>
                <w:b/>
              </w:rPr>
              <w:t>Total Tokens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170"/>
          </w:tcPr>
          <w:p>
            <w:r>
              <w:rPr>
                <w:b/>
              </w:rPr>
              <w:t>Qwen 2.5 7B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43.5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29.8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15.0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2.8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8,343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Gemma 2 9B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98.5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45.5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29.3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39.8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1.00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8,028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Llama 3.1 8B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36.5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26.0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19.1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2.20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8,452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GLM-4 9B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29.0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24.6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22.9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1.80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8,130</w:t>
            </w:r>
          </w:p>
        </w:tc>
      </w:tr>
      <w:tr>
        <w:tc>
          <w:tcPr>
            <w:tcW w:type="dxa" w:w="1170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DeepSeek-R1 8B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0.0*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0.0*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0.0*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77.9*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3.29</w:t>
            </w:r>
          </w:p>
        </w:tc>
        <w:tc>
          <w:tcPr>
            <w:tcW w:type="dxa" w:w="1170"/>
          </w:tcPr>
          <w:p>
            <w:r>
              <w:rPr>
                <w:b w:val="0"/>
              </w:rPr>
              <w:t>51,200</w:t>
            </w:r>
          </w:p>
        </w:tc>
      </w:tr>
    </w:tbl>
    <w:p>
      <w:pPr>
        <w:pStyle w:val="BodyText"/>
      </w:pPr>
      <w:r>
        <w:rPr>
          <w:b w:val="0"/>
          <w:i/>
        </w:rPr>
        <w:t>DeepSeek-R1 results reflect pathological behavior on CPU; see Section 4.4.</w:t>
      </w:r>
    </w:p>
    <w:p>
      <w:pPr>
        <w:pStyle w:val="BodyText"/>
      </w:pPr>
      <w:r>
        <w:rPr>
          <w:b/>
          <w:i w:val="0"/>
        </w:rPr>
        <w:t>Key observations:</w:t>
      </w:r>
    </w:p>
    <w:p/>
    <w:p>
      <w:pPr>
        <w:ind w:left="432"/>
      </w:pPr>
      <w:r>
        <w:t>•  Qwen 2.5 7B dominates the Pareto frontier: highest exact match (29.8%, CI [25.8, 33.9]) and the fastest inference among models with &gt;95% format accuracy (15.0 s/intent) - a 2.7x speed advantage over Gemma 2 9B at equivalent accuracy. It is also the smallest model in the field.</w:t>
      </w:r>
    </w:p>
    <w:p/>
    <w:p>
      <w:pPr>
        <w:ind w:left="432"/>
      </w:pPr>
      <w:r>
        <w:t>•  Gemma 2 9B offers a marginal action-prediction edge (45.5% vs 43.5%) but at prohibitive latency (39.8 s/intent), acceptable only for non-real-time batch processing.</w:t>
      </w:r>
    </w:p>
    <w:p/>
    <w:p>
      <w:pPr>
        <w:ind w:left="432"/>
      </w:pPr>
      <w:r>
        <w:t>•  Llama 3.1 8B is a balanced runner-up: perfect format, competitive speed (19.1 s), but trails Qwen by 3.8 pp exact match.</w:t>
      </w:r>
    </w:p>
    <w:p/>
    <w:p>
      <w:pPr>
        <w:ind w:left="432"/>
      </w:pPr>
      <w:r>
        <w:t>•  GLM-4 9B underperforms on every accuracy axis despite equal size/quantization, suggesting weak alignment with English JSON-structured output.</w:t>
      </w:r>
    </w:p>
    <w:p/>
    <w:p>
      <w:pPr>
        <w:ind w:left="432"/>
      </w:pPr>
      <w:r>
        <w:t>•  Format ceiling: three of four non-reasoning models reach 100.0% format validity (Gemma 98.5%), so the competitive signal lives entirely in semantic correctness.</w:t>
      </w:r>
    </w:p>
    <w:p>
      <w:pPr>
        <w:jc w:val="center"/>
      </w:pPr>
      <w:r>
        <w:drawing>
          <wp:inline>
            <wp:extent cx="4206240" cy="3489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bar_mat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8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1: Phase 1 - average exact match by family (~8B, Q4_K_M).</w:t>
      </w:r>
    </w:p>
    <w:p>
      <w:pPr>
        <w:jc w:val="center"/>
      </w:pPr>
      <w:r>
        <w:drawing>
          <wp:inline>
            <wp:extent cx="4206240" cy="34896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bar_ac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8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2: Phase 1 - action accuracy by family.</w:t>
      </w:r>
    </w:p>
    <w:p>
      <w:pPr>
        <w:jc w:val="center"/>
      </w:pPr>
      <w:r>
        <w:drawing>
          <wp:inline>
            <wp:extent cx="4206240" cy="34896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1_bar_ti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3489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3: Phase 1 - inference time per intent by family.</w:t>
      </w:r>
    </w:p>
    <w:p/>
    <w:p>
      <w:r>
        <w:rPr>
          <w:b/>
          <w:i w:val="0"/>
          <w:sz w:val="26"/>
        </w:rPr>
        <w:t>4.2 Domain-Level Decomposition</w:t>
      </w:r>
    </w:p>
    <w:p>
      <w:pPr>
        <w:pStyle w:val="FirstParagraph"/>
      </w:pPr>
      <w:r>
        <w:rPr>
          <w:b w:val="0"/>
          <w:i w:val="0"/>
        </w:rPr>
        <w:t>Aggregate scores hide a stark, family-invariant difficulty structure. Table 2 decomposes action correctness by domain.</w:t>
      </w:r>
    </w:p>
    <w:p>
      <w:pPr>
        <w:pStyle w:val="BodyText"/>
      </w:pPr>
      <w:r>
        <w:rPr>
          <w:b w:val="0"/>
          <w:i/>
        </w:rPr>
        <w:t>Table 2: Phase 1 - Action Correct by Domain (%).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Slicing Provisioning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Scaling Request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Conflict Resolution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Qwen 2.5 7B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18.6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6.7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Gemma 2 9B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97.1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25.7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8.3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Llama 3.1 8B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87.1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11.4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6.7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GLM-4 9B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54.3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21.4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8.3</w:t>
            </w:r>
          </w:p>
        </w:tc>
      </w:tr>
      <w:tr>
        <w:tc>
          <w:tcPr>
            <w:tcW w:type="dxa" w:w="2340"/>
          </w:tcPr>
          <w:p>
            <w:r>
              <w:rPr>
                <w:b/>
              </w:rPr>
              <w:t>Mean across 4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84.6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19.3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7.5</w:t>
            </w:r>
          </w:p>
        </w:tc>
      </w:tr>
    </w:tbl>
    <w:p/>
    <w:p>
      <w:pPr>
        <w:ind w:left="432"/>
      </w:pPr>
      <w:r>
        <w:t>•  Slicing Provisioning (solved): mean 84.6%; the CREATE action with explicit QoS parameters maps cleanly to model capabilities.</w:t>
      </w:r>
    </w:p>
    <w:p/>
    <w:p>
      <w:pPr>
        <w:ind w:left="432"/>
      </w:pPr>
      <w:r>
        <w:t>•  Scaling Request (challenging): mean 19.3%; models must interpret scaling direction, magnitude, and temporal context.</w:t>
      </w:r>
    </w:p>
    <w:p/>
    <w:p>
      <w:pPr>
        <w:ind w:left="432"/>
      </w:pPr>
      <w:r>
        <w:t>•  Conflict Resolution (near-random): mean 7.5%; multi-constraint policy reasoning that ~8B SLMs demonstrably lack.</w:t>
      </w:r>
    </w:p>
    <w:p>
      <w:pPr>
        <w:pStyle w:val="BodyText"/>
      </w:pPr>
      <w:r>
        <w:rPr>
          <w:b w:val="0"/>
          <w:i w:val="0"/>
        </w:rPr>
        <w:t>The hierarchy Provisioning &gt;&gt; Scaling &gt;&gt; Conflict holds for every family, indicating inherent task complexity rather than model-specific failure. Qwen's overall lead comes from being least-bad where the task is genuinely hard.</w:t>
      </w:r>
    </w:p>
    <w:p/>
    <w:p>
      <w:r>
        <w:rPr>
          <w:b/>
          <w:i w:val="0"/>
          <w:sz w:val="26"/>
        </w:rPr>
        <w:t>4.3 Complexity Robustness</w:t>
      </w:r>
    </w:p>
    <w:p>
      <w:pPr>
        <w:pStyle w:val="FirstParagraph"/>
      </w:pPr>
      <w:r>
        <w:rPr>
          <w:b w:val="0"/>
          <w:i w:val="0"/>
        </w:rPr>
        <w:t>Table 3 tracks exact match from Simple to Complex intents.</w:t>
      </w:r>
    </w:p>
    <w:p>
      <w:pPr>
        <w:pStyle w:val="BodyText"/>
      </w:pPr>
      <w:r>
        <w:rPr>
          <w:b w:val="0"/>
          <w:i/>
        </w:rPr>
        <w:t>Table 3: Phase 1 - Exact Match by Complexity (%).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340"/>
          </w:tcPr>
          <w:p>
            <w:r>
              <w:rPr>
                <w:b/>
              </w:rPr>
              <w:t>Simple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Complex</w:t>
            </w:r>
          </w:p>
        </w:tc>
        <w:tc>
          <w:tcPr>
            <w:tcW w:type="dxa" w:w="2340"/>
          </w:tcPr>
          <w:p>
            <w:r>
              <w:rPr>
                <w:b/>
              </w:rPr>
              <w:t>Degradation (pp)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Qwen 2.5 7B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46.7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20.4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-26.3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Gemma 2 9B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45.3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19.9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-25.4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Llama 3.1 8B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40.3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17.5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-22.8</w:t>
            </w:r>
          </w:p>
        </w:tc>
      </w:tr>
      <w:tr>
        <w:tc>
          <w:tcPr>
            <w:tcW w:type="dxa" w:w="2340"/>
          </w:tcPr>
          <w:p>
            <w:r>
              <w:rPr>
                <w:b w:val="0"/>
              </w:rPr>
              <w:t>GLM-4 9B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40.5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16.2</w:t>
            </w:r>
          </w:p>
        </w:tc>
        <w:tc>
          <w:tcPr>
            <w:tcW w:type="dxa" w:w="2340"/>
          </w:tcPr>
          <w:p>
            <w:r>
              <w:rPr>
                <w:b w:val="0"/>
              </w:rPr>
              <w:t>-24.3</w:t>
            </w:r>
          </w:p>
        </w:tc>
      </w:tr>
    </w:tbl>
    <w:p>
      <w:pPr>
        <w:pStyle w:val="BodyText"/>
      </w:pPr>
      <w:r>
        <w:rPr>
          <w:b w:val="0"/>
          <w:i w:val="0"/>
        </w:rPr>
        <w:t>Exact match drops by 22.8-26.3 pp from Simple to Complex across all families - a fundamental limitation: current SLMs handle explicit single-parameter intents competently but degrade sharply when contextual inference or multi-constraint reasoning is required.</w:t>
      </w:r>
    </w:p>
    <w:p/>
    <w:p>
      <w:r>
        <w:rPr>
          <w:b/>
          <w:i w:val="0"/>
          <w:sz w:val="26"/>
        </w:rPr>
        <w:t>4.4 DeepSeek-R1: Diagnostic Case Study</w:t>
      </w:r>
    </w:p>
    <w:p>
      <w:pPr>
        <w:pStyle w:val="FirstParagraph"/>
      </w:pPr>
      <w:r>
        <w:rPr>
          <w:b w:val="0"/>
          <w:i w:val="0"/>
        </w:rPr>
        <w:t>DeepSeek-R1 8B, a reasoning-oriented model, produced 0.0% format accuracy across all 200 intents despite generating 51,200 tokens (6.2x the next-highest model). Root causes: (1) unbounded reasoning exhausts the 1024-token budget during the thinking phase, never reaching the answer; (2) the Ollama API splits thinking/content fields - joining and stripping &lt;think&gt; tags did not fix the underlying budget exhaustion; (3) on CPU the model exhibited unbounded thinking loops, once consuming 1,556% CPU for over 8 hours before manual termination. Implication: reasoning-oriented architectures are currently incompatible with CPU-only edge inference for latency-bounded applications.</w:t>
      </w:r>
    </w:p>
    <w:p/>
    <w:p>
      <w:r>
        <w:rPr>
          <w:b/>
          <w:i w:val="0"/>
          <w:sz w:val="26"/>
        </w:rPr>
        <w:t>4.5 Token Efficiency</w:t>
      </w:r>
    </w:p>
    <w:p>
      <w:pPr>
        <w:pStyle w:val="FirstParagraph"/>
      </w:pPr>
      <w:r>
        <w:rPr>
          <w:b w:val="0"/>
          <w:i w:val="0"/>
        </w:rPr>
        <w:t>Across non-reasoning Phase-1 models, token counts are remarkably consistent (8,028-8,452 tokens for 200 intents, 40-42 tokens/intent), suggesting architecture affects what tokens are generated more than how many. DeepSeek-R1's 51,200 tokens (256/intent) is a 6.2x overhead with zero useful output.</w:t>
      </w:r>
    </w:p>
    <w:p/>
    <w:p>
      <w:r>
        <w:rPr>
          <w:b/>
          <w:i w:val="0"/>
          <w:sz w:val="32"/>
        </w:rPr>
        <w:t>5. Phase 2: Size Scaling and Quantization Impact</w:t>
      </w:r>
    </w:p>
    <w:p>
      <w:pPr>
        <w:pStyle w:val="FirstParagraph"/>
      </w:pPr>
      <w:r>
        <w:rPr>
          <w:b w:val="0"/>
          <w:i w:val="0"/>
        </w:rPr>
        <w:t>Phase 2 asks: (1) how does Qwen 2.5 accuracy scale from 0.5B to 7B? and (2) how does quantization precision (Q2_K, Q4_K_M, Q8_0) affect the accuracy-efficiency trade-off at each size? All 12 configurations run under the instrumented v2 protocol with per-intent CPU, memory, and energy telemetry; every value carries a 95% CI over n = 200 intents.</w:t>
      </w:r>
    </w:p>
    <w:p/>
    <w:p>
      <w:r>
        <w:rPr>
          <w:b/>
          <w:i w:val="0"/>
          <w:sz w:val="26"/>
        </w:rPr>
        <w:t>5.1 Accuracy Scaling</w:t>
      </w:r>
    </w:p>
    <w:p>
      <w:pPr>
        <w:pStyle w:val="BodyText"/>
      </w:pPr>
      <w:r>
        <w:rPr>
          <w:b w:val="0"/>
          <w:i/>
        </w:rPr>
        <w:t>Table 4: Phase 2 - Exact Match (%) by Size and Quantization [95% CI].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Q2_K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Q4_K_M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Q8_0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Q2-&gt;Q8 delta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Q4-&gt;Q8 gain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0.5B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18.3 [14.9, 21.8]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18.5 [15.0, 22.0]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19.4 [16.0, 22.8]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+1.1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+0.9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1.5B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22.1 [18.4, 25.7]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25.8 [21.9, 29.7]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25.7 [21.6, 29.7]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+3.6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-0.1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3.0B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24.1 [20.3, 28.0]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27.3 [23.2, 31.4]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26.8 [22.7, 30.9]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+2.7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-0.5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7.0B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29.0 [24.9, 33.0]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29.8 [25.8, 33.9]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30.5 [26.3, 34.6]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+1.5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+0.7</w:t>
            </w:r>
          </w:p>
        </w:tc>
      </w:tr>
      <w:tr>
        <w:tc>
          <w:tcPr>
            <w:tcW w:type="dxa" w:w="15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—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+2.2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+0.3</w:t>
            </w:r>
          </w:p>
        </w:tc>
      </w:tr>
    </w:tbl>
    <w:p>
      <w:pPr>
        <w:jc w:val="center"/>
      </w:pPr>
      <w:r>
        <w:drawing>
          <wp:inline>
            <wp:extent cx="5394960" cy="38743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m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4: Phase 2 - average exact match by size, grouped by quantization level.</w:t>
      </w:r>
    </w:p>
    <w:p/>
    <w:p>
      <w:pPr>
        <w:ind w:left="432"/>
      </w:pPr>
      <w:r>
        <w:t>•  Finding 1 - diminishing returns in size: the 3B Q4_K_M model achieves 91.6% of 7B accuracy (27.3% vs 29.8%) at 40% of the disk footprint, 60% of the energy, and 1.6x the speed - the efficiency sweet spot.</w:t>
      </w:r>
    </w:p>
    <w:p/>
    <w:p>
      <w:pPr>
        <w:ind w:left="432"/>
      </w:pPr>
      <w:r>
        <w:t>•  Finding 2 - quantization sensitivity peaks at intermediate sizes: the Q2-&gt;Q8 gap is inverted-U (0.5B 1.1 pp, 1.5B 3.6 pp, 3B 2.7 pp, 7B 1.5 pp). When quantizing aggressively, prefer 0.5B or 7B over intermediate sizes.</w:t>
      </w:r>
    </w:p>
    <w:p/>
    <w:p>
      <w:pPr>
        <w:ind w:left="432"/>
      </w:pPr>
      <w:r>
        <w:t>•  Finding 3 - Q4-to-Q8 negligible: the gap averages 0.3 pp across sizes, inside every CI - Q4_K_M is the sweet spot, statistically indistinguishable from Q8_0 at 30-55% smaller disk.</w:t>
      </w:r>
    </w:p>
    <w:p/>
    <w:p>
      <w:pPr>
        <w:ind w:left="432"/>
      </w:pPr>
      <w:r>
        <w:t>•  Finding 4 - cross-size Pareto dominance: 7B Q2_K (29.0%) outperforms 3B Q8_0 (26.8%) at comparable disk, challenging the heuristic that higher-bit small models always beat lower-bit larger ones.</w:t>
      </w:r>
    </w:p>
    <w:p/>
    <w:p>
      <w:r>
        <w:rPr>
          <w:b/>
          <w:i w:val="0"/>
          <w:sz w:val="26"/>
        </w:rPr>
        <w:t>5.2 Inference Efficiency</w:t>
      </w:r>
    </w:p>
    <w:p>
      <w:pPr>
        <w:pStyle w:val="BodyText"/>
      </w:pPr>
      <w:r>
        <w:rPr>
          <w:b w:val="0"/>
          <w:i/>
        </w:rPr>
        <w:t>Table 5: Phase 2 - Inference Time (s/intent) [95% CI] and Throughput (tokens/s).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Q2_K Time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Q4_K_M Time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Q8_0 Time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Q2_K Tok/s</w:t>
            </w:r>
          </w:p>
        </w:tc>
        <w:tc>
          <w:tcPr>
            <w:tcW w:type="dxa" w:w="1560"/>
          </w:tcPr>
          <w:p>
            <w:r>
              <w:rPr>
                <w:b/>
              </w:rPr>
              <w:t>Q8_0 Tok/s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0.5B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4.31 [3.91, 4.70]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4.67 [4.30, 5.04]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4.84 [4.45, 5.23]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9.4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7.0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1.5B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7.80 [5.45, 10.14]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7.52 [6.98, 8.06]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5.30 [4.95, 5.65]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5.4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8.9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3.0B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9.47 [8.86, 10.07]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9.44 [8.81, 10.06]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7.66 [7.10, 8.22]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3.8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4.9</w:t>
            </w:r>
          </w:p>
        </w:tc>
      </w:tr>
      <w:tr>
        <w:tc>
          <w:tcPr>
            <w:tcW w:type="dxa" w:w="1560"/>
          </w:tcPr>
          <w:p>
            <w:r>
              <w:rPr>
                <w:b w:val="0"/>
              </w:rPr>
              <w:t>7.0B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13.78 [12.74, 14.83]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15.00 [13.87, 16.12]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20.38 [18.94, 21.82]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3.0</w:t>
            </w:r>
          </w:p>
        </w:tc>
        <w:tc>
          <w:tcPr>
            <w:tcW w:type="dxa" w:w="1560"/>
          </w:tcPr>
          <w:p>
            <w:r>
              <w:rPr>
                <w:b w:val="0"/>
              </w:rPr>
              <w:t>1.9</w:t>
            </w:r>
          </w:p>
        </w:tc>
      </w:tr>
    </w:tbl>
    <w:p>
      <w:pPr>
        <w:jc w:val="center"/>
      </w:pPr>
      <w:r>
        <w:drawing>
          <wp:inline>
            <wp:extent cx="5394960" cy="38743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ti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5: Phase 2 - inference time per intent by size and quantization.</w:t>
      </w:r>
    </w:p>
    <w:p>
      <w:pPr>
        <w:jc w:val="center"/>
      </w:pPr>
      <w:r>
        <w:drawing>
          <wp:inline>
            <wp:extent cx="5394960" cy="38743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t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6: Phase 2 - decode throughput (tokens/s) by size and quantization.</w:t>
      </w:r>
    </w:p>
    <w:p/>
    <w:p>
      <w:pPr>
        <w:ind w:left="432"/>
      </w:pPr>
      <w:r>
        <w:t>•  Finding 5 - quantization-speed crossover: at 1.5B-3B, Q8_0 is fastest (8-bit weights feed CPU SIMD directly), but at 7B, Q8_0 becomes slowest (20.4 s vs 15.0 s for Q4_K_M) because its 11.4 GB working set saturates memory bandwidth. The compute-to-bandwidth crossover lies between 3B and 7B on this hardware.</w:t>
      </w:r>
    </w:p>
    <w:p/>
    <w:p>
      <w:pPr>
        <w:ind w:left="432"/>
      </w:pPr>
      <w:r>
        <w:t>•  Finding 6 - 0.5B efficiency ceiling: 0.5B inference times are nearly identical across quantization (4.3-4.8 s), dominated by fixed overhead rather than weight-dependent computation.</w:t>
      </w:r>
    </w:p>
    <w:p/>
    <w:p>
      <w:r>
        <w:rPr>
          <w:b/>
          <w:i w:val="0"/>
          <w:sz w:val="26"/>
        </w:rPr>
        <w:t>5.3 Format Accuracy</w:t>
      </w:r>
    </w:p>
    <w:p>
      <w:pPr>
        <w:pStyle w:val="FirstParagraph"/>
      </w:pPr>
      <w:r>
        <w:rPr>
          <w:b w:val="0"/>
          <w:i w:val="0"/>
        </w:rPr>
        <w:t>Format accuracy is high across all configurations (&gt;=96%), rising with size; all 7B configurations reach 100.0%. Format compliance is not a differentiator at &gt;=1.5B - accuracy, latency, and resource metrics are the primary decision variables.</w:t>
      </w:r>
    </w:p>
    <w:p/>
    <w:p>
      <w:r>
        <w:rPr>
          <w:b/>
          <w:i w:val="0"/>
          <w:sz w:val="26"/>
        </w:rPr>
        <w:t>5.4 Domain-Level Analysis</w:t>
      </w:r>
    </w:p>
    <w:p>
      <w:pPr>
        <w:pStyle w:val="BodyText"/>
      </w:pPr>
      <w:r>
        <w:rPr>
          <w:b w:val="0"/>
          <w:i/>
        </w:rPr>
        <w:t>Table 7: Phase 2 - Action Correct by Domain (%) [selected configurations].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Provisioning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Scaling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Conflict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Provisioning Exact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0.5B Q2_K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44.3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14.3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11.7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31.2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0.5B Q8_0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40.0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22.9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13.3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31.5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1.5B Q4_K_M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75.7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30.0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13.3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43.7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3.0B Q4_K_M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22.9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8.3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52.4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7.0B Q2_K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98.6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15.7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6.7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53.4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7.0B Q4_K_M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18.6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6.7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55.2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7.0B Q8_0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100.0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21.4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5.0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56.5</w:t>
            </w:r>
          </w:p>
        </w:tc>
      </w:tr>
    </w:tbl>
    <w:p>
      <w:pPr>
        <w:jc w:val="center"/>
      </w:pPr>
      <w:r>
        <w:drawing>
          <wp:inline>
            <wp:extent cx="5394960" cy="387439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7: Phase 2 - action accuracy by size and quantization.</w:t>
      </w:r>
    </w:p>
    <w:p/>
    <w:p>
      <w:pPr>
        <w:ind w:left="432"/>
      </w:pPr>
      <w:r>
        <w:t>•  Finding 7 - Provisioning scales rapidly with size: from 40-70% at 0.5B to ~76% at 1.5B and essentially solved (100%) at 3B; parameter-level exact match still climbs to 56.5% at 7B Q8_0.</w:t>
      </w:r>
    </w:p>
    <w:p/>
    <w:p>
      <w:pPr>
        <w:ind w:left="432"/>
      </w:pPr>
      <w:r>
        <w:t>•  Finding 8 - Scaling and Conflict do not benefit from size: Scaling fluctuates 14-30% with no upward trend, and Conflict remains at 5-13%. Size scaling alone cannot address multi-step reasoning.</w:t>
      </w:r>
    </w:p>
    <w:p/>
    <w:p>
      <w:r>
        <w:rPr>
          <w:b/>
          <w:i w:val="0"/>
          <w:sz w:val="26"/>
        </w:rPr>
        <w:t>5.5 Complexity Robustness</w:t>
      </w:r>
    </w:p>
    <w:p>
      <w:pPr>
        <w:pStyle w:val="FirstParagraph"/>
      </w:pPr>
      <w:r>
        <w:rPr>
          <w:b w:val="0"/>
          <w:i w:val="0"/>
        </w:rPr>
        <w:t>Simple-to-Complex exact match drops by 22.7-28.2 pp across all 12 configurations - a fundamental difficulty boundary orthogonal to size and quantization. Encouragingly, Ambiguous-intent accuracy scales markedly with size (5-7% at 0.5B to 19-21% at 7B), while multi-constraint Conflict reasoning does not. This decoupling localizes the SLM reasoning gap to combinatorial constraint resolution rather than contextual inference generally.</w:t>
      </w:r>
    </w:p>
    <w:p/>
    <w:p>
      <w:r>
        <w:rPr>
          <w:b/>
          <w:i w:val="0"/>
          <w:sz w:val="26"/>
        </w:rPr>
        <w:t>5.6 Token Efficiency</w:t>
      </w:r>
    </w:p>
    <w:p>
      <w:pPr>
        <w:pStyle w:val="FirstParagraph"/>
      </w:pPr>
      <w:r>
        <w:rPr>
          <w:b w:val="0"/>
          <w:i w:val="0"/>
        </w:rPr>
        <w:t>Token generation per intent ranges from 34 (0.5B Q8_0) to 49 (1.5B Q4_K_M); the 1.5B tier is systematically the most verbose, partially explaining its latency profile. Total benchmark time ranges from 14.4 min (0.5B Q2_K) to 67.9 min (7B Q8_0) - a 4.7x range with direct operational implications.</w:t>
      </w:r>
    </w:p>
    <w:p/>
    <w:p>
      <w:r>
        <w:rPr>
          <w:b/>
          <w:i w:val="0"/>
          <w:sz w:val="26"/>
        </w:rPr>
        <w:t>5.7 Combined Pareto Analysis - the 3B Q4_K_M Sweet Spot</w:t>
      </w:r>
    </w:p>
    <w:p>
      <w:pPr>
        <w:pStyle w:val="FirstParagraph"/>
      </w:pPr>
      <w:r>
        <w:rPr>
          <w:b w:val="0"/>
          <w:i w:val="0"/>
        </w:rPr>
        <w:t>The headline result of Phase 2 is that a 3B model at 4-bit (Q4_K_M) quantization, not a 7B model, occupies the accuracy-efficiency sweet spot for slice-management action selection. Figure 8 plots all 12 (size x quantization) configurations against the two costs that matter on CPU-only edge hardware - peak memory and per-intent latency - with action-correctness on the vertical axis. Marker shape denotes model size and colour denotes quantization; the dashed line is the Pareto frontier and the gold ring marks 3B Q4_K_M.</w:t>
      </w:r>
    </w:p>
    <w:p>
      <w:pPr>
        <w:jc w:val="center"/>
      </w:pPr>
      <w:r>
        <w:drawing>
          <wp:inline>
            <wp:extent cx="5852160" cy="28438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phase2_headlin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43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8: Phase 2 action-accuracy Pareto fronts. Left: action-correct vs peak memory; right: action-correct vs latency. 3B Q4_K_M (gold ring) is the frontier endpoint on both axes - it attains the highest action accuracy of any configuration while remaining cheaper and faster than every 7B variant.</w:t>
      </w:r>
    </w:p>
    <w:p>
      <w:pPr>
        <w:pStyle w:val="FirstParagraph"/>
      </w:pPr>
      <w:r>
        <w:rPr>
          <w:b w:val="0"/>
          <w:i w:val="0"/>
        </w:rPr>
        <w:t>Three facts make 3B Q4_K_M stand out (all n=200, from ci_summary_v3.json):</w:t>
      </w:r>
    </w:p>
    <w:p/>
    <w:p>
      <w:pPr>
        <w:ind w:left="432"/>
      </w:pPr>
      <w:r>
        <w:t>•  Highest action accuracy of all 12 configurations: 45.5% action-correct, edging out 7B Q8_0 (44.0%), 7B Q2_K (42.0%), and 7B Q4_K_M (43.5%). Choosing the right slice operation - the decision that actually drives the orchestrator - peaks at 3B, not 7B.</w:t>
      </w:r>
    </w:p>
    <w:p/>
    <w:p>
      <w:pPr>
        <w:ind w:left="432"/>
      </w:pPr>
      <w:r>
        <w:t>•  One-third the memory of large models: 3,323 MB peak resident memory, versus 4,922 MB for 7B Q4_K_M and 11,429 MB for 7B Q8_0. It fits comfortably in a &lt;4 GB edge-node budget.</w:t>
      </w:r>
    </w:p>
    <w:p/>
    <w:p>
      <w:pPr>
        <w:ind w:left="432"/>
      </w:pPr>
      <w:r>
        <w:t>•  Faster than every 7B config: 9.4 s/intent, about 1.6x faster than 7B Q4_K_M (15.0 s) and 2.2x faster than 7B Q8_0 (20.4 s).</w:t>
      </w:r>
    </w:p>
    <w:p/>
    <w:p>
      <w:pPr>
        <w:ind w:left="432"/>
      </w:pPr>
      <w:r>
        <w:t>•  Consequently it dominates all three 7B variants on the memory and latency Pareto fronts: no 7B configuration is simultaneously more accurate, cheaper, and faster.</w:t>
      </w:r>
    </w:p>
    <w:p>
      <w:pPr>
        <w:pStyle w:val="FirstParagraph"/>
      </w:pPr>
      <w:r>
        <w:rPr>
          <w:b w:val="0"/>
          <w:i w:val="0"/>
        </w:rPr>
        <w:t>The one axis on which 7B still leads is parameter-level exact match (7B Q8_0 30.5% vs 3B Q4_K_M 27.3%) - i.e. filling in every optional field, not selecting the correct action. For closed-loop slice orchestration, where a correct CREATE/SCALE/RESOLVE decision matters more than exhaustive field completion, 3B Q4_K_M is therefore the recommended default; 7B is reserved for workflows that require maximal field-level completeness and can absorb 3x the memory and 1.6-2.2x the latency. Figures 9 and 10 give the single-axis views used on slides.</w:t>
      </w:r>
    </w:p>
    <w:p>
      <w:pPr>
        <w:jc w:val="center"/>
      </w:pPr>
      <w:r>
        <w:drawing>
          <wp:inline>
            <wp:extent cx="5394960" cy="40679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phase2_action_vs_memor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6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9: Action accuracy vs peak memory (standalone). 3B Q4_K_M sits at the top-right knee of the frontier - maximal accuracy at the lowest memory needed to reach it.</w:t>
      </w:r>
    </w:p>
    <w:p>
      <w:pPr>
        <w:jc w:val="center"/>
      </w:pPr>
      <w:r>
        <w:drawing>
          <wp:inline>
            <wp:extent cx="5394960" cy="40679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eto_phase2_action_vs_tim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67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10: Action accuracy vs latency (standalone). All 7B configurations fall below and to the right of 3B Q4_K_M - slower without being more action-accurate.</w:t>
      </w:r>
    </w:p>
    <w:p/>
    <w:p>
      <w:r>
        <w:rPr>
          <w:b/>
          <w:i w:val="0"/>
          <w:sz w:val="26"/>
        </w:rPr>
        <w:t>5.8 Resource Consumption: CPU, Memory, and Energy</w:t>
      </w:r>
    </w:p>
    <w:p>
      <w:pPr>
        <w:pStyle w:val="FirstParagraph"/>
      </w:pPr>
      <w:r>
        <w:rPr>
          <w:b w:val="0"/>
          <w:i w:val="0"/>
        </w:rPr>
        <w:t>This section presents the per-intent resource telemetry - the principal addition of the instrumented re-run. Table 10 reports measured CPU utilization, peak resident memory, and derived energy for all 12 configurations.</w:t>
      </w:r>
    </w:p>
    <w:p>
      <w:pPr>
        <w:pStyle w:val="BodyText"/>
      </w:pPr>
      <w:r>
        <w:rPr>
          <w:b w:val="0"/>
          <w:i/>
        </w:rPr>
        <w:t>Table 10: Phase 2 - Resource Telemetry [mean, 95% CI, n=200].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Configuration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CPU (%)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Peak RSS (MB)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Energy (J/intent)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Eff. (Match%/kJ)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0.5B Q2_K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68.8 [67.0, 70.6]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2,605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436 [384, 487]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42.0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0.5B Q4_K_M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69.1 [67.2, 71.1]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575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477 [429, 525]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38.8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0.5B Q8_0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71.6 [70.0, 73.3]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2,166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505 [454, 555]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38.4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1.5B Q2_K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76.9 [75.3, 78.5]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1,372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897 [592, 1,202]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24.6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1.5B Q4_K_M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80.6 [79.5, 81.8]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1,720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850 [780, 920]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30.4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1.5B Q8_0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83.1 [82.2, 84.1]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2,480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611 [566, 656]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42.1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3.0B Q2_K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85.8 [85.1, 86.4]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2,453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1,117 [1,037, 1,198]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21.6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3.0B Q4_K_M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86.1 [85.3, 87.0]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3,323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1,122 [1,039, 1,205]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24.3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3.0B Q8_0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88.4 [87.8, 89.1]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5,225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931 [857, 1,005]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28.8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7.0B Q2_K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91.2 [90.8, 91.6]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8,149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1,719 [1,580, 1,857]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16.9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7.0B Q4_K_M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91.9 [91.4, 92.3]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4,922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1,884 [1,734, 2,034]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15.8</w:t>
            </w:r>
          </w:p>
        </w:tc>
      </w:tr>
      <w:tr>
        <w:tc>
          <w:tcPr>
            <w:tcW w:type="dxa" w:w="1872"/>
          </w:tcPr>
          <w:p>
            <w:r>
              <w:rPr>
                <w:b w:val="0"/>
              </w:rPr>
              <w:t>7.0B Q8_0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94.1 [93.8, 94.5]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11,429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2,613 [2,420, 2,806]</w:t>
            </w:r>
          </w:p>
        </w:tc>
        <w:tc>
          <w:tcPr>
            <w:tcW w:type="dxa" w:w="1872"/>
          </w:tcPr>
          <w:p>
            <w:r>
              <w:rPr>
                <w:b w:val="0"/>
              </w:rPr>
              <w:t>11.7</w:t>
            </w:r>
          </w:p>
        </w:tc>
      </w:tr>
    </w:tbl>
    <w:p>
      <w:pPr>
        <w:jc w:val="center"/>
      </w:pPr>
      <w:r>
        <w:drawing>
          <wp:inline>
            <wp:extent cx="5394960" cy="38743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peak_me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11: Phase 2 - peak resident memory by size and quantization.</w:t>
      </w:r>
    </w:p>
    <w:p>
      <w:pPr>
        <w:jc w:val="center"/>
      </w:pPr>
      <w:r>
        <w:drawing>
          <wp:inline>
            <wp:extent cx="5394960" cy="387439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cpu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12: Phase 2 - measured CPU utilization by size and quantization.</w:t>
      </w:r>
    </w:p>
    <w:p>
      <w:pPr>
        <w:jc w:val="center"/>
      </w:pPr>
      <w:r>
        <w:drawing>
          <wp:inline>
            <wp:extent cx="5394960" cy="38743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per_bar_energ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74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 w:val="0"/>
          <w:i/>
        </w:rPr>
        <w:t>Figure 13: Phase 2 - energy per intent by size and quantization.</w:t>
      </w:r>
    </w:p>
    <w:p/>
    <w:p>
      <w:pPr>
        <w:ind w:left="432"/>
      </w:pPr>
      <w:r>
        <w:t>•  Finding 9 - CPU utilization scales with size (69% to 94%): direct evidence of the memory bandwidth bottleneck. Small models cannot keep 16 cores busy; as parameter count grows, weight streaming dominates and utilization asymptotes toward saturation. Higher-precision variants show higher utilization within each size class, corroborating the bandwidth interpretation.</w:t>
      </w:r>
    </w:p>
    <w:p/>
    <w:p>
      <w:pPr>
        <w:ind w:left="432"/>
      </w:pPr>
      <w:r>
        <w:t>•  Finding 10 - flat-utilization models overestimate small models: measured-utilization energy is 15-25% lower for 0.5B configurations than a naive 95%-of-TDP model (e.g. 0.5B Q4_K_M: 477 J vs 599 J). This bias compounds into overprovisioned power and cooling budgets at fleet scale.</w:t>
      </w:r>
    </w:p>
    <w:p/>
    <w:p>
      <w:pPr>
        <w:ind w:left="432"/>
      </w:pPr>
      <w:r>
        <w:t>•  Finding 11 - energy efficiency inverts the accuracy ranking: as Match%/kJ, 1.5B Q8_0 (42.1) and the 0.5B tier (38-42) lead, while the accuracy-leading 7B tier is 2.5-3.6x less efficient. Moving from 1.5B Q8_0 to 7B Q8_0 buys +4.8 pp exact match at 4.3x the energy.</w:t>
      </w:r>
    </w:p>
    <w:p/>
    <w:p>
      <w:pPr>
        <w:ind w:left="432"/>
      </w:pPr>
      <w:r>
        <w:t>•  Finding 12 - memory footprint, not disk size, is the constraint: peak RSS spans 575 MB to 11.4 GB. 7B Q8_0 exceeds the 8 GB envelope of typical far-edge nodes, whereas 7B Q4_K_M (4.9 GB) fits comfortably - a further argument for Q4_K_M as the default precision.</w:t>
      </w:r>
    </w:p>
    <w:p/>
    <w:p>
      <w:r>
        <w:rPr>
          <w:b/>
          <w:i w:val="0"/>
          <w:sz w:val="32"/>
        </w:rPr>
        <w:t>6. Discussion</w:t>
      </w:r>
    </w:p>
    <w:p/>
    <w:p>
      <w:r>
        <w:rPr>
          <w:b/>
          <w:i w:val="0"/>
          <w:sz w:val="26"/>
        </w:rPr>
        <w:t>6.1 Deployment Guidelines for 6G Edge</w:t>
      </w:r>
    </w:p>
    <w:p>
      <w:pPr>
        <w:pStyle w:val="FirstParagraph"/>
      </w:pPr>
      <w:r>
        <w:rPr>
          <w:b w:val="0"/>
          <w:i w:val="0"/>
        </w:rPr>
        <w:t>Our results support the following decision framework, incorporating measured energy and memory: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Deployment Scenario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Recommended Config</w:t>
            </w:r>
          </w:p>
        </w:tc>
        <w:tc>
          <w:tcPr>
            <w:tcW w:type="dxa" w:w="3120"/>
          </w:tcPr>
          <w:p>
            <w:r>
              <w:rPr>
                <w:b/>
              </w:rPr>
              <w:t>Rationale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Maximum accuracy, relaxed latency (&gt;20 s)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Qwen 2.5 7B, Q8_0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30.5% exact match; requires &gt;11 GB RAM and 2.6 kJ/intent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Balanced accuracy-speed (production default)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Qwen 2.5 7B, Q4_K_M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29.8% at 15.0 s, 4.9 GB RAM, 28% less energy than Q8_0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Memory-constrained edge (&lt;5 GB)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Qwen 2.5 7B Q2_K or 3B Q4_K_M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29.0% / 27.3%; Q2_K trades 0.8 pp for lower footprint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Best action selection / efficiency sweet spot (&lt;4 GB, fast)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Qwen 2.5 3B, Q4_K_M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45.5% action-correct (highest of all 12), 3,323 MB, 9.4 s - beats every 7B config on action accuracy while ~1.6x faster and ~1/3 the memory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Energy-capped / sustainability-first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Qwen 2.5 1.5B, Q8_0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25.7% at 5.3 s and 611 J; best Match%/kJ of all 12 configs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Ultra-low-latency (&lt;5 s target)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Qwen 2.5 0.5B, Q8_0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19.4% at 4.8 s; best accuracy under 5 s</w:t>
            </w:r>
          </w:p>
        </w:tc>
      </w:tr>
      <w:tr>
        <w:tc>
          <w:tcPr>
            <w:tcW w:type="dxa" w:w="3120"/>
          </w:tcPr>
          <w:p>
            <w:r>
              <w:rPr>
                <w:b w:val="0"/>
              </w:rPr>
              <w:t>Provisioning-only workloads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Qwen 2.5 3B, Q4_K_M</w:t>
            </w:r>
          </w:p>
        </w:tc>
        <w:tc>
          <w:tcPr>
            <w:tcW w:type="dxa" w:w="3120"/>
          </w:tcPr>
          <w:p>
            <w:r>
              <w:rPr>
                <w:b w:val="0"/>
              </w:rPr>
              <w:t>100% action correct on Provisioning at 3.3 GB RAM</w:t>
            </w:r>
          </w:p>
        </w:tc>
      </w:tr>
    </w:tbl>
    <w:p/>
    <w:p>
      <w:r>
        <w:rPr>
          <w:b/>
          <w:i w:val="0"/>
          <w:sz w:val="26"/>
        </w:rPr>
        <w:t>6.2 Cross-Family Selection</w:t>
      </w:r>
    </w:p>
    <w:p/>
    <w:p>
      <w:pPr>
        <w:ind w:left="432"/>
      </w:pPr>
      <w:r>
        <w:t>•  Qwen 2.5 7B is the unambiguous accuracy-speed leader at ~8B.</w:t>
      </w:r>
    </w:p>
    <w:p/>
    <w:p>
      <w:pPr>
        <w:ind w:left="432"/>
      </w:pPr>
      <w:r>
        <w:t>•  Llama 3.1 8B is a strong alternative with identical format compliance and competitive speed, suitable when Llama ecosystem compatibility is prioritized.</w:t>
      </w:r>
    </w:p>
    <w:p/>
    <w:p>
      <w:pPr>
        <w:ind w:left="432"/>
      </w:pPr>
      <w:r>
        <w:t>•  Gemma 2 9B should be considered only when action prediction (45.5%) is the primary metric and latency is relaxed (&gt;30 s acceptable).</w:t>
      </w:r>
    </w:p>
    <w:p/>
    <w:p>
      <w:pPr>
        <w:ind w:left="432"/>
      </w:pPr>
      <w:r>
        <w:t>•  GLM-4 9B is not recommended for English network orchestration without prompt adaptation.</w:t>
      </w:r>
    </w:p>
    <w:p/>
    <w:p>
      <w:pPr>
        <w:ind w:left="432"/>
      </w:pPr>
      <w:r>
        <w:t>•  DeepSeek-R1 and reasoning-oriented architectures should be avoided for CPU-only edge deployment pending resolution of unbounded token generation.</w:t>
      </w:r>
    </w:p>
    <w:p/>
    <w:p>
      <w:r>
        <w:rPr>
          <w:b/>
          <w:i w:val="0"/>
          <w:sz w:val="26"/>
        </w:rPr>
        <w:t>6.3 Limitations and Future Work</w:t>
      </w:r>
    </w:p>
    <w:p>
      <w:pPr>
        <w:pStyle w:val="FirstParagraph"/>
      </w:pPr>
      <w:r>
        <w:rPr>
          <w:b w:val="0"/>
          <w:i w:val="0"/>
        </w:rPr>
        <w:t>Energy is derived from measured CPU utilization x TDP x time (RAPL is unavailable inside Proxmox KVM guests); absolute joule values retain ~±15% uncertainty. All experiments are CPU-only; a GPU replication would shift the Pareto frontier. Results reflect one prompt design; the 200-intent dataset covers three domains but not fault/optimization/security intents; all models are zero-shot (no fine-tuning); and each intent is evaluated once (across-intent CIs, not across-run). Multi-seed replication, prompt-robustness analysis, and domain-specific fine-tuning are high-priority directions.</w:t>
      </w:r>
    </w:p>
    <w:p/>
    <w:p>
      <w:r>
        <w:rPr>
          <w:b/>
          <w:i w:val="0"/>
          <w:sz w:val="32"/>
        </w:rPr>
        <w:t>7. Conclusion</w:t>
      </w:r>
    </w:p>
    <w:p>
      <w:pPr>
        <w:pStyle w:val="FirstParagraph"/>
      </w:pPr>
      <w:r>
        <w:rPr>
          <w:b w:val="0"/>
          <w:i w:val="0"/>
        </w:rPr>
        <w:t>This paper presented the first systematic, multi-dimensional empirical evaluation of SLMs for intent-driven slice lifecycle management in 6G core networks, with per-intent resource telemetry and 95% CIs across 16 model configurations and 3,200+ instrumented inferences. We identified:</w:t>
      </w:r>
    </w:p>
    <w:p/>
    <w:p>
      <w:pPr>
        <w:ind w:left="432"/>
      </w:pPr>
      <w:r>
        <w:t>•  Architecture matters more than size at ~8B: Qwen 2.5 7B outperforms geo-diverse competitors by 0.5-5.2 pp exact match while being 1.3-2.7x faster.</w:t>
      </w:r>
    </w:p>
    <w:p/>
    <w:p>
      <w:pPr>
        <w:ind w:left="432"/>
      </w:pPr>
      <w:r>
        <w:t>•  CPU utilization scales with size (69% to 94%), empirically confirming memory bandwidth as the binding constraint and invalidating flat-utilization energy models (15-25% small-model overestimate).</w:t>
      </w:r>
    </w:p>
    <w:p/>
    <w:p>
      <w:pPr>
        <w:ind w:left="432"/>
      </w:pPr>
      <w:r>
        <w:t>•  3B is the efficiency sweet spot (92% of 7B accuracy at 40% disk, 60% energy, 1.6x speed); 1.5B Q8_0 is the energy-efficiency champion (42 Match%/kJ).</w:t>
      </w:r>
    </w:p>
    <w:p/>
    <w:p>
      <w:pPr>
        <w:ind w:left="432"/>
      </w:pPr>
      <w:r>
        <w:t>•  Aggressive quantization can outperform larger high-bit models (7B Q2_K &gt; 3B Q8_0); Q4_K_M is statistically indistinguishable from Q8_0 at every size, making 4-bit the default.</w:t>
      </w:r>
    </w:p>
    <w:p/>
    <w:p>
      <w:pPr>
        <w:ind w:left="432"/>
      </w:pPr>
      <w:r>
        <w:t>•  The fastest quantization level is size-dependent, with the compute-to-bandwidth crossover between 3B and 7B on edge-class CPUs.</w:t>
      </w:r>
    </w:p>
    <w:p/>
    <w:p>
      <w:pPr>
        <w:ind w:left="432"/>
      </w:pPr>
      <w:r>
        <w:t>•  Domain difficulty spans an order of magnitude (Provisioning solved, Conflict near-random); Ambiguous accuracy triples with scale while Conflict does not, localizing the reasoning gap to combinatorial constraint resolution.</w:t>
      </w:r>
    </w:p>
    <w:p/>
    <w:p>
      <w:pPr>
        <w:ind w:left="432"/>
      </w:pPr>
      <w:r>
        <w:t>•  Complexity robustness is a universal weakness (23-28 pp Simple-&gt;Complex drop at every scale).</w:t>
      </w:r>
    </w:p>
    <w:p/>
    <w:p>
      <w:pPr>
        <w:ind w:left="432"/>
      </w:pPr>
      <w:r>
        <w:t>•  Reasoning models are not edge-ready: DeepSeek-R1's CPU failure cautions that architectural innovations must be validated on deployment-hardware targets, not just GPU benchmarks.</w:t>
      </w:r>
    </w:p>
    <w:p/>
    <w:p>
      <w:r>
        <w:rPr>
          <w:b/>
          <w:i w:val="0"/>
          <w:sz w:val="26"/>
        </w:rPr>
        <w:t>Data Availability</w:t>
      </w:r>
    </w:p>
    <w:p>
      <w:pPr>
        <w:pStyle w:val="BodyText"/>
      </w:pPr>
      <w:r>
        <w:rPr>
          <w:b w:val="0"/>
          <w:i w:val="0"/>
        </w:rPr>
        <w:t>All experimental data (instrumented resource_v3 re-run), benchmark code (benchmark_runner_v2.py with psutil telemetry and CI computation), and the 13 figures in this edition (regenerated by scripts/visualize_paper_v3.py) are available in the project repository (github.com/bottle-kung/empirical-benchmarking-slm-agents-6g-slice-management, branch v2). The 200 annotated intents are in dataset/intents.jsonl. See paper/DATA_TIMELINE.md for full data provenance.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Empirical Evaluation of Small Language Models for Intent-Driven Slice Lifecycle Management in 6G Core Networks</dc:title>
  <dc:creator>[Authors — RB-RU Research]</dc:creator>
  <cp:keywords/>
  <dcterms:created xsi:type="dcterms:W3CDTF">2026-07-17T17:14:49Z</dcterms:created>
  <dcterms:modified xsi:type="dcterms:W3CDTF">2026-07-17T17:14:49Z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Intent-driven management is a cornerstone of 6G network automation, enabling operators to express desired outcomes in natural language that autonomous agents translate into orchestration commands. Deploying such agents at the network edge on resource-constrained, CPU-only infrastructure demands Small Language Models (SLMs) that balance accuracy with inference speed, memory footprint, and energy consumption. This paper presents a comprehensive empirical evaluation of open-weight SLMs for 6G intent-to-action translation across two controlled experiments with per-intent resource monitoring. Phase 1 benchmarks five model families at the ~8B scale (Llama 3.1 8B, Qwen 2.5 7B, Gemma 2 9B, GLM-4 9B, and DeepSeek-R1 8B) under identical Q4_K_M quantization, hardware, and prompt conditions on 200 real-world intents spanning three slice management domains. Phase 2 extends the winning architecture (Qwen 2.5) across four model sizes (0.5B to 7B) and three K-quant levels (Q2_K, Q4_K_M, Q8_0) in a full-factorial 12-point design, quantifying accuracy, inference speed, throughput, CPU utilization, memory footprint, energy consumption, domain robustness, and complexity resilience — all with 95% confidence intervals over 200 intents per configuration. Key findings include: (1) Qwen 2.5 7B at Q4_K_M achieves the best accuracy–efficiency balance (29.8% exact match, 15.0 s/intent), outperforming Gemma 2 9B by 2.7x in speed at equivalent accuracy; (2) measured CPU utilization scales with model size — from 69% at 0.5B to 94% at 7B — empirically demonstrating that memory bandwidth, not compute, is the binding constraint of CPU inference, and that flat-utilization energy models overestimate small-model energy by 15–25%; (3) aggressive 2-bit quantization of larger models (7B Q2_K, 29.0% exact) surpasses 8-bit quantization of smaller models (3B Q8_0, 26.8%); (4) diminishing returns manifest in both model size (3B achieves 92% of 7B accuracy at 60% of its energy) and quantization precision (Q4-to-Q8 aperture below 1 percentage point at all sizes); (5) a quantization–speed crossover exists: Q8_0 is the fastest variant at 1.5B–3B but the slowest at 7B, where its 11.4 GB working set saturates memory bandwidth; (6) Slicing Provisioning emerges as a solved domain (100% action accuracy at 3B and above) while Conflict Resolution remains near-random (5–13%), underscoring the reasoning gap in current SLMs; and (7) reasoning-oriented architectures (DeepSeek-R1) are fundamentally incompatible with CPU-only inference, producing unbounded token generation. We contribute the first systematic cross-family, multi-size, multi-quantization SLM benchmark for 6G intent-driven slice management with real per-intent resource telemetry, a detailed Pareto analysis spanning accuracy, speed, energy, and memory dimensions, and actionable deployment guidelines for resource-constrained 6G edge environments.</vt:lpwstr>
  </property>
  <property fmtid="{D5CDD505-2E9C-101B-9397-08002B2CF9AE}" pid="3" name="date">
    <vt:lpwstr>July 2026</vt:lpwstr>
  </property>
  <property fmtid="{D5CDD505-2E9C-101B-9397-08002B2CF9AE}" pid="4" name="subtitle">
    <vt:lpwstr>A Systematic Study of Model Architecture, Size Scaling, and Quantization Impact on CPU-Only Edge Inference</vt:lpwstr>
  </property>
</Properties>
</file>