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Day 32 PM — Decision Trees &amp; Random Forest: Applied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62828"/>
          <w:sz w:val="30"/>
          <w:szCs w:val="30"/>
        </w:rPr>
        <w:t xml:space="preserve">Insurance Fraud Detection Case Study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 6 | Machine Learning &amp; AI  |  Solution Document</w:t>
      </w:r>
    </w:p>
    <w:p>
      <w:pPr>
        <w:pBdr>
          <w:bottom w:val="single" w:color="b71c1c" w:sz="6" w:space="1"/>
        </w:pBdr>
        <w:spacing w:after="240" w:before="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Part A — Concept Application (40%)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A1 · Synthetic Insurance Claims Dataset (3 000 records)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Dataset characteristics: ~12% fraud rate, 10 features per claim.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claim_amount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Dollar value of the claim (lognormal)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policy_age_months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Months since policy was 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num_prev_claims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 claims by this 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days_since_policy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since policy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premium_amount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premium 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customer_age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Policyholder 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num_witnesses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Witnesses at the incident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claim_to_premium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claim_amount / premium_amount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incident_hour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Hour of day claim was filed (0–23)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is_night_claim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if filed 10 PM–6 AM, else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Fraud label derived from business rules: high claim_to_premium ratio, multiple prior claims, early policy filing, no witnesses, and night-time incidents are the strongest fraud signals.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A2 · Decision Tree (max_depth=5) + Top 3 Fraud Indicator Rules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DT was trained with class_weight='balanced' to address class imbalance (~12% fraud):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8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claim_to_premium &gt; 10 AND num_prev_claims &gt;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FLAG FRAUD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~88%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days_since_policy &lt;= 30 AND claim_amount &gt; 15000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FLAG FRAUD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num_witnesses == 0 AND is_night_claim ==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FLAG FRAUD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~71%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These rules map directly to well-known fraud patterns in the insurance industry: high-value claims relative to premiums, recently issued policies, and unwitnessed night-time incidents.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A3 · Random Forest — RandomizedSearchCV (recall-optimised, 5-fold CV)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design decision: scoring='recall' because FN cost = 10× FP cost.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n_estimators      : randint(100, 600)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max_depth         : [None, 5, 10, 15, 20, 30]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min_samples_split : randint(2, 20)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min_samples_leaf  : randint(1, 10)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max_features      : ['sqrt', 'log2', 0.4, 0.6]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class_weight      : ['balanced', 'balanced_subsample', {0:1,1:5}, {0:1,1:8}]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A4 · Comprehensive Metrics Table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2"/>
        <w:gridCol w:w="1152"/>
        <w:gridCol w:w="1152"/>
        <w:gridCol w:w="1152"/>
        <w:gridCol w:w="1176"/>
        <w:gridCol w:w="117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Recall 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 (d=5)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~0.88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~0.72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~0.71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~0.71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~0.84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Forest (tuned, recall)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~0.89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~0.69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~0.84</w:t>
            </w:r>
          </w:p>
        </w:tc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~0.76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~0.89</w:t>
            </w:r>
          </w:p>
        </w:tc>
        <w:tc>
          <w:tcPr>
            <w:tcW w:type="dxa" w:w="1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RF achieves higher recall at a small precision trade-off — correct given the 10× FN cost penalty.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A5 · Cost-Sensitive Evaluation (FN cost = 10× FP cost)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 Cost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FN Cost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 FP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 FN×10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Higher total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More FPs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Fewer FN×10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Lower total ✓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Higher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 though RF generates more false alarms (FP), each correct fraud detection (TP) avoids a 10-unit loss. The RF produces a higher Net Value in every scenario tested.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Recommended threshold: lower to ~0.35 (from default 0.50) to push recall further, accepting more FPs in exchange for fewer missed frauds.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A6 · Deployment Recommendation</w:t>
      </w:r>
    </w:p>
    <w:p>
      <w:pPr>
        <w:spacing w:after="100" w:before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Paragraph 1 — Model Selection: The tuned Random Forest (optimised for recall) is the stronger automated scoring engine: it delivers higher recall (catching more fraudulent claims) and a substantially better ROC-AUC, meaning its risk-ranking of claims is more reliable. Given that a missed fraud (FN) costs 10× more than a false alarm (FP), the RF's superior recall directly translates into meaningful financial savings. The cost analysis confirms the RF produces a higher Net Value despite generating more false alarms, because each correct fraud detection avoids a $10 loss versus the $1 cost of an unnecessary investigation. We recommend deploying the RF at a probability threshold of ~0.35 (lowered from the default 0.5) to further push recall, with regular monitoring of precision to avoid excessive investigator workload.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Paragraph 2 — Regulatory Compliance: Insurance regulators in many jurisdictions require that claim decisions be explainable to policyholders who contest a fraud flag. We therefore recommend a HYBRID architecture: (1) the Random Forest scores every claim in real time; claims scoring above the threshold are routed for human review; (2) the Decision Tree (max_depth=5) provides the three human-readable rules — centred on claim_to_premium ratio, num_prev_claims, days_since_policy, and night-time filing — that investigators and policyholders can understand. This dual-model approach satisfies accuracy requirements (RF, AUC ≈ 0.89), regulatory explainability (DT rules), and operational efficiency (automated first-pass scoring).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Part B — Stretch Problem (30%): Gradient Boosting Preview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Bagging vs Boosting — One Paragraph</w:t>
      </w:r>
    </w:p>
    <w:p>
      <w:pPr>
        <w:spacing w:after="80" w:before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Bagging (Random Forest) builds many trees in parallel, each on a random bootstrap sample of the training data, and averages their predictions. Since each tree is independent, bagging reduces VARIANCE — the ensemble is less sensitive to noise in the training set. Boosting (e.g. Gradient Boosting, XGBoost, LightGBM) builds trees sequentially: each new tree is trained to correct the residual errors of the previous ensemble. Boosting primarily reduces BIAS — it can model complex patterns that a single tree would miss, at the cost of higher risk of overfitting and longer training time. Key difference: Bagging = parallel + variance reduction; Boosting = sequential + bias reduction.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Recommended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StatQuest — 'Gradient Boost Part 1: Regression Main Ideas'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URL: https://www.youtube.com/watch?v=3CC4N4z3GJc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Josh Starmer explains boosting via visual residual-fitting animation — ideal pre-reading for tomorrow's session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Part C — Interview Ready (20%)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Q1 · 1000 Trees vs 100 Trees — Tradeoffs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Trees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1000 Trees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Worth it?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ROC-AUC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~0.892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+0.002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10× slower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Predict 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10× slower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Memory (RAM)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~10×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10× more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Verdict: 100–200 trees is the production sweet spot. Plot the learning curve (AUC vs n_estimators) and pick the elbow point where AUC plateaus. Using 1000 trees is justified only if you observe high variance (large σ) across CV folds.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Q2 · compare_models() Function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def compare_models(X, y, models_dict, n_splits=5, seed=42):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cv = StratifiedKFold(n_splits=n_splits, shuffle=True, random_state=seed)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for name, model in models_dict.items():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    acc  = cross_val_score(model, X, y, cv=cv, scoring='accuracy')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    f1   = cross_val_score(model, X, y, cv=cv, scoring='f1')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    time each fold's .fit() call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    results.append({name, acc.mean(), acc.std(), f1.mean(), f1.std(), time_mean, time_std})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return pd.DataFrame(results).set_index('Model')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Usage example: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models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'Decision Tree': DecisionTreeClassifier(max_depth=5),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'Random Forest': RandomForestClassifier(n_estimators=100),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    'Logistic Reg.': Pipeline([('scaler', StandardScaler()), ('clf', LogisticRegression())])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compare_models(X, y, models)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Q3 · Debug — Feature Importances Differ Between Runs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Buggy code: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rf1 = RandomForestClassifier(n_estimators=10).fit(X_train,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rf2 = RandomForestClassifier(n_estimators=10).fit(X_train,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# feature_importances_ are completely different!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random_state was set — every instantiation uses a different random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Bootstrap sampling: different rows are sampled each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subsampling: different feature subsets evaluated at each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only 10 trees, the ensemble is too small for results to converge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rf1 = RandomForestClassifier(n_estimators=10, random_state=42).fit(X_train,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rf2 = RandomForestClassifier(n_estimators=10, random_state=42).fit(X_train,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# Now identical: np.allclose(rf1.feature_importances_, rf2.feature_importances_) == True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insight: Even with fixed seed, MDI importances can be misleading for correlated or high-cardinality features. Use permutation_importance() (from sklearn.inspection) as the more reliable alternative.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Part D — AI-Augmented Task (10%): OOB Error Estimation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AI-Generated Analogy</w:t>
      </w:r>
    </w:p>
    <w:p>
      <w:pPr>
        <w:spacing w:after="100" w:before="8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"Imagine you are a teacher with 1,000 exam papers to mark. Instead of grading everything yourself, you hire 500 teachers and give each teacher a random stack of roughly 630 papers (each paper appears in about 63% of stacks due to random sampling with replacement). Because each teacher only marked SOME papers, there are always papers they have NOT seen — these are the 'out-of-bag' papers for that teacher. After training, each tree only predicts on the data points it did NOT see during training — its OOB samples. We average these OOB predictions across all trees to estimate how well the forest would perform on completely new data, WITHOUT needing a separate validation set."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Verification — Is the Analogy Accurate?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TRUE: ~63.2% of samples appear in each bootstrap (1 - 1/e ≈ 63.2%)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TRUE: OOB prediction aggregates only the trees that excluded that sample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TRUE: OOB score ≈ cross-validation error — empirically verified (typically within 1-2%)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SLIGHT OVERSIMPLIFICATION: Analogy implies exactly 63%; actual number varies per sample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When OOB Error Differs Significantly from Test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Small dataset: OOB sets are tiny and noisy with few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Distribution/temporal shift: OOB is drawn from the same distribution as training; test set may be from a different time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leakage: If features contain future information, OOB appears optimistic while true test error is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Severe class imbalance: Minority class samples rarely appear in OOB sets, making estimates unstable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Empirical Verification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rf_oob = RandomForestClassifier(n_estimators=300, oob_score=True, random_state=42)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rf_oob.fit(X_train,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oob_error  = 1 - rf_oob.oob_score_   # typically ~0.11-0.12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test_error = 1 - accuracy_score(y_test, rf_oob.predict(X_test))   # ~0.11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b71c1c"/>
          <w:sz w:val="18"/>
          <w:szCs w:val="18"/>
        </w:rPr>
        <w:t xml:space="preserve"># Difference is typically &lt; 0.02 on balanced data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Evaluation Rubric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780"/>
        <w:gridCol w:w="27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 models correct. Cost analysis accurate. Rules meaningful.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broken. Cost calculation wrong.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Clean, modular, reproducible with CV.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Hardcoded. No CV. Non-reproducible.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1000-tree tradeoff analysis shows depth. Debug identifies random_state.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Surface-level answers.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OOB explanation vetted and improved.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verification of AI output.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b71c1c" w:sz="6" w:space="4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Day 32 PM Solution  |  Week 6: Machine Learning &amp; AI  |  Insurance Fraud Detection Case Study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b7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628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d32f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2026-04-01T14:50:36.303Z</dcterms:created>
  <dcterms:modified xsi:type="dcterms:W3CDTF">2026-04-01T14:50:36.303Z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