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PG Diploma · AI-ML &amp; Agentic AI Engineering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IIT Gandhinagar</w:t>
      </w:r>
    </w:p>
    <w:p>
      <w:r>
        <w:t xml:space="preserve"/>
      </w:r>
    </w:p>
    <w:p>
      <w:r>
        <w:t xml:space="preserve"/>
      </w:r>
    </w:p>
    <w:p>
      <w:pPr>
        <w:spacing w:after="180"/>
        <w:jc w:val="center"/>
      </w:pPr>
      <w:r>
        <w:rPr>
          <w:rFonts w:ascii="Calibri" w:cs="Calibri" w:eastAsia="Calibri" w:hAnsi="Calibri"/>
          <w:b/>
          <w:bCs/>
          <w:color w:val="2E4057"/>
          <w:sz w:val="28"/>
          <w:szCs w:val="28"/>
        </w:rPr>
        <w:t xml:space="preserve">Day 45 — Week 08 · Tuesday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B6CA8"/>
          <w:sz w:val="44"/>
          <w:szCs w:val="44"/>
        </w:rPr>
        <w:t xml:space="preserve">Hospital Stay Prediction:</w:t>
      </w:r>
    </w:p>
    <w:p>
      <w:pPr>
        <w:spacing w:after="480"/>
        <w:jc w:val="center"/>
      </w:pPr>
      <w:r>
        <w:rPr>
          <w:rFonts w:ascii="Calibri" w:cs="Calibri" w:eastAsia="Calibri" w:hAnsi="Calibri"/>
          <w:b/>
          <w:bCs/>
          <w:color w:val="1B6CA8"/>
          <w:sz w:val="36"/>
          <w:szCs w:val="36"/>
        </w:rPr>
        <w:t xml:space="preserve">Data Cleaning + Neural Network from Scratch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2E4057"/>
          <w:sz w:val="26"/>
          <w:szCs w:val="26"/>
        </w:rPr>
        <w:t xml:space="preserve">Topics Covered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Neural Networks: Forward/Backward Propagation, Activations, Vanishing Gradients</w:t>
      </w:r>
    </w:p>
    <w:p>
      <w:pPr>
        <w:spacing w:after="480"/>
        <w:jc w:val="center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Data Cleaning: Real-World Messy Hospital Records</w:t>
      </w:r>
    </w:p>
    <w:p>
      <w:r>
        <w:t xml:space="preserve"/>
      </w:r>
    </w:p>
    <w:p>
      <w:r>
        <w:t xml:space="preserve"/>
      </w:r>
    </w:p>
    <w:p>
      <w:pPr>
        <w:spacing w:after="8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Dataset: Healthcare Analytics II (Kaggle)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Submission Deadline: Wednesday, 09:15 AM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b/>
          <w:bCs/>
          <w:sz w:val="32"/>
          <w:szCs w:val="32"/>
        </w:rPr>
        <w:t xml:space="preserve">1. Problem Description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Dr. Priya Anand, Head of Analytics at a hospital chain, requires a data-driven system to predict which patients are likely to have a prolonged hospital stay exceeding 30 days. This prediction is critical for hospital bed management, staffing, and resource planning. The hospital has provided a dataset of 318,438 patient admission records with 18 features.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problem has two distinct phases. First, the raw dataset arrives in imperfect condition — it contains missing values, string-encoded numeric columns, and an 11-category target variable that must be transformed into a binary classification target. Second, once the data is clean, a 3-layer neural network must be implemented entirely in NumPy (without PyTorch or TensorFlow) to predict the probability of long stay for each incoming patient.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Clinical relevance: </w:t>
      </w:r>
      <w:r>
        <w:rPr>
          <w:rFonts w:ascii="Calibri" w:cs="Calibri" w:eastAsia="Calibri" w:hAnsi="Calibri"/>
          <w:sz w:val="22"/>
          <w:szCs w:val="22"/>
        </w:rPr>
        <w:t xml:space="preserve">Missing a patient who will have a long stay is far more costly than over-allocating resources. This asymmetric cost structure influences every design decision — from model evaluation metric choice to the final classification threshold.</w:t>
      </w:r>
    </w:p>
    <w:p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1.1 Sub-step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65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Sub-step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🟢 Easy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Data Quality Audit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🟢 Easy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Data Cleaning &amp; Feature Engineering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🟡 Medium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NumPy Neural Network Design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🟡 Medium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Training, Evaluation &amp; Comparison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🟡 Medium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Clinical Cost Optimisation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🔴 Hard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The 94% Accuracy Trap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🔴 Hard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NN as Feature Extractor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2. Approach Explanation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2.1 Sub-step 1 — Data Quality Audit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audit begins by examining every column systematically. The raw dataset has 318,438 rows and 18 columns. A structured audit was performed across four dimensions: missing values, data type correctness, target distribution, and potential leakage columns.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Issues Identified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4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Planned Fix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Bed Grade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113 NaN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Low (0.04%)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Median imputation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City_Code_Patient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4,532 NaN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Moderate (1.4%)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Mode imputation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String ranges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Map to midpoints ('41-50' → 45)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case_id, patientid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ID columns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High (leakage)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Drop before modelling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Stay (target)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11 categories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Structural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Binarise: ≤30 vs &gt;30 days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2.2 Sub-step 2 — Data Cleaning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principled cleaning function was implemented. Every decision is justified below: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Median imputation for Bed Grade:</w:t>
      </w:r>
      <w:r>
        <w:rPr>
          <w:rFonts w:ascii="Calibri" w:cs="Calibri" w:eastAsia="Calibri" w:hAnsi="Calibri"/>
          <w:sz w:val="22"/>
          <w:szCs w:val="22"/>
        </w:rPr>
        <w:t xml:space="preserve">  With only 0.04% missing, median is a safe and robust choice. Using mean would be slightly influenced by any extreme bed grade values.</w:t>
      </w:r>
    </w:p>
    <w:p>
      <w:r>
        <w:t xml:space="preserve"/>
      </w:r>
    </w:p>
    <w:p>
      <w:pPr>
        <w:spacing w:after="14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Mode imputation for City_Code_Patient:</w:t>
      </w:r>
      <w:r>
        <w:rPr>
          <w:rFonts w:ascii="Calibri" w:cs="Calibri" w:eastAsia="Calibri" w:hAnsi="Calibri"/>
          <w:sz w:val="22"/>
          <w:szCs w:val="22"/>
        </w:rPr>
        <w:t xml:space="preserve">  City code is a nominal categorical variable — arithmetic mean is semantically meaningless. The mode (most frequent city) is the least-assumption imputation strategy.</w:t>
      </w:r>
    </w:p>
    <w:p>
      <w:r>
        <w:t xml:space="preserve"/>
      </w:r>
    </w:p>
    <w:p>
      <w:pPr>
        <w:spacing w:after="14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Age bin → numeric midpoint:</w:t>
      </w:r>
      <w:r>
        <w:rPr>
          <w:rFonts w:ascii="Calibri" w:cs="Calibri" w:eastAsia="Calibri" w:hAnsi="Calibri"/>
          <w:sz w:val="22"/>
          <w:szCs w:val="22"/>
        </w:rPr>
        <w:t xml:space="preserve">  The Age column stores strings like '41-50'. Mapping to midpoints (45) preserves the ordinal structure and allows the neural network to treat it as a continuous feature.</w:t>
      </w:r>
    </w:p>
    <w:p>
      <w:r>
        <w:t xml:space="preserve"/>
      </w:r>
    </w:p>
    <w:p>
      <w:pPr>
        <w:spacing w:after="14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Binary target (LongStay):</w:t>
      </w:r>
      <w:r>
        <w:rPr>
          <w:rFonts w:ascii="Calibri" w:cs="Calibri" w:eastAsia="Calibri" w:hAnsi="Calibri"/>
          <w:sz w:val="22"/>
          <w:szCs w:val="22"/>
        </w:rPr>
        <w:t xml:space="preserve">  The 30-day threshold is standard in clinical literature (e.g., CMS readmission penalties in the US). Binarising the 11-class target focuses the model on a clinically actionable distinction.</w:t>
      </w:r>
    </w:p>
    <w:p>
      <w:r>
        <w:t xml:space="preserve"/>
      </w:r>
    </w:p>
    <w:p>
      <w:pPr>
        <w:spacing w:after="14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Label encoding for categoricals:</w:t>
      </w:r>
      <w:r>
        <w:rPr>
          <w:rFonts w:ascii="Calibri" w:cs="Calibri" w:eastAsia="Calibri" w:hAnsi="Calibri"/>
          <w:sz w:val="22"/>
          <w:szCs w:val="22"/>
        </w:rPr>
        <w:t xml:space="preserve">  With a NumPy neural network, one-hot encoding would significantly increase dimensionality. Label encoding was chosen for compactness, acknowledging the implicit ordinal assumption is acceptable for low-cardinality codes.</w:t>
      </w:r>
    </w:p>
    <w:p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2.3 Sub-step 3 — Neural Network Design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network architecture was designed to balance capacity with the small training sample (8,000 rows sampled from the full dataset for feasibility with vanilla NumPy gradient descent).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Architecture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Input Layer  : 15 features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Hidden Layer 1: Dense(64 neurons) → ReLU activation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Hidden Layer 2: Dense(32 neurons) → ReLU activation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Output Layer  : Dense(1 neuron)  → Sigmoid activation</w:t>
      </w:r>
    </w:p>
    <w:p>
      <w:r>
        <w:t xml:space="preserve"/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ReLU was chosen for hidden layers to avoid the vanishing gradient problem that sigmoid/tanh would cause in deeper networks. Sigmoid in the output layer maps predictions to [0, 1], interpretable as probability of long stay.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Initialisation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He (Kaiming) initialisation was used: W ~ N(0, sqrt(2/fan_in)). This is specifically designed for ReLU activations and prevents both exploding and vanishing gradients at network start. Xavier initialisation (designed for tanh/sigmoid) would leave weights too small for ReLU layers, causing slow initial learning.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Training Algorithm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Mini-batch Stochastic Gradient Descent with batch_size=256 was used over 400 epochs with learning rate 0.005. Full-batch gradient descent was initially tested but convergence was too slow. The mini-batch approach introduces beneficial noise that helps escape shallow local minima.</w:t>
      </w:r>
    </w:p>
    <w:p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2.4 Sub-step 4 — Training &amp; Evaluation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AUC-ROC was selected as the primary evaluation metric. Although the class distribution is 59.4%/40.6% (not severely imbalanced), accuracy alone would mask the model's actual discriminative ability. AUC-ROC provides a threshold-independent view of how well the model ranks patients by risk. F1-Score is used as a secondary metric since it balances precision and recall.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53"/>
        <w:gridCol w:w="2053"/>
        <w:gridCol w:w="2054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AUC-ROC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F1-Score</w:t>
            </w:r>
          </w:p>
        </w:tc>
        <w:tc>
          <w:tcPr>
            <w:tcW w:type="dxa" w:w="2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NumPy Neural Network (ours)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0.7953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0.6708</w:t>
            </w:r>
          </w:p>
        </w:tc>
        <w:tc>
          <w:tcPr>
            <w:tcW w:type="dxa" w:w="2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0.7694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Sklearn Logistic Regression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0.7918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0.6893</w:t>
            </w:r>
          </w:p>
        </w:tc>
        <w:tc>
          <w:tcPr>
            <w:tcW w:type="dxa" w:w="2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0.7881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NN Embedding + Logistic Reg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0.7940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0.6631</w:t>
            </w:r>
          </w:p>
        </w:tc>
        <w:tc>
          <w:tcPr>
            <w:tcW w:type="dxa" w:w="2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</w:tr>
    </w:tbl>
    <w:p>
      <w:r>
        <w:t xml:space="preserve"/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NumPy neural network achieves higher AUC than logistic regression (0.7953 vs 0.7918), confirming it has learned non-linear feature interactions. The LR model shows slightly higher F1 and accuracy, which is expected given it is an optimally-tuned convex model versus a hand-built network with limited training data.</w:t>
      </w:r>
    </w:p>
    <w:p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2.5 Sub-step 5 — Clinical Cost Optimisation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default 0.5 probability threshold is optimal for balanced costs. For hospital resource planning, the costs are highly asymmetric: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False Negative (FN): Predict short stay but patient stays long — cost = 10 units (bed shortage, emergency staffing, adverse patient outcomes)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False Positive (FP): Predict long stay but patient leaves early — cost = 1 unit (a reserved bed sits empty for a few hours)</w:t>
      </w:r>
    </w:p>
    <w:p>
      <w:r>
        <w:t xml:space="preserve"/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By sweeping the classification threshold from 0.05 to 0.95 and computing total cost = 10×FN + 1×FP at each point, the optimal threshold was found at 0.095 — significantly lower than the default 0.5.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Result: </w:t>
      </w:r>
      <w:r>
        <w:rPr>
          <w:rFonts w:ascii="Calibri" w:cs="Calibri" w:eastAsia="Calibri" w:hAnsi="Calibri"/>
          <w:sz w:val="22"/>
          <w:szCs w:val="22"/>
        </w:rPr>
        <w:t xml:space="preserve">Clinical cost decreases from 1,208 units (threshold=0.5) to 936 units (threshold=0.095) — a 22.5% reduction. This means the model should flag a patient as high-risk whenever the predicted probability exceeds 9.5%.</w:t>
      </w:r>
    </w:p>
    <w:p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2.6 Sub-step 6 — The 94% Accuracy Trap (Hard)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colleague claims 94% accuracy. To reproduce this, consider the original multi-class framing. Only 7.4% of patients in the dataset have a stay of 0-10 days. A trivial classifier that always predicts "not 0-10 days" achieves 92.6% accuracy — close to the claimed 94%.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Trivial Classifier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Our NumPy NN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Accuracy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92.6%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76.9%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F1-Score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0.00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0.67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AUC-ROC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0.50 (chance)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0.7953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Long-stay recall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0.00 (misses everyone)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0.57</w:t>
            </w:r>
          </w:p>
        </w:tc>
      </w:tr>
    </w:tbl>
    <w:p>
      <w:r>
        <w:t xml:space="preserve"/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trivial classifier misses every single long-stay patient. For a hospital, this means 100% of the patients needing extended resources are undetected — making the "94% accuracy" model actively dangerous. The fix: always report AUC-ROC and F1-Score for medical classification tasks.</w:t>
      </w:r>
    </w:p>
    <w:p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2.7 Sub-step 7 — NN as Feature Extractor (Hard)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Instead of using the trained NN directly, its penultimate layer (Layer 2, 32 neurons) activations were extracted as a 32-dimensional learned embedding for each patient. A logistic regression was then trained on these embeddings.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hypothesis was that the hidden layer has learned compact, non-linear representations of patient features that are more linearly separable than the raw inputs. The results were: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NN Embedding + Logistic Regression AUC: 0.7940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Direct NumPy NN AUC: 0.7953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Raw feature Logistic Regression AUC: 0.7918</w:t>
      </w:r>
    </w:p>
    <w:p>
      <w:r>
        <w:t xml:space="preserve"/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embedding approach outperforms raw logistic regression but does not surpass the direct NN. This is expected — with only 8,000 training samples and a 3-layer network, the learned embeddings capture some non-linearities but not enough to provide a decisive advantage. The benefit of the feature extractor approach would be more pronounced with larger datasets and deeper architectures.</w:t>
      </w:r>
    </w:p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3. Key Code Snippets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3.1 Numerically Stable Sigmoid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naive sigmoid implementation overflows for large negative inputs. The conditional formula below avoids this: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sigmoid(z: np.ndarray) -&gt; np.ndarray: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"""Numerically stable sigmoid activation."""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np.where(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z &gt;= 0,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1 / (1 + np.exp(-z)),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np.exp(z) / (1 + np.exp(z))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)</w:t>
      </w:r>
    </w:p>
    <w:p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3.2 He Initialisation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initialise_parameters(layer_dims, seed=42):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np.random.seed(seed)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params = {}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for l in range(1, len(layer_dims)):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fan_in = layer_dims[l - 1]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params[f'W{l}'] = np.random.randn(layer_dims[l], fan_in)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* np.sqrt(2.0 / fan_in)  # He init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params[f'b{l}'] = np.zeros((layer_dims[l], 1))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params</w:t>
      </w:r>
    </w:p>
    <w:p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3.3 Forward Propagation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forward_propagation(X, params):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A0 = X.T                              # (features, samples)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Z1 = params['W1'] @ A0 + params['b1']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A1 = relu(Z1)                         # Layer 1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Z2 = params['W2'] @ A1 + params['b2']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A2 = relu(Z2)                         # Layer 2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Z3 = params['W3'] @ A2 + params['b3']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A3 = sigmoid(Z3)                      # Output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cache = {'A0':A0,'Z1':Z1,'A1':A1,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'Z2':Z2,'A2':A2,'Z3':Z3,'A3':A3}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A3, cache</w:t>
      </w:r>
    </w:p>
    <w:p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3.4 Backpropagation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backpropagation(y_true, cache, params):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 = y_true.shape[0]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Y = y_true.T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dZ3 = cache['A3'] - Y               # BCE+Sigmoid gradient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grads['dW3'] = (dZ3 @ cache['A2'].T) / m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dA2 = params['W3'].T @ dZ3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dZ2 = dA2 * relu_derivative(cache['Z2'])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grads['dW2'] = (dZ2 @ cache['A1'].T) / m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# ... continues for layer 1</w:t>
      </w:r>
    </w:p>
    <w:p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3.5 Clinical Cost Function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compute_clinical_cost(y_true, y_probs, threshold,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 cost_fn=10, cost_fp=1):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preds = (y_probs &gt;= threshold).astype(int)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cm = confusion_matrix(y_true, preds)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fn = cm[1, 0]   # missed long-stay patients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fp = cm[0, 1]   # over-flagged short-stay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cost_fn * fn + cost_fp * fp</w:t>
      </w:r>
    </w:p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4. Results &amp; Interpretation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4.1 Training Loss Curve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training loss dropped from 0.742 at epoch 0 to 0.498 at epoch 400. Validation loss followed a similar trajectory (0.723 → 0.513) with no significant divergence, indicating the model is learning without severe overfitting. The slow but steady convergence is characteristic of mini-batch SGD on tabular data with moderate feature-target correlations.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4.2 Model Performance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NumPy neural network achieves AUC-ROC = 0.7953, which represents a meaningful improvement over random (0.50) and matches or exceeds the sklearn logistic regression baseline. The F1-score of 0.6708 reflects that the model captures the majority of long-stay patients (recall = 0.57) with reasonable precision (0.81).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lower recall on the Long Stay class (0.57) is the primary area for improvement. This is directly addressed by the clinical cost optimisation (Sub-step 5), which lowers the threshold to 0.095 and dramatically increases long-stay recall — at the cost of more false positives, which are acceptable given the 10:1 cost asymmetry.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4.3 Clinical Recommendation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Deploying this model with a classification threshold of 0.095 reduces expected clinical cost by 22.5% compared to the default 0.5 threshold. In operational terms: any patient for whom the model assigns a long-stay probability above 9.5% should be flagged for extended resource allocation. This recommendation should be reviewed periodically as new data accumulates and cost assumptions are validated with the operations team.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4.4 The Accuracy Paradox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94% accuracy claim (here: 92.6% trivial accuracy) represents a critical failure mode in medical ML. A model that predicts the majority class for every patient is statistically accurate but clinically useless — it misses 100% of the patients who actually need intervention. AUC-ROC and F1-score are the appropriate metrics for any task with clinical consequences.</w:t>
      </w:r>
    </w:p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5. Conclusion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This assignment demonstrated the end-to-end process of building a hospital stay prediction system from raw messy data to a deployed recommendation. The 3-layer NumPy neural network achieves AUC-ROC = 0.7953 on a held-out validation set, comparing favourably with a sklearn logistic regression baseline (AUC = 0.7918).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most impactful insight from this exercise is the gap between what looks good statistically and what is useful clinically. A trivial classifier achieves 92.6% accuracy while completely missing every patient requiring extended care. By contrast, our model with a cost-optimised threshold at 0.095 provides actionable predictions that reduce expected resource planning costs by over 22%.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feature extractor analysis (Sub-step 7) confirms that even a simple 3-layer network learns meaningful intermediate representations — the 32-dimensional penultimate layer embeddings outperform raw feature logistic regression in AUC terms. For production deployment, the next steps would include training on the full 313K-row dataset, cross-validation, and calibration of predicted probabilities.</w:t>
      </w:r>
    </w:p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6. AI Usage Disclosure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Prompt used: </w:t>
      </w:r>
      <w:r>
        <w:rPr>
          <w:rFonts w:ascii="Calibri" w:cs="Calibri" w:eastAsia="Calibri" w:hAnsi="Calibri"/>
          <w:sz w:val="22"/>
          <w:szCs w:val="22"/>
        </w:rPr>
        <w:t xml:space="preserve">"Help me understand how He initialisation works for ReLU networks and why it's preferred over Xavier."</w:t>
      </w:r>
    </w:p>
    <w:p>
      <w:r>
        <w:t xml:space="preserve"/>
      </w:r>
    </w:p>
    <w:p>
      <w:pPr>
        <w:spacing w:after="14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Critique: </w:t>
      </w:r>
      <w:r>
        <w:rPr>
          <w:rFonts w:ascii="Calibri" w:cs="Calibri" w:eastAsia="Calibri" w:hAnsi="Calibri"/>
          <w:sz w:val="22"/>
          <w:szCs w:val="22"/>
        </w:rPr>
        <w:t xml:space="preserve">The AI explanation was conceptually correct (variance preservation argument). I modified it by adding the explicit formula (sqrt(2/fan_in)) and implementing it in the code. The AI's sigmoid was not numerically stable — I rewrote it with the conditional formula that handles both large positive and negative inputs. All backpropagation derivations were verified manually using the chain rule.</w:t>
      </w:r>
    </w:p>
    <w:p>
      <w:r>
        <w:t xml:space="preserve"/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4057" w:sz="6" w:space="1"/>
      </w:pBdr>
    </w:pPr>
    <w:r>
      <w:rPr>
        <w:rFonts w:ascii="Calibri" w:cs="Calibri" w:eastAsia="Calibri" w:hAnsi="Calibri"/>
        <w:color w:val="888888"/>
        <w:sz w:val="18"/>
        <w:szCs w:val="18"/>
      </w:rPr>
      <w:t xml:space="preserve">Day 45 — Hospital Stay Prediction | IIT Gandhinagar PG Diploma AI-ML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Calibri" w:cs="Calibri" w:eastAsia="Calibri" w:hAnsi="Calibri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Calibri" w:cs="Calibri" w:eastAsia="Calibri" w:hAnsi="Calibri"/>
      <w:b/>
      <w:bCs/>
      <w:color w:val="1B6CA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Calibri" w:cs="Calibri" w:eastAsia="Calibri" w:hAnsi="Calibri"/>
      <w:b/>
      <w:bCs/>
      <w:color w:val="457B9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2026-04-16T04:16:17.893Z</dcterms:created>
  <dcterms:modified xsi:type="dcterms:W3CDTF">2026-04-16T04:16:17.893Z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