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44546A"/>
          <w:spacing w:val="40"/>
          <w:sz w:val="30"/>
          <w:szCs w:val="30"/>
        </w:rPr>
        <w:t xml:space="preserve">CARTLY</w:t>
      </w:r>
    </w:p>
    <w:p>
      <w:pPr>
        <w:spacing w:after="100" w:before="200"/>
        <w:jc w:val="center"/>
      </w:pPr>
      <w:r>
        <w:rPr>
          <w:b/>
          <w:bCs/>
          <w:color w:val="1F3864"/>
          <w:sz w:val="60"/>
          <w:szCs w:val="60"/>
        </w:rPr>
        <w:t xml:space="preserve">Build Tech Stack</w:t>
      </w:r>
    </w:p>
    <w:p>
      <w:pPr>
        <w:spacing w:after="600"/>
        <w:jc w:val="center"/>
      </w:pPr>
      <w:r>
        <w:rPr>
          <w:i/>
          <w:iCs/>
          <w:color w:val="44546A"/>
          <w:sz w:val="26"/>
          <w:szCs w:val="26"/>
        </w:rPr>
        <w:t xml:space="preserve">Layer-by-Layer Architecture Decisions &amp; Rationale</w:t>
      </w:r>
    </w:p>
    <w:p>
      <w:pPr>
        <w:spacing w:before="2600"/>
        <w:jc w:val="center"/>
      </w:pPr>
      <w:r>
        <w:rPr>
          <w:color w:val="44546A"/>
          <w:sz w:val="20"/>
          <w:szCs w:val="20"/>
        </w:rPr>
        <w:t xml:space="preserve">Capstone Project 01 — Autonomous Customer-Support Resolution Platform</w:t>
      </w:r>
    </w:p>
    <w:p>
      <w:pPr>
        <w:spacing w:after="40"/>
        <w:jc w:val="center"/>
      </w:pPr>
      <w:r>
        <w:rPr>
          <w:color w:val="44546A"/>
          <w:sz w:val="20"/>
          <w:szCs w:val="20"/>
        </w:rPr>
        <w:t xml:space="preserve">Version 1.0 | Build Phase | July 2026</w:t>
      </w:r>
    </w:p>
    <w:p>
      <w:pPr>
        <w:spacing w:before="800"/>
        <w:jc w:val="center"/>
      </w:pPr>
      <w:r>
        <w:rPr>
          <w:b/>
          <w:bCs/>
          <w:color w:val="1F3864"/>
          <w:sz w:val="18"/>
          <w:szCs w:val="18"/>
        </w:rPr>
        <w:t xml:space="preserve">PREPARED BY</w:t>
      </w:r>
    </w:p>
    <w:p>
      <w:pPr>
        <w:jc w:val="center"/>
      </w:pPr>
      <w:r>
        <w:rPr>
          <w:sz w:val="20"/>
          <w:szCs w:val="20"/>
        </w:rPr>
        <w:t xml:space="preserve">Avishka Jindal</w:t>
      </w:r>
    </w:p>
    <w:p>
      <w:pPr>
        <w:jc w:val="center"/>
      </w:pPr>
      <w:r>
        <w:rPr>
          <w:sz w:val="20"/>
          <w:szCs w:val="20"/>
        </w:rPr>
        <w:t xml:space="preserve">Hiten Mistry</w:t>
      </w:r>
    </w:p>
    <w:p>
      <w:pPr>
        <w:jc w:val="center"/>
      </w:pPr>
      <w:r>
        <w:rPr>
          <w:sz w:val="20"/>
          <w:szCs w:val="20"/>
        </w:rPr>
        <w:t xml:space="preserve">Yash Parmar</w:t>
      </w:r>
    </w:p>
    <w:p>
      <w:r>
        <w:br w:type="page"/>
      </w:r>
    </w:p>
    <w:p>
      <w:pPr>
        <w:pStyle w:val="Heading1"/>
        <w:pBdr>
          <w:bottom w:val="single" w:color="1F3864" w:sz="6" w:space="4"/>
        </w:pBdr>
        <w:spacing w:after="200" w:before="400"/>
      </w:pPr>
      <w:r>
        <w:rPr>
          <w:b/>
          <w:bCs/>
          <w:color w:val="1F3864"/>
          <w:sz w:val="30"/>
          <w:szCs w:val="30"/>
        </w:rPr>
        <w:t xml:space="preserve">Document Control</w:t>
      </w:r>
    </w:p>
    <w:p>
      <w:pPr>
        <w:pStyle w:val="Heading2"/>
        <w:spacing w:after="120" w:before="280"/>
      </w:pPr>
      <w:r>
        <w:rPr>
          <w:b/>
          <w:bCs/>
          <w:color w:val="44546A"/>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rPr>
          <w:tblHeader/>
        </w:trPr>
        <w:tc>
          <w:tcPr>
            <w:tcW w:type="dxa" w:w="1400"/>
            <w:shd w:fill="1F3864" w:color="auto" w:val="clear"/>
            <w:tcMar>
              <w:top w:type="dxa" w:w="100"/>
              <w:left w:type="dxa" w:w="120"/>
              <w:bottom w:type="dxa" w:w="100"/>
              <w:right w:type="dxa" w:w="120"/>
            </w:tcMar>
            <w:vAlign w:val="center"/>
          </w:tcPr>
          <w:p>
            <w:pPr>
              <w:jc w:val="left"/>
            </w:pPr>
            <w:r>
              <w:rPr>
                <w:b/>
                <w:bCs/>
                <w:color w:val="FFFFFF"/>
                <w:sz w:val="20"/>
                <w:szCs w:val="20"/>
              </w:rPr>
              <w:t xml:space="preserve">Version</w:t>
            </w:r>
          </w:p>
        </w:tc>
        <w:tc>
          <w:tcPr>
            <w:tcW w:type="dxa" w:w="1800"/>
            <w:shd w:fill="1F3864" w:color="auto" w:val="clear"/>
            <w:tcMar>
              <w:top w:type="dxa" w:w="100"/>
              <w:left w:type="dxa" w:w="120"/>
              <w:bottom w:type="dxa" w:w="100"/>
              <w:right w:type="dxa" w:w="120"/>
            </w:tcMar>
            <w:vAlign w:val="center"/>
          </w:tcPr>
          <w:p>
            <w:pPr>
              <w:jc w:val="left"/>
            </w:pPr>
            <w:r>
              <w:rPr>
                <w:b/>
                <w:bCs/>
                <w:color w:val="FFFFFF"/>
                <w:sz w:val="20"/>
                <w:szCs w:val="20"/>
              </w:rPr>
              <w:t xml:space="preserve">Date</w:t>
            </w:r>
          </w:p>
        </w:tc>
        <w:tc>
          <w:tcPr>
            <w:tcW w:type="dxa" w:w="2600"/>
            <w:shd w:fill="1F3864" w:color="auto" w:val="clear"/>
            <w:tcMar>
              <w:top w:type="dxa" w:w="100"/>
              <w:left w:type="dxa" w:w="120"/>
              <w:bottom w:type="dxa" w:w="100"/>
              <w:right w:type="dxa" w:w="120"/>
            </w:tcMar>
            <w:vAlign w:val="center"/>
          </w:tcPr>
          <w:p>
            <w:pPr>
              <w:jc w:val="left"/>
            </w:pPr>
            <w:r>
              <w:rPr>
                <w:b/>
                <w:bCs/>
                <w:color w:val="FFFFFF"/>
                <w:sz w:val="20"/>
                <w:szCs w:val="20"/>
              </w:rPr>
              <w:t xml:space="preserve">Author</w:t>
            </w:r>
          </w:p>
        </w:tc>
        <w:tc>
          <w:tcPr>
            <w:tcW w:type="dxa" w:w="3560"/>
            <w:shd w:fill="1F3864" w:color="auto" w:val="clear"/>
            <w:tcMar>
              <w:top w:type="dxa" w:w="100"/>
              <w:left w:type="dxa" w:w="120"/>
              <w:bottom w:type="dxa" w:w="100"/>
              <w:right w:type="dxa" w:w="120"/>
            </w:tcMar>
            <w:vAlign w:val="center"/>
          </w:tcPr>
          <w:p>
            <w:pPr>
              <w:jc w:val="left"/>
            </w:pPr>
            <w:r>
              <w:rPr>
                <w:b/>
                <w:bCs/>
                <w:color w:val="FFFFFF"/>
                <w:sz w:val="20"/>
                <w:szCs w:val="20"/>
              </w:rPr>
              <w:t xml:space="preserve">Change Summary</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1.0</w:t>
            </w:r>
          </w:p>
        </w:tc>
        <w:tc>
          <w:tcPr>
            <w:tcW w:type="dxa" w:w="1800"/>
            <w:tcMar>
              <w:top w:type="dxa" w:w="100"/>
              <w:left w:type="dxa" w:w="120"/>
              <w:bottom w:type="dxa" w:w="100"/>
              <w:right w:type="dxa" w:w="120"/>
            </w:tcMar>
            <w:vAlign w:val="center"/>
          </w:tcPr>
          <w:p>
            <w:pPr>
              <w:jc w:val="left"/>
            </w:pPr>
            <w:r>
              <w:rPr>
                <w:b w:val="false"/>
                <w:bCs w:val="false"/>
                <w:color w:val="000000"/>
                <w:sz w:val="20"/>
                <w:szCs w:val="20"/>
              </w:rPr>
              <w:t xml:space="preserve">July 2026</w:t>
            </w:r>
          </w:p>
        </w:tc>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AI Engineering Squad</w:t>
            </w:r>
          </w:p>
        </w:tc>
        <w:tc>
          <w:tcPr>
            <w:tcW w:type="dxa" w:w="3560"/>
            <w:tcMar>
              <w:top w:type="dxa" w:w="100"/>
              <w:left w:type="dxa" w:w="120"/>
              <w:bottom w:type="dxa" w:w="100"/>
              <w:right w:type="dxa" w:w="120"/>
            </w:tcMar>
            <w:vAlign w:val="center"/>
          </w:tcPr>
          <w:p>
            <w:pPr>
              <w:jc w:val="left"/>
            </w:pPr>
            <w:r>
              <w:rPr>
                <w:b w:val="false"/>
                <w:bCs w:val="false"/>
                <w:color w:val="000000"/>
                <w:sz w:val="20"/>
                <w:szCs w:val="20"/>
              </w:rPr>
              <w:t xml:space="preserve">Initial release: full build tech stack, layer-by-layer rationale, free-to-paid swap architecture</w:t>
            </w:r>
          </w:p>
        </w:tc>
      </w:tr>
    </w:tbl>
    <w:p>
      <w:pPr>
        <w:spacing w:after="160"/>
      </w:pPr>
    </w:p>
    <w:p>
      <w:pPr>
        <w:pStyle w:val="Heading2"/>
        <w:spacing w:after="120" w:before="280"/>
      </w:pPr>
      <w:r>
        <w:rPr>
          <w:b/>
          <w:bCs/>
          <w:color w:val="44546A"/>
          <w:sz w:val="24"/>
          <w:szCs w:val="24"/>
        </w:rPr>
        <w:t xml:space="preserve">Purpose</w:t>
      </w:r>
    </w:p>
    <w:p>
      <w:pPr>
        <w:spacing w:after="160" w:line="276"/>
      </w:pPr>
      <w:r>
        <w:rPr>
          <w:sz w:val="21"/>
          <w:szCs w:val="21"/>
        </w:rPr>
        <w:t xml:space="preserve">This document records the finalized technology stack for the Cartly Autonomous Customer-Support Resolution Platform build phase, superseding the provisional tooling references in PDLC v1.0 Stages 3.4 through 3.6 and the closing Tooling Stack table. Every choice below was pressure-tested against three questions: does it fit Cartly's actual architecture (orchestrator-worker plus evaluator-optimizer, per the locked Orchestration Decision Record), does it hold up on a free tier for the duration of the build without silently losing data or expiring, and does it stay swappable to a paid tier later without a code rewrite.</w:t>
      </w:r>
    </w:p>
    <w:p>
      <w:pPr>
        <w:pStyle w:val="Heading2"/>
        <w:spacing w:after="120" w:before="280"/>
      </w:pPr>
      <w:r>
        <w:rPr>
          <w:b/>
          <w:bCs/>
          <w:color w:val="44546A"/>
          <w:sz w:val="24"/>
          <w:szCs w:val="24"/>
        </w:rPr>
        <w:t xml:space="preserve">Scope Statement</w:t>
      </w:r>
    </w:p>
    <w:p>
      <w:pPr>
        <w:spacing w:after="160" w:line="276"/>
      </w:pPr>
      <w:r>
        <w:rPr>
          <w:sz w:val="21"/>
          <w:szCs w:val="21"/>
        </w:rPr>
        <w:t xml:space="preserve">This document covers every layer of the system: frontend, real-time communication, backend/API, ticket ingestion, agent orchestration, the LLM gateway and model tiers, embeddings, the vector store, the relational database and auth, queueing and caching, observability, evaluation, safety, testing/CI, and deployment. It does not restate the sprint cadence or stage-by-stage delivery plan already governed by the PDLC; it is a build-tech-stack reference, not a project plan.</w:t>
      </w:r>
    </w:p>
    <w:p>
      <w:r>
        <w:br w:type="page"/>
      </w:r>
    </w:p>
    <w:p>
      <w:pPr>
        <w:pStyle w:val="Heading1"/>
        <w:pBdr>
          <w:bottom w:val="single" w:color="1F3864" w:sz="6" w:space="4"/>
        </w:pBdr>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864" w:sz="6" w:space="4"/>
        </w:pBdr>
        <w:spacing w:after="200" w:before="400"/>
      </w:pPr>
      <w:r>
        <w:rPr>
          <w:b/>
          <w:bCs/>
          <w:color w:val="1F3864"/>
          <w:sz w:val="30"/>
          <w:szCs w:val="30"/>
        </w:rPr>
        <w:t xml:space="preserve">Guiding Principles</w:t>
      </w:r>
    </w:p>
    <w:p>
      <w:pPr>
        <w:spacing w:after="160" w:line="276"/>
      </w:pPr>
      <w:r>
        <w:rPr>
          <w:sz w:val="21"/>
          <w:szCs w:val="21"/>
        </w:rPr>
        <w:t xml:space="preserve">Four principles shaped every decision in this document, and are worth stating once rather than repeating in every section.</w:t>
      </w:r>
    </w:p>
    <w:p>
      <w:pPr>
        <w:pStyle w:val="Heading2"/>
        <w:spacing w:after="120" w:before="280"/>
      </w:pPr>
      <w:r>
        <w:rPr>
          <w:b/>
          <w:bCs/>
          <w:color w:val="44546A"/>
          <w:sz w:val="24"/>
          <w:szCs w:val="24"/>
        </w:rPr>
        <w:t xml:space="preserve">1. Free-first, not free-only</w:t>
      </w:r>
    </w:p>
    <w:p>
      <w:pPr>
        <w:spacing w:after="160" w:line="276"/>
      </w:pPr>
      <w:r>
        <w:rPr>
          <w:sz w:val="21"/>
          <w:szCs w:val="21"/>
        </w:rPr>
        <w:t xml:space="preserve">Every layer runs on a genuine, durable free tier today. “Genuine and durable” matters: several popular free tiers (Render's free Postgres, self-hosted Chroma on an ephemeral disk) look free but silently expire or lose data mid-build. Each choice below was checked against its actual free-tier terms, not just its marketing page.</w:t>
      </w:r>
    </w:p>
    <w:p>
      <w:pPr>
        <w:pStyle w:val="Heading2"/>
        <w:spacing w:after="120" w:before="280"/>
      </w:pPr>
      <w:r>
        <w:rPr>
          <w:b/>
          <w:bCs/>
          <w:color w:val="44546A"/>
          <w:sz w:val="24"/>
          <w:szCs w:val="24"/>
        </w:rPr>
        <w:t xml:space="preserve">2. Config-driven, never hardcoded</w:t>
      </w:r>
    </w:p>
    <w:p>
      <w:pPr>
        <w:spacing w:after="160" w:line="276"/>
      </w:pPr>
      <w:r>
        <w:rPr>
          <w:sz w:val="21"/>
          <w:szCs w:val="21"/>
        </w:rPr>
        <w:t xml:space="preserve">No application code names a real provider, model, or connection detail. Every external dependency — LLM tier, database, vector store, cache — is addressed through a virtual name or environment variable, so moving from free to paid capacity later is a configuration edit, never a code change. The dedicated section below on the Free-to-Paid Swap Architecture makes this concrete.</w:t>
      </w:r>
    </w:p>
    <w:p>
      <w:pPr>
        <w:pStyle w:val="Heading2"/>
        <w:spacing w:after="120" w:before="280"/>
      </w:pPr>
      <w:r>
        <w:rPr>
          <w:b/>
          <w:bCs/>
          <w:color w:val="44546A"/>
          <w:sz w:val="24"/>
          <w:szCs w:val="24"/>
        </w:rPr>
        <w:t xml:space="preserve">3. Architecture-ready, not infrastructure-heavy</w:t>
      </w:r>
    </w:p>
    <w:p>
      <w:pPr>
        <w:spacing w:after="160" w:line="276"/>
      </w:pPr>
      <w:r>
        <w:rPr>
          <w:sz w:val="21"/>
          <w:szCs w:val="21"/>
        </w:rPr>
        <w:t xml:space="preserve">Cartly is a marketplace with many independent sellers, and its real-world traffic and policy volume will not stay small. The architecture is designed to be stateless, horizontally scalable, and schema-ready for that growth (multi-tenant filtering, connection pooling, decoupled ingestion) from day one — because that costs nothing extra to design correctly now. What would be wasteful is provisioning enterprise-sized infrastructure today for load that doesn't exist yet. Scaling up later is a matter of adding replicas and upgrading a paid tier, not a redesign.</w:t>
      </w:r>
    </w:p>
    <w:p>
      <w:pPr>
        <w:pStyle w:val="Heading2"/>
        <w:spacing w:after="120" w:before="280"/>
      </w:pPr>
      <w:r>
        <w:rPr>
          <w:b/>
          <w:bCs/>
          <w:color w:val="44546A"/>
          <w:sz w:val="24"/>
          <w:szCs w:val="24"/>
        </w:rPr>
        <w:t xml:space="preserve">4. One job, one tool</w:t>
      </w:r>
    </w:p>
    <w:p>
      <w:pPr>
        <w:spacing w:after="160" w:line="276"/>
      </w:pPr>
      <w:r>
        <w:rPr>
          <w:sz w:val="21"/>
          <w:szCs w:val="21"/>
        </w:rPr>
        <w:t xml:space="preserve">Where a specialized tool exists for a specific job — RAGAS for retrieval grounding, DSPy for prompt optimization, promptfoo for A/B and red-team testing — it is used for that job rather than stretching a single generalist tool across all of them.</w:t>
      </w:r>
    </w:p>
    <w:p>
      <w:r>
        <w:br w:type="page"/>
      </w:r>
    </w:p>
    <w:p>
      <w:pPr>
        <w:pStyle w:val="Heading1"/>
        <w:pBdr>
          <w:bottom w:val="single" w:color="1F3864" w:sz="6" w:space="4"/>
        </w:pBdr>
        <w:spacing w:after="200" w:before="400"/>
      </w:pPr>
      <w:r>
        <w:rPr>
          <w:b/>
          <w:bCs/>
          <w:color w:val="1F3864"/>
          <w:sz w:val="30"/>
          <w:szCs w:val="30"/>
        </w:rPr>
        <w:t xml:space="preserve">1. Frontend — Customer Widget &amp; Ops Dashboard</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React + Vite, Tailwind CSS, shadcn/ui, Recharts</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Two distinct surfaces (customer-facing ticket widget, internal ops dashboard) share one component ecosystem, cutting build time for a three-person team.</w:t>
      </w:r>
    </w:p>
    <w:p>
      <w:pPr>
        <w:pStyle w:val="ListParagraph"/>
        <w:numPr>
          <w:ilvl w:val="0"/>
          <w:numId w:val="2"/>
        </w:numPr>
        <w:spacing w:after="80" w:line="276"/>
      </w:pPr>
      <w:r>
        <w:rPr>
          <w:sz w:val="21"/>
          <w:szCs w:val="21"/>
        </w:rPr>
        <w:t xml:space="preserve">Vite's dev server and HMR keep iteration fast on a compressed sprint schedule.</w:t>
      </w:r>
    </w:p>
    <w:p>
      <w:pPr>
        <w:pStyle w:val="ListParagraph"/>
        <w:numPr>
          <w:ilvl w:val="0"/>
          <w:numId w:val="2"/>
        </w:numPr>
        <w:spacing w:after="80" w:line="276"/>
      </w:pPr>
      <w:r>
        <w:rPr>
          <w:sz w:val="21"/>
          <w:szCs w:val="21"/>
        </w:rPr>
        <w:t xml:space="preserve">Tailwind's utility classes let the team ship consistent styling without a dedicated designer.</w:t>
      </w:r>
    </w:p>
    <w:p>
      <w:pPr>
        <w:pStyle w:val="ListParagraph"/>
        <w:numPr>
          <w:ilvl w:val="0"/>
          <w:numId w:val="2"/>
        </w:numPr>
        <w:spacing w:after="80" w:line="276"/>
      </w:pPr>
      <w:r>
        <w:rPr>
          <w:sz w:val="21"/>
          <w:szCs w:val="21"/>
        </w:rPr>
        <w:t xml:space="preserve">shadcn/ui gives the ops dashboard (Arjun's live metrics view, Kavya's case-brief view) a clean, professional look with minimal custom CSS.</w:t>
      </w:r>
    </w:p>
    <w:p>
      <w:pPr>
        <w:pStyle w:val="ListParagraph"/>
        <w:numPr>
          <w:ilvl w:val="0"/>
          <w:numId w:val="2"/>
        </w:numPr>
        <w:spacing w:after="80" w:line="276"/>
      </w:pPr>
      <w:r>
        <w:rPr>
          <w:sz w:val="21"/>
          <w:szCs w:val="21"/>
        </w:rPr>
        <w:t xml:space="preserve">Recharts directly renders the resolution-rate, escalation-rate, cost-per-ticket, and latency-percentile views already specified in PDLC Stage 6.4.</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The customer widget is a small embeddable SPA that POSTs tickets to FastAPI and opens a WebSocket for the resolution/escalation push. The ops dashboard is a separate route in the same React app, gated behind a Supabase Auth JWT, consuming the same WebSocket channel plus REST endpoints for historical metrics.</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Next.js</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Unnecessary SSR/SEO for an authenticated internal tool and an embeddable widget; adds build complexity with no payoff here.</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Vue / Svelte</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Comparable performance and smaller bundles, but React's ecosystem depth fits the team's needs better for this project's timeline.</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Chart.js / ECharts (canvas-based)</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More efficient at very large datasets, but at Cartly's dashboard scale (metrics aggregated per hour/day, not per-vector), Recharts' SVG rendering is sufficient and easier to theme with shadcn.</w:t>
            </w:r>
          </w:p>
        </w:tc>
      </w:tr>
    </w:tbl>
    <w:p>
      <w:pPr>
        <w:spacing w:after="120"/>
      </w:pPr>
    </w:p>
    <w:p>
      <w:pPr>
        <w:pStyle w:val="Heading1"/>
        <w:pBdr>
          <w:bottom w:val="single" w:color="1F3864" w:sz="6" w:space="4"/>
        </w:pBdr>
        <w:spacing w:after="200" w:before="400"/>
      </w:pPr>
      <w:r>
        <w:rPr>
          <w:b/>
          <w:bCs/>
          <w:color w:val="1F3864"/>
          <w:sz w:val="30"/>
          <w:szCs w:val="30"/>
        </w:rPr>
        <w:t xml:space="preserve">2. Real-Time Communication</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Native FastAPI WebSockets</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Runs on the same ASGI/uvloop event loop as the rest of the API — no extra service to deploy or pay for.</w:t>
      </w:r>
    </w:p>
    <w:p>
      <w:pPr>
        <w:pStyle w:val="ListParagraph"/>
        <w:numPr>
          <w:ilvl w:val="0"/>
          <w:numId w:val="2"/>
        </w:numPr>
        <w:spacing w:after="80" w:line="276"/>
      </w:pPr>
      <w:r>
        <w:rPr>
          <w:sz w:val="21"/>
          <w:szCs w:val="21"/>
        </w:rPr>
        <w:t xml:space="preserve">Sufficient feature set for this scope: one channel, ticket status plus escalation push, no room-based fan-out needed.</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The worker publishes a resolution or escalation event; the API relays it over an open WebSocket connection to the customer widget or ops dashboard, keyed by ticket ID or session.</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Socket.IO on ASGI</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Restores rooms/namespaces/reconnection logic, but reintroduces protocol overhead this project doesn't need at its current channel complexity.</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Managed platforms (Pusher, Ably, Firebase Realtime)</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Remove the scaling problem entirely, but add a paid vendor dependency and per-connection cost for a problem FastAPI's native WebSocket support already solves for free at this traffic level.</w:t>
            </w:r>
          </w:p>
        </w:tc>
      </w:tr>
    </w:tbl>
    <w:p>
      <w:pPr>
        <w:spacing w:after="120"/>
      </w:pPr>
    </w:p>
    <w:p>
      <w:pPr>
        <w:pStyle w:val="Heading1"/>
        <w:pBdr>
          <w:bottom w:val="single" w:color="1F3864" w:sz="6" w:space="4"/>
        </w:pBdr>
        <w:spacing w:after="200" w:before="400"/>
      </w:pPr>
      <w:r>
        <w:rPr>
          <w:b/>
          <w:bCs/>
          <w:color w:val="1F3864"/>
          <w:sz w:val="30"/>
          <w:szCs w:val="30"/>
        </w:rPr>
        <w:t xml:space="preserve">3. Backend / API Service</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FastAPI + Pydantic v2 + Uvicorn (Python throughout)</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Async-native and matches the team's Python-first workflow end to end — agents, orchestration, API, and tooling all in one language.</w:t>
      </w:r>
    </w:p>
    <w:p>
      <w:pPr>
        <w:pStyle w:val="ListParagraph"/>
        <w:numPr>
          <w:ilvl w:val="0"/>
          <w:numId w:val="2"/>
        </w:numPr>
        <w:spacing w:after="80" w:line="276"/>
      </w:pPr>
      <w:r>
        <w:rPr>
          <w:sz w:val="21"/>
          <w:szCs w:val="21"/>
        </w:rPr>
        <w:t xml:space="preserve">Pydantic v2's Rust-backed validation enforces the Stage 3.6 agent registry's input/output schemas as executable code, not just documentation.</w:t>
      </w:r>
    </w:p>
    <w:p>
      <w:pPr>
        <w:pStyle w:val="ListParagraph"/>
        <w:numPr>
          <w:ilvl w:val="0"/>
          <w:numId w:val="2"/>
        </w:numPr>
        <w:spacing w:after="80" w:line="276"/>
      </w:pPr>
      <w:r>
        <w:rPr>
          <w:sz w:val="21"/>
          <w:szCs w:val="21"/>
        </w:rPr>
        <w:t xml:space="preserve">Auto-generated OpenAPI docs are a direct asset for the viva's "walk through the API contract" line of questioning.</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FastAPI exposes REST endpoints for ticket submission, dashboard queries, and auth, plus WebSocket endpoints for live push. The service is fully stateless — every request reads or writes Postgres/Redis, nothing is held in process memory.</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Flask</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Lacks native async and built-in schema validation; would need extensions bolted on to match what FastAPI provides out of the box.</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Django</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Heavier, ORM- and admin-panel-centric; most of that machinery is unused in an API-only agentic backend and would slow initial build velocity.</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Node.js (Express/NestJS)</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Would fragment the codebase across two languages for no functional benefit, given the team's Python preference and the Python-first agent tooling (LangGraph, LiteLLM, RAGAS, DSPy).</w:t>
            </w:r>
          </w:p>
        </w:tc>
      </w:tr>
    </w:tbl>
    <w:p>
      <w:pPr>
        <w:spacing w:after="120"/>
      </w:pPr>
    </w:p>
    <w:p>
      <w:pPr>
        <w:pStyle w:val="Heading1"/>
        <w:pBdr>
          <w:bottom w:val="single" w:color="1F3864" w:sz="6" w:space="4"/>
        </w:pBdr>
        <w:spacing w:after="200" w:before="400"/>
      </w:pPr>
      <w:r>
        <w:rPr>
          <w:b/>
          <w:bCs/>
          <w:color w:val="1F3864"/>
          <w:sz w:val="30"/>
          <w:szCs w:val="30"/>
        </w:rPr>
        <w:t xml:space="preserve">4. Ticket Ingestion &amp; Worker Decoupling</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Ticket write to Postgres + push to an Upstash Redis queue; a separate Python worker consumes the queue and runs LangGraph; API acknowledges immediately</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Decouples how fast tickets arrive from how long they take to resolve — traffic rate and LLM/agent latency are governed by different constraints and should not block each other.</w:t>
      </w:r>
    </w:p>
    <w:p>
      <w:pPr>
        <w:pStyle w:val="ListParagraph"/>
        <w:numPr>
          <w:ilvl w:val="0"/>
          <w:numId w:val="2"/>
        </w:numPr>
        <w:spacing w:after="80" w:line="276"/>
      </w:pPr>
      <w:r>
        <w:rPr>
          <w:sz w:val="21"/>
          <w:szCs w:val="21"/>
        </w:rPr>
        <w:t xml:space="preserve">A competing-consumers pattern: processing throughput scales by adding worker replicas, with zero code change to the API.</w:t>
      </w:r>
    </w:p>
    <w:p>
      <w:pPr>
        <w:pStyle w:val="ListParagraph"/>
        <w:numPr>
          <w:ilvl w:val="0"/>
          <w:numId w:val="2"/>
        </w:numPr>
        <w:spacing w:after="80" w:line="276"/>
      </w:pPr>
      <w:r>
        <w:rPr>
          <w:sz w:val="21"/>
          <w:szCs w:val="21"/>
        </w:rPr>
        <w:t xml:space="preserve">Directly protects the API from a slow Dispute Agent chain or a genuine traffic spike, matching the peak-surge concern already flagged as Assumption A1 in the PDLC.</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`POST /tickets` validates the payload, writes a `pending` row to Postgres, pushes a job onto the Redis queue, and returns `202 Accepted` with a ticket ID. Worker processes poll the queue, run the LangGraph graph for that ticket, write the result to Postgres, and publish the outcome back through the WebSocket layer.</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Synchronous in-request processing</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Simplest to build, but ties API response time directly to the slowest agent call in the chain and cannot scale independently — rejected for exactly the throughput readiness this project needs.</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Celery</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A heavier, more full-featured task queue than currently needed; its retry/scheduling/routing machinery solves problems Cartly doesn't have yet. A lean Redis-queue-plus-worker-loop is simpler now and swappable to Celery later if task complexity grows.</w:t>
            </w:r>
          </w:p>
        </w:tc>
      </w:tr>
    </w:tbl>
    <w:p>
      <w:pPr>
        <w:spacing w:after="120"/>
      </w:pPr>
    </w:p>
    <w:p>
      <w:pPr>
        <w:pStyle w:val="Heading1"/>
        <w:pBdr>
          <w:bottom w:val="single" w:color="1F3864" w:sz="6" w:space="4"/>
        </w:pBdr>
        <w:spacing w:after="200" w:before="400"/>
      </w:pPr>
      <w:r>
        <w:rPr>
          <w:b/>
          <w:bCs/>
          <w:color w:val="1F3864"/>
          <w:sz w:val="30"/>
          <w:szCs w:val="30"/>
        </w:rPr>
        <w:t xml:space="preserve">5. Agent Orchestration</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LangGraph, running inside the worker process</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Directly implements the orchestrator-worker outer loop, router-and-handoff entry point, sequential within-agent execution, and evaluator-optimizer final gate already defended in the PDLC's Orchestration Decision Record (Stage 3.3).</w:t>
      </w:r>
    </w:p>
    <w:p>
      <w:pPr>
        <w:pStyle w:val="ListParagraph"/>
        <w:numPr>
          <w:ilvl w:val="0"/>
          <w:numId w:val="2"/>
        </w:numPr>
        <w:spacing w:after="80" w:line="276"/>
      </w:pPr>
      <w:r>
        <w:rPr>
          <w:sz w:val="21"/>
          <w:szCs w:val="21"/>
        </w:rPr>
        <w:t xml:space="preserve">Native conditional branching maps cleanly onto the Safety Critic's approve/block gate.</w:t>
      </w:r>
    </w:p>
    <w:p>
      <w:pPr>
        <w:pStyle w:val="ListParagraph"/>
        <w:numPr>
          <w:ilvl w:val="0"/>
          <w:numId w:val="2"/>
        </w:numPr>
        <w:spacing w:after="80" w:line="276"/>
      </w:pPr>
      <w:r>
        <w:rPr>
          <w:sz w:val="21"/>
          <w:szCs w:val="21"/>
        </w:rPr>
        <w:t xml:space="preserve">Runs per-ticket, per-worker, with no shared state between concurrent tickets.</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Each worker pulls one ticket, builds a LangGraph state graph instance (Triage → specialist agent → Safety Critic → resolve/escalate), executes it to completion or timeout, and reports the result.</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CrewAI</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Simpler role-based multi-agent setup, but offers nothing beyond what LangGraph already provides for this specific topology; switching now would re-open an already-defended architecture decision for no functional gain.</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AutoGen</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Leans toward multi-agent debate/negotiation patterns and Azure-oriented tooling that don't match Cartly's fixed orchestrator-worker shape.</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Hand-rolled asyncio orchestrator</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Avoids a dependency, but reimplements state management, checkpointing, and conditional branching LangGraph already provides, and loses native Langfuse tracing integration in the process.</w:t>
            </w:r>
          </w:p>
        </w:tc>
      </w:tr>
    </w:tbl>
    <w:p>
      <w:pPr>
        <w:spacing w:after="120"/>
      </w:pPr>
    </w:p>
    <w:p>
      <w:pPr>
        <w:pStyle w:val="Heading1"/>
        <w:pBdr>
          <w:bottom w:val="single" w:color="1F3864" w:sz="6" w:space="4"/>
        </w:pBdr>
        <w:spacing w:after="200" w:before="400"/>
      </w:pPr>
      <w:r>
        <w:rPr>
          <w:b/>
          <w:bCs/>
          <w:color w:val="1F3864"/>
          <w:sz w:val="30"/>
          <w:szCs w:val="30"/>
        </w:rPr>
        <w:t xml:space="preserve">6. LLM Gateway &amp; Model Tiering</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LiteLLM as the single gateway, addressed by virtual tier names (cartly-cheap / cartly-medium / cartly-strong). Cheap: Qwen3.6-27B or DeepSeek V4 Flash via Groq's free tier (multi-key round-robin). Medium: Mistral Small 4. Strong: Claude, reserved for the Dispute Agent and synthetic data generation.</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One abstraction gives provider-level fallback, rate-limit handling, retries, timeouts, and per-call cost tracking for free — everything PDLC Stage 3.4 already specifies.</w:t>
      </w:r>
    </w:p>
    <w:p>
      <w:pPr>
        <w:pStyle w:val="ListParagraph"/>
        <w:numPr>
          <w:ilvl w:val="0"/>
          <w:numId w:val="2"/>
        </w:numPr>
        <w:spacing w:after="80" w:line="276"/>
      </w:pPr>
      <w:r>
        <w:rPr>
          <w:sz w:val="21"/>
          <w:szCs w:val="21"/>
        </w:rPr>
        <w:t xml:space="preserve">Naming tiers instead of models means the free-to-paid transition (see the dedicated section below) is a config edit, never a code change.</w:t>
      </w:r>
    </w:p>
    <w:p>
      <w:pPr>
        <w:pStyle w:val="ListParagraph"/>
        <w:numPr>
          <w:ilvl w:val="0"/>
          <w:numId w:val="2"/>
        </w:numPr>
        <w:spacing w:after="80" w:line="276"/>
      </w:pPr>
      <w:r>
        <w:rPr>
          <w:sz w:val="21"/>
          <w:szCs w:val="21"/>
        </w:rPr>
        <w:t xml:space="preserve">Tiering cost against task difficulty — cheap for high-volume triage/order lookups, medium for policy/refund reasoning, strong reserved for the hardest multi-party reasoning — is what keeps the PRD's cost-per-resolved-ticket guardrail achievable.</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Every agent's LLM call goes through litellm.completion(model="cartly-&lt;tier&gt;", ...). The gateway config also defines a fallback chain per tier — e.g. the cheap tier falls back to a second Groq key, then to the medium tier, on timeout or rate-limit.</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Hardcoding a provider/model in agent code</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The most common way this kind of project breaks once the free-tier landscape shifts, which it does monthly right now — every model reference would need to be found and edited by hand.</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OpenRouter / Portkey as the sole gateway</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Viable, and worth including as one provider inside LiteLLM's fallback list, but replacing LiteLLM entirely trades away the fine-grained per-agent tier control and self-hosted routing logic this project needs.</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Bifrost (Go-based gateway)</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Claims lower per-request overhead than a Python gateway, relevant at request volumes well beyond what Cartly's ticket queue produces today; not worth the operational and ecosystem-maturity trade-off at this stage.</w:t>
            </w:r>
          </w:p>
        </w:tc>
      </w:tr>
    </w:tbl>
    <w:p>
      <w:pPr>
        <w:spacing w:after="120"/>
      </w:pPr>
    </w:p>
    <w:p>
      <w:pPr>
        <w:pStyle w:val="Heading1"/>
        <w:pBdr>
          <w:bottom w:val="single" w:color="1F3864" w:sz="6" w:space="4"/>
        </w:pBdr>
        <w:spacing w:after="200" w:before="400"/>
      </w:pPr>
      <w:r>
        <w:rPr>
          <w:b/>
          <w:bCs/>
          <w:color w:val="1F3864"/>
          <w:sz w:val="30"/>
          <w:szCs w:val="30"/>
        </w:rPr>
        <w:t xml:space="preserve">7. Embeddings</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bge-small-en-v1.5, self-hosted via sentence-transformers, behind an EmbeddingProvider interface</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Zero per-call cost, keeps the embedding step off any external API's rate limit or bill.</w:t>
      </w:r>
    </w:p>
    <w:p>
      <w:pPr>
        <w:pStyle w:val="ListParagraph"/>
        <w:numPr>
          <w:ilvl w:val="0"/>
          <w:numId w:val="2"/>
        </w:numPr>
        <w:spacing w:after="80" w:line="276"/>
      </w:pPr>
      <w:r>
        <w:rPr>
          <w:sz w:val="21"/>
          <w:szCs w:val="21"/>
        </w:rPr>
        <w:t xml:space="preserve">Small enough (384-dim, 33M parameters) to run comfortably on free-tier compute, even CPU.</w:t>
      </w:r>
    </w:p>
    <w:p>
      <w:pPr>
        <w:pStyle w:val="ListParagraph"/>
        <w:numPr>
          <w:ilvl w:val="0"/>
          <w:numId w:val="2"/>
        </w:numPr>
        <w:spacing w:after="80" w:line="276"/>
      </w:pPr>
      <w:r>
        <w:rPr>
          <w:sz w:val="21"/>
          <w:szCs w:val="21"/>
        </w:rPr>
        <w:t xml:space="preserve">The interface wrapper means a quality upgrade later is a new class, not a retrieval-layer rewrite.</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Runs inside the worker (or a small internal embedding function) whenever a document is indexed into, or a query is issued against, the vector store.</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OpenAI text-embedding-3-small (API-based)</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Zero setup and slightly higher out-of-the-box quality, but adds a recurring per-call cost and an external dependency on the retrieval critical path — inconsistent with the free-first approach chosen for this build.</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bge-base / bge-large</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Better recall, but heavier and unnecessary until an actual quality problem shows up. Held as the named upgrade path: if RAGAS context-recall scores come in low, this is the first thing to swap, not a redesign.</w:t>
            </w:r>
          </w:p>
        </w:tc>
      </w:tr>
    </w:tbl>
    <w:p>
      <w:pPr>
        <w:spacing w:after="120"/>
      </w:pPr>
    </w:p>
    <w:p>
      <w:pPr>
        <w:pStyle w:val="Heading1"/>
        <w:pBdr>
          <w:bottom w:val="single" w:color="1F3864" w:sz="6" w:space="4"/>
        </w:pBdr>
        <w:spacing w:after="200" w:before="400"/>
      </w:pPr>
      <w:r>
        <w:rPr>
          <w:b/>
          <w:bCs/>
          <w:color w:val="1F3864"/>
          <w:sz w:val="30"/>
          <w:szCs w:val="30"/>
        </w:rPr>
        <w:t xml:space="preserve">8. Vector Store</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Qdrant, hosted on Qdrant Cloud's free tier</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Rust-based and memory-efficient, with mature payload filtering — which matters specifically because Cartly's policy knowledge base will not stay small.</w:t>
      </w:r>
    </w:p>
    <w:p>
      <w:pPr>
        <w:pStyle w:val="ListParagraph"/>
        <w:numPr>
          <w:ilvl w:val="0"/>
          <w:numId w:val="2"/>
        </w:numPr>
        <w:spacing w:after="80" w:line="276"/>
      </w:pPr>
      <w:r>
        <w:rPr>
          <w:sz w:val="21"/>
          <w:szCs w:val="21"/>
        </w:rPr>
        <w:t xml:space="preserve">A marketplace with many independent sellers means seller-specific return windows, shipping terms, and dispute rules, so every chunk is indexed from day one with seller_id, policy_category, and version_timestamp as payload fields.</w:t>
      </w:r>
    </w:p>
    <w:p>
      <w:pPr>
        <w:pStyle w:val="ListParagraph"/>
        <w:numPr>
          <w:ilvl w:val="0"/>
          <w:numId w:val="2"/>
        </w:numPr>
        <w:spacing w:after="80" w:line="276"/>
      </w:pPr>
      <w:r>
        <w:rPr>
          <w:sz w:val="21"/>
          <w:szCs w:val="21"/>
        </w:rPr>
        <w:t xml:space="preserve">Every retrieval call filters on these fields, so query performance and correctness hold as seller count grows from dozens to thousands, with no re-indexing migration required — only a Qdrant Cloud plan upgrade for more RAM/nodes when data volume actually grows.</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The Policy Agent's policy_retrieval tool queries Qdrant with the appropriate seller/category/timestamp filters, returning ranked chunks with source references for the Safety Critic to verify independently.</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ChromaDB</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 genuinely close second, and the more commonly tutorial-featured option. Self-hosting it on a platform with an ephemeral filesystem risks silent data loss on every redeploy, and even on Chroma Cloud, Qdrant's stronger payload-filtering maturity and Rust performance edge matter more given the seller-scale filtering requirement.</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pgvector on Supabase</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Would consolidate vector search and relational data into one connection string, operationally simpler, but gives up dedicated vector-search performance and filtering maturity for that simplicity.</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Pinecone</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Fully managed with automatic scaling, but usage-based pricing scales cost with query volume in a way that punishes exactly the growth this project is designing for.</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Weaviate</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Bundled hybrid search and embedding modules are convenient but redundant here, since embeddings are already produced separately by bge-small; its memory footprint isn't justified until well beyond Cartly's current scale.</w:t>
            </w:r>
          </w:p>
        </w:tc>
      </w:tr>
    </w:tbl>
    <w:p>
      <w:pPr>
        <w:spacing w:after="120"/>
      </w:pPr>
    </w:p>
    <w:p>
      <w:pPr>
        <w:pStyle w:val="Heading1"/>
        <w:pBdr>
          <w:bottom w:val="single" w:color="1F3864" w:sz="6" w:space="4"/>
        </w:pBdr>
        <w:spacing w:after="200" w:before="400"/>
      </w:pPr>
      <w:r>
        <w:rPr>
          <w:b/>
          <w:bCs/>
          <w:color w:val="1F3864"/>
          <w:sz w:val="30"/>
          <w:szCs w:val="30"/>
        </w:rPr>
        <w:t xml:space="preserve">9. Relational Database &amp; Auth</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PostgreSQL on Supabase (free tier) via the Supavisor pooler in transaction mode, with Supabase Auth (GoTrue) providing JWT login and role claims</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Supabase's free Postgres has no time-based expiry — only a 7-day inactivity pause, trivially avoided with a scheduled keep-alive ping.</w:t>
      </w:r>
    </w:p>
    <w:p>
      <w:pPr>
        <w:pStyle w:val="ListParagraph"/>
        <w:numPr>
          <w:ilvl w:val="0"/>
          <w:numId w:val="2"/>
        </w:numPr>
        <w:spacing w:after="80" w:line="276"/>
      </w:pPr>
      <w:r>
        <w:rPr>
          <w:sz w:val="21"/>
          <w:szCs w:val="21"/>
        </w:rPr>
        <w:t xml:space="preserve">Bundling auth means no hand-rolled JWT or password-hashing code to build, test, and defend — a real reduction in "generated but not understood" surface area for the viva.</w:t>
      </w:r>
    </w:p>
    <w:p>
      <w:pPr>
        <w:pStyle w:val="ListParagraph"/>
        <w:numPr>
          <w:ilvl w:val="0"/>
          <w:numId w:val="2"/>
        </w:numPr>
        <w:spacing w:after="80" w:line="276"/>
      </w:pPr>
      <w:r>
        <w:rPr>
          <w:sz w:val="21"/>
          <w:szCs w:val="21"/>
        </w:rPr>
        <w:t xml:space="preserve">Supavisor pooling from day one avoids exhausting Postgres's connection limit once multiple worker replicas each open connections.</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Stores customer profiles, the append-only audit log, and the human handoff queue (already specified in PDLC Stage 3.7). Supabase Auth issues and verifies the JWTs consumed by both the API and the ops dashboard, with role claims for ops_lead, escalation_agent, and admin.</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Render Postgres (free tier)</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The original default, but its free databases are hard-deleted 30 days after creation with only a 14-day grace warning — a real risk for a build spanning multiple sprints, not a style preference.</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Neon</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Comparable serverless Postgres with generous branching, but database-only — auth, storage, and realtime would each need a separate service, reintroducing the hand-rolled-auth problem Supabase solves for free.</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Self-hosted Postgres</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No meaningful durable free option, and adds ops burden (backups, patching, uptime) with no benefit at this scale.</w:t>
            </w:r>
          </w:p>
        </w:tc>
      </w:tr>
    </w:tbl>
    <w:p>
      <w:pPr>
        <w:spacing w:after="120"/>
      </w:pPr>
    </w:p>
    <w:p>
      <w:pPr>
        <w:pStyle w:val="Heading1"/>
        <w:pBdr>
          <w:bottom w:val="single" w:color="1F3864" w:sz="6" w:space="4"/>
        </w:pBdr>
        <w:spacing w:after="200" w:before="400"/>
      </w:pPr>
      <w:r>
        <w:rPr>
          <w:b/>
          <w:bCs/>
          <w:color w:val="1F3864"/>
          <w:sz w:val="30"/>
          <w:szCs w:val="30"/>
        </w:rPr>
        <w:t xml:space="preserve">10. Queue, Cache &amp; Backpressure</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Redis on Upstash (free tier), serving three roles: the ticket ingestion queue, the semantic cache for repeated WISMO/policy queries, and a token-bucket rate limiter at the API's ingestion point</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Serverless and REST-accessible, so it works cleanly from an async FastAPI/worker setup without managing TCP connection pools.</w:t>
      </w:r>
    </w:p>
    <w:p>
      <w:pPr>
        <w:pStyle w:val="ListParagraph"/>
        <w:numPr>
          <w:ilvl w:val="0"/>
          <w:numId w:val="2"/>
        </w:numPr>
        <w:spacing w:after="80" w:line="276"/>
      </w:pPr>
      <w:r>
        <w:rPr>
          <w:sz w:val="21"/>
          <w:szCs w:val="21"/>
        </w:rPr>
        <w:t xml:space="preserve">Provider-agnostic, so it isn't tied to whichever compute host serves the API this month.</w:t>
      </w:r>
    </w:p>
    <w:p>
      <w:pPr>
        <w:pStyle w:val="ListParagraph"/>
        <w:numPr>
          <w:ilvl w:val="0"/>
          <w:numId w:val="2"/>
        </w:numPr>
        <w:spacing w:after="80" w:line="276"/>
      </w:pPr>
      <w:r>
        <w:rPr>
          <w:sz w:val="21"/>
          <w:szCs w:val="21"/>
        </w:rPr>
        <w:t xml:space="preserve">The rate limiter gives graceful degradation under a genuine traffic spike — queue and ack fast — rather than letting the worker pool fall over, operationalizing the kill-switch/graceful-fallback principle already committed to in PDLC Stage 4.2 at the ingestion layer.</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One Upstash Redis instance, three key namespaces: queue:tickets for ingestion, cache:policy:* for semantic caching (per PDLC Stage 6.2), and ratelimit:* for the token-bucket limiter.</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Render Key-Value / self-hosted Redis</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Render has no durable managed Redis on its free tier, and self-hosting introduces the same ephemeral-disk persistence risk already ruled out for the vector store.</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A separate broker (RabbitMQ, SQS) for the queue role</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More infrastructure to run and pay for than this project's queue depth and message complexity currently justify; Redis's list/stream primitives are sufficient here.</w:t>
            </w:r>
          </w:p>
        </w:tc>
      </w:tr>
    </w:tbl>
    <w:p>
      <w:pPr>
        <w:spacing w:after="120"/>
      </w:pPr>
    </w:p>
    <w:p>
      <w:pPr>
        <w:pStyle w:val="Heading1"/>
        <w:pBdr>
          <w:bottom w:val="single" w:color="1F3864" w:sz="6" w:space="4"/>
        </w:pBdr>
        <w:spacing w:after="200" w:before="400"/>
      </w:pPr>
      <w:r>
        <w:rPr>
          <w:b/>
          <w:bCs/>
          <w:color w:val="1F3864"/>
          <w:sz w:val="30"/>
          <w:szCs w:val="30"/>
        </w:rPr>
        <w:t xml:space="preserve">11. Observability</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Langfuse, tracing both the API and the worker</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Native tracing for LangGraph, purpose-built for LLM call chains (prompt, tokens, cost, latency per step) rather than generic APM.</w:t>
      </w:r>
    </w:p>
    <w:p>
      <w:pPr>
        <w:pStyle w:val="ListParagraph"/>
        <w:numPr>
          <w:ilvl w:val="0"/>
          <w:numId w:val="2"/>
        </w:numPr>
        <w:spacing w:after="80" w:line="276"/>
      </w:pPr>
      <w:r>
        <w:rPr>
          <w:sz w:val="21"/>
          <w:szCs w:val="21"/>
        </w:rPr>
        <w:t xml:space="preserve">Open-source and self-hostable later if the hosted free tier gets tight, so there is no hard vendor cliff.</w:t>
      </w:r>
    </w:p>
    <w:p>
      <w:pPr>
        <w:pStyle w:val="ListParagraph"/>
        <w:numPr>
          <w:ilvl w:val="0"/>
          <w:numId w:val="2"/>
        </w:numPr>
        <w:spacing w:after="80" w:line="276"/>
      </w:pPr>
      <w:r>
        <w:rPr>
          <w:sz w:val="21"/>
          <w:szCs w:val="21"/>
        </w:rPr>
        <w:t xml:space="preserve">Directly powers the resolution-rate/escalation-rate/cost/latency dashboard the operations persona (Arjun) needs, per PDLC Stage 6.4.</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Every agent step and tool call in the LangGraph run is wrapped with a Langfuse trace; traces roll up into the per-ticket cost ledger and the ops dashboard's live views.</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LangSmith</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LangChain's own cloud offering, functionally similar, but closed and adds cost where Langfuse's open-source option doesn't.</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Arize / generic ML monitoring</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Built for classical ML model monitoring (drift, feature distributions), not tailored to multi-step LLM agent traces the way Langfuse is.</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Hand-rolled structured logging</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Technically possible, but reinvents trace visualization, cost aggregation, and dashboarding Langfuse already provides, for a worse result.</w:t>
            </w:r>
          </w:p>
        </w:tc>
      </w:tr>
    </w:tbl>
    <w:p>
      <w:pPr>
        <w:spacing w:after="120"/>
      </w:pPr>
    </w:p>
    <w:p>
      <w:pPr>
        <w:pStyle w:val="Heading1"/>
        <w:pBdr>
          <w:bottom w:val="single" w:color="1F3864" w:sz="6" w:space="4"/>
        </w:pBdr>
        <w:spacing w:after="200" w:before="400"/>
      </w:pPr>
      <w:r>
        <w:rPr>
          <w:b/>
          <w:bCs/>
          <w:color w:val="1F3864"/>
          <w:sz w:val="30"/>
          <w:szCs w:val="30"/>
        </w:rPr>
        <w:t xml:space="preserve">12. Evaluation &amp; Optimization</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RAGAS for retrieval-grounded metrics, DSPy for prompt/pipeline optimization, promptfoo for the A/B and red-team harness</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Each tool is purpose-built for one job the PDLC already requires: RAGAS produces the faithfulness/relevancy/precision/recall scores behind the PRD's groundedness guardrail (Stage 7.2).</w:t>
      </w:r>
    </w:p>
    <w:p>
      <w:pPr>
        <w:pStyle w:val="ListParagraph"/>
        <w:numPr>
          <w:ilvl w:val="0"/>
          <w:numId w:val="2"/>
        </w:numPr>
        <w:spacing w:after="80" w:line="276"/>
      </w:pPr>
      <w:r>
        <w:rPr>
          <w:sz w:val="21"/>
          <w:szCs w:val="21"/>
        </w:rPr>
        <w:t xml:space="preserve">DSPy compiles and optimizes prompts against the resolution-rate metric (Stage 7.4).</w:t>
      </w:r>
    </w:p>
    <w:p>
      <w:pPr>
        <w:pStyle w:val="ListParagraph"/>
        <w:numPr>
          <w:ilvl w:val="0"/>
          <w:numId w:val="2"/>
        </w:numPr>
        <w:spacing w:after="80" w:line="276"/>
      </w:pPr>
      <w:r>
        <w:rPr>
          <w:sz w:val="21"/>
          <w:szCs w:val="21"/>
        </w:rPr>
        <w:t xml:space="preserve">Promptfoo systematizes the model-routing, prompt-variant, and safety-threshold A/B tests already scoped in Stage 7.5.</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All three run as part of the CI regression suite (see Testing, CI &amp; Lint) against the locked golden set, and separately as batch jobs during hardening.</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DeepEval alone</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 reasonable pytest-native alternative for general LLM testing, but doesn't replace RAGAS's retrieval-specific metrics or DSPy's optimization role. Three specialized tools for three specialized jobs beats one generalist tool stretched across all of them.</w:t>
            </w:r>
          </w:p>
        </w:tc>
      </w:tr>
    </w:tbl>
    <w:p>
      <w:pPr>
        <w:spacing w:after="120"/>
      </w:pPr>
    </w:p>
    <w:p>
      <w:pPr>
        <w:pStyle w:val="Heading1"/>
        <w:pBdr>
          <w:bottom w:val="single" w:color="1F3864" w:sz="6" w:space="4"/>
        </w:pBdr>
        <w:spacing w:after="200" w:before="400"/>
      </w:pPr>
      <w:r>
        <w:rPr>
          <w:b/>
          <w:bCs/>
          <w:color w:val="1F3864"/>
          <w:sz w:val="30"/>
          <w:szCs w:val="30"/>
        </w:rPr>
        <w:t xml:space="preserve">13. Safety &amp; Guardrails</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Two layers: deterministic rule checks first (the INR 500 refund threshold, keyword-based hard-escalation triggers), then Llama Guard or NeMo Guardrails as an LLM-based classifier layer inside the Safety Critic</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Defense in depth: the deterministic layer cannot be talked around by a cleverly worded ticket, and it fires before any LLM call, making it the cheapest and fastest check.</w:t>
      </w:r>
    </w:p>
    <w:p>
      <w:pPr>
        <w:pStyle w:val="ListParagraph"/>
        <w:numPr>
          <w:ilvl w:val="0"/>
          <w:numId w:val="2"/>
        </w:numPr>
        <w:spacing w:after="80" w:line="276"/>
      </w:pPr>
      <w:r>
        <w:rPr>
          <w:sz w:val="21"/>
          <w:szCs w:val="21"/>
        </w:rPr>
        <w:t xml:space="preserve">The classifier layer catches the softer cases (tone, policy hallucination, prompt injection) the hard rules can't enumerate.</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Threshold and keyword checks run first in the Refund/Escalation Agent path; the classifier runs inside the Safety Critic node before any response reaches the customer.</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A custom rule engine alone</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Would need to reimplement the classifier-based filtering (tone, injection detection) Llama Guard and NeMo Guardrails already provide. The hard rules stay custom because they are domain-specific business logic; the general-purpose classification layer isn't worth rebuilding.</w:t>
            </w:r>
          </w:p>
        </w:tc>
      </w:tr>
    </w:tbl>
    <w:p>
      <w:pPr>
        <w:spacing w:after="120"/>
      </w:pPr>
    </w:p>
    <w:p>
      <w:pPr>
        <w:pStyle w:val="Heading1"/>
        <w:pBdr>
          <w:bottom w:val="single" w:color="1F3864" w:sz="6" w:space="4"/>
        </w:pBdr>
        <w:spacing w:after="200" w:before="400"/>
      </w:pPr>
      <w:r>
        <w:rPr>
          <w:b/>
          <w:bCs/>
          <w:color w:val="1F3864"/>
          <w:sz w:val="30"/>
          <w:szCs w:val="30"/>
        </w:rPr>
        <w:t xml:space="preserve">14. Testing, CI &amp; Lint</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pytest + pytest-asyncio, GitHub Actions, ruff</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pytest's fixture system and native async support match a FastAPI/LangGraph codebase that is async throughout.</w:t>
      </w:r>
    </w:p>
    <w:p>
      <w:pPr>
        <w:pStyle w:val="ListParagraph"/>
        <w:numPr>
          <w:ilvl w:val="0"/>
          <w:numId w:val="2"/>
        </w:numPr>
        <w:spacing w:after="80" w:line="276"/>
      </w:pPr>
      <w:r>
        <w:rPr>
          <w:sz w:val="21"/>
          <w:szCs w:val="21"/>
        </w:rPr>
        <w:t xml:space="preserve">GitHub Actions is free at this scale, and the repository already lives on GitHub per the Sprint 0 scrum update.</w:t>
      </w:r>
    </w:p>
    <w:p>
      <w:pPr>
        <w:pStyle w:val="ListParagraph"/>
        <w:numPr>
          <w:ilvl w:val="0"/>
          <w:numId w:val="2"/>
        </w:numPr>
        <w:spacing w:after="80" w:line="276"/>
      </w:pPr>
      <w:r>
        <w:rPr>
          <w:sz w:val="21"/>
          <w:szCs w:val="21"/>
        </w:rPr>
        <w:t xml:space="preserve">ruff replaces black, flake8, and isort with one faster tool, reducing dev friction for a small team on a tight sprint clock.</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Every pull request triggers a GitHub Actions workflow: lint (ruff) → unit tests (pytest) → golden-set regression (pytest with RAGAS/DSPy hooks) → merge gate.</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unittest (stdlib)</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Works, but pytest's fixtures and plugin ecosystem — pytest-asyncio in particular — reduce boilerplate meaningfully for an async-heavy codebase.</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CircleCI / GitLab CI</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Comparable free tiers, but the repository is already on GitHub, and GitHub Actions removes a second platform to configure and monitor.</w:t>
            </w:r>
          </w:p>
        </w:tc>
      </w:tr>
    </w:tbl>
    <w:p>
      <w:pPr>
        <w:spacing w:after="120"/>
      </w:pPr>
    </w:p>
    <w:p>
      <w:pPr>
        <w:pStyle w:val="Heading1"/>
        <w:pBdr>
          <w:bottom w:val="single" w:color="1F3864" w:sz="6" w:space="4"/>
        </w:pBdr>
        <w:spacing w:after="200" w:before="400"/>
      </w:pPr>
      <w:r>
        <w:rPr>
          <w:b/>
          <w:bCs/>
          <w:color w:val="1F3864"/>
          <w:sz w:val="30"/>
          <w:szCs w:val="30"/>
        </w:rPr>
        <w:t xml:space="preserve">15. Deployment</w:t>
      </w:r>
    </w:p>
    <w:p>
      <w:pPr>
        <w:pStyle w:val="Heading2"/>
        <w:spacing w:after="120" w:before="280"/>
      </w:pPr>
      <w:r>
        <w:rPr>
          <w:b/>
          <w:bCs/>
          <w:color w:val="44546A"/>
          <w:sz w:val="24"/>
          <w:szCs w:val="24"/>
        </w:rPr>
        <w:t xml:space="preserve">Choice</w:t>
      </w:r>
    </w:p>
    <w:p>
      <w:pPr>
        <w:spacing w:after="160" w:line="276"/>
      </w:pPr>
      <w:r>
        <w:rPr>
          <w:b/>
          <w:bCs/>
          <w:color w:val="1F3864"/>
          <w:sz w:val="21"/>
          <w:szCs w:val="21"/>
        </w:rPr>
        <w:t xml:space="preserve">Docker Compose for local development; two separate stateless Render web services in production (API and worker), with all state living in Supabase, Qdrant Cloud, and Upstash</w:t>
      </w:r>
    </w:p>
    <w:p>
      <w:pPr>
        <w:pStyle w:val="Heading2"/>
        <w:spacing w:after="120" w:before="280"/>
      </w:pPr>
      <w:r>
        <w:rPr>
          <w:b/>
          <w:bCs/>
          <w:color w:val="44546A"/>
          <w:sz w:val="24"/>
          <w:szCs w:val="24"/>
        </w:rPr>
        <w:t xml:space="preserve">Why This Works for Cartly</w:t>
      </w:r>
    </w:p>
    <w:p>
      <w:pPr>
        <w:pStyle w:val="ListParagraph"/>
        <w:numPr>
          <w:ilvl w:val="0"/>
          <w:numId w:val="2"/>
        </w:numPr>
        <w:spacing w:after="80" w:line="276"/>
      </w:pPr>
      <w:r>
        <w:rPr>
          <w:sz w:val="21"/>
          <w:szCs w:val="21"/>
        </w:rPr>
        <w:t xml:space="preserve">Because no service holds local state, a Render cold start or redeploy loses nothing — the persistence risk that ruled out self-hosting on Render's ephemeral disk doesn't apply, since Render now only runs compute.</w:t>
      </w:r>
    </w:p>
    <w:p>
      <w:pPr>
        <w:pStyle w:val="ListParagraph"/>
        <w:numPr>
          <w:ilvl w:val="0"/>
          <w:numId w:val="2"/>
        </w:numPr>
        <w:spacing w:after="80" w:line="276"/>
      </w:pPr>
      <w:r>
        <w:rPr>
          <w:sz w:val="21"/>
          <w:szCs w:val="21"/>
        </w:rPr>
        <w:t xml:space="preserve">Splitting API and worker into two services means they scale independently and a slow worker never blocks the API from accepting new tickets.</w:t>
      </w:r>
    </w:p>
    <w:p>
      <w:pPr>
        <w:pStyle w:val="ListParagraph"/>
        <w:numPr>
          <w:ilvl w:val="0"/>
          <w:numId w:val="2"/>
        </w:numPr>
        <w:spacing w:after="80" w:line="276"/>
      </w:pPr>
      <w:r>
        <w:rPr>
          <w:sz w:val="21"/>
          <w:szCs w:val="21"/>
        </w:rPr>
        <w:t xml:space="preserve">Render's free tier (750 pooled instance-hours/month) covers both services comfortably at demo-level traffic.</w:t>
      </w:r>
    </w:p>
    <w:p>
      <w:pPr>
        <w:pStyle w:val="Heading2"/>
        <w:spacing w:after="120" w:before="280"/>
      </w:pPr>
      <w:r>
        <w:rPr>
          <w:b/>
          <w:bCs/>
          <w:color w:val="44546A"/>
          <w:sz w:val="24"/>
          <w:szCs w:val="24"/>
        </w:rPr>
        <w:t xml:space="preserve">Where &amp; How It's Used</w:t>
      </w:r>
    </w:p>
    <w:p>
      <w:pPr>
        <w:spacing w:after="160" w:line="276"/>
      </w:pPr>
      <w:r>
        <w:rPr>
          <w:sz w:val="21"/>
          <w:szCs w:val="21"/>
        </w:rPr>
        <w:t xml:space="preserve">docker-compose.yml runs API + worker + local substitutes for development; the same Dockerfiles deploy to Render as two services pointing at the Supabase/Qdrant/Upstash instances used in development or a separate free-tier set per environment.</w:t>
      </w:r>
    </w:p>
    <w:p>
      <w:pPr>
        <w:pStyle w:val="Heading2"/>
        <w:spacing w:after="120" w:before="280"/>
      </w:pPr>
      <w:r>
        <w:rPr>
          <w:b/>
          <w:bCs/>
          <w:color w:val="44546A"/>
          <w:sz w:val="24"/>
          <w:szCs w:val="24"/>
        </w:rPr>
        <w:t xml:space="preserve">Why Not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color="auto" w:val="clear"/>
            <w:tcMar>
              <w:top w:type="dxa" w:w="100"/>
              <w:left w:type="dxa" w:w="120"/>
              <w:bottom w:type="dxa" w:w="100"/>
              <w:right w:type="dxa" w:w="120"/>
            </w:tcMar>
            <w:vAlign w:val="center"/>
          </w:tcPr>
          <w:p>
            <w:pPr>
              <w:jc w:val="left"/>
            </w:pPr>
            <w:r>
              <w:rPr>
                <w:b/>
                <w:bCs/>
                <w:color w:val="FFFFFF"/>
                <w:sz w:val="20"/>
                <w:szCs w:val="20"/>
              </w:rPr>
              <w:t xml:space="preserve">Alternative Considered</w:t>
            </w:r>
          </w:p>
        </w:tc>
        <w:tc>
          <w:tcPr>
            <w:tcW w:type="dxa" w:w="6552"/>
            <w:shd w:fill="1F3864" w:color="auto" w:val="clear"/>
            <w:tcMar>
              <w:top w:type="dxa" w:w="100"/>
              <w:left w:type="dxa" w:w="120"/>
              <w:bottom w:type="dxa" w:w="100"/>
              <w:right w:type="dxa" w:w="120"/>
            </w:tcMar>
            <w:vAlign w:val="center"/>
          </w:tcPr>
          <w:p>
            <w:pPr>
              <w:jc w:val="left"/>
            </w:pPr>
            <w:r>
              <w:rPr>
                <w:b/>
                <w:bCs/>
                <w:color w:val="FFFFFF"/>
                <w:sz w:val="20"/>
                <w:szCs w:val="20"/>
              </w:rPr>
              <w:t xml:space="preserve">Why Not Chosen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Fly.io</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No longer offers a free tier for new users, ruling it out for a free-first build.</w:t>
            </w:r>
          </w:p>
        </w:tc>
      </w:tr>
      <w:tr>
        <w:tc>
          <w:tcPr>
            <w:tcW w:type="dxa" w:w="2808"/>
            <w:shd w:fill="EEF1F6" w:color="auto" w:val="clear"/>
            <w:tcMar>
              <w:top w:type="dxa" w:w="100"/>
              <w:left w:type="dxa" w:w="120"/>
              <w:bottom w:type="dxa" w:w="100"/>
              <w:right w:type="dxa" w:w="120"/>
            </w:tcMar>
            <w:vAlign w:val="center"/>
          </w:tcPr>
          <w:p>
            <w:pPr>
              <w:jc w:val="left"/>
            </w:pPr>
            <w:r>
              <w:rPr>
                <w:b/>
                <w:bCs/>
                <w:color w:val="000000"/>
                <w:sz w:val="20"/>
                <w:szCs w:val="20"/>
              </w:rPr>
              <w:t xml:space="preserve">Kubernetes</w:t>
            </w:r>
          </w:p>
        </w:tc>
        <w:tc>
          <w:tcPr>
            <w:tcW w:type="dxa" w:w="6552"/>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Solves scaling and orchestration problems this project doesn't have yet, at an operational complexity cost a three-person team on a fixed timeline shouldn't take on.</w:t>
            </w:r>
          </w:p>
        </w:tc>
      </w:tr>
      <w:tr>
        <w:tc>
          <w:tcPr>
            <w:tcW w:type="dxa" w:w="2808"/>
            <w:shd w:fill="FFFFFF" w:color="auto" w:val="clear"/>
            <w:tcMar>
              <w:top w:type="dxa" w:w="100"/>
              <w:left w:type="dxa" w:w="120"/>
              <w:bottom w:type="dxa" w:w="100"/>
              <w:right w:type="dxa" w:w="120"/>
            </w:tcMar>
            <w:vAlign w:val="center"/>
          </w:tcPr>
          <w:p>
            <w:pPr>
              <w:jc w:val="left"/>
            </w:pPr>
            <w:r>
              <w:rPr>
                <w:b/>
                <w:bCs/>
                <w:color w:val="000000"/>
                <w:sz w:val="20"/>
                <w:szCs w:val="20"/>
              </w:rPr>
              <w:t xml:space="preserve">Heroku</w:t>
            </w:r>
          </w:p>
        </w:tc>
        <w:tc>
          <w:tcPr>
            <w:tcW w:type="dxa" w:w="6552"/>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Free tier discontinued; the Eco plan is paid from day one.</w:t>
            </w:r>
          </w:p>
        </w:tc>
      </w:tr>
    </w:tbl>
    <w:p>
      <w:pPr>
        <w:spacing w:after="120"/>
      </w:pPr>
    </w:p>
    <w:p>
      <w:r>
        <w:br w:type="page"/>
      </w:r>
    </w:p>
    <w:p>
      <w:pPr>
        <w:pStyle w:val="Heading1"/>
        <w:pBdr>
          <w:bottom w:val="single" w:color="1F3864" w:sz="6" w:space="4"/>
        </w:pBdr>
        <w:spacing w:after="200" w:before="400"/>
      </w:pPr>
      <w:r>
        <w:rPr>
          <w:b/>
          <w:bCs/>
          <w:color w:val="1F3864"/>
          <w:sz w:val="30"/>
          <w:szCs w:val="30"/>
        </w:rPr>
        <w:t xml:space="preserve">Free-to-Paid Swap Architecture</w:t>
      </w:r>
    </w:p>
    <w:p>
      <w:pPr>
        <w:spacing w:after="160" w:line="276"/>
      </w:pPr>
      <w:r>
        <w:rPr>
          <w:sz w:val="21"/>
          <w:szCs w:val="21"/>
        </w:rPr>
        <w:t xml:space="preserve">This is one design principle applied consistently across every external dependency: application code never names a real provider, model, or connection detail. Everything goes through a config layer keyed by environment variable or a small provider interface.</w:t>
      </w:r>
    </w:p>
    <w:p>
      <w:pPr>
        <w:pStyle w:val="Heading2"/>
        <w:spacing w:after="120" w:before="280"/>
      </w:pPr>
      <w:r>
        <w:rPr>
          <w:b/>
          <w:bCs/>
          <w:color w:val="44546A"/>
          <w:sz w:val="24"/>
          <w:szCs w:val="24"/>
        </w:rPr>
        <w:t xml:space="preserve">LLM tiers via LiteLLM</w:t>
      </w:r>
    </w:p>
    <w:p>
      <w:pPr>
        <w:spacing w:after="160" w:line="276"/>
      </w:pPr>
      <w:r>
        <w:rPr>
          <w:sz w:val="21"/>
          <w:szCs w:val="21"/>
        </w:rPr>
        <w:t xml:space="preserve">Agents call a virtual model name that never changes. What actually serves that name is defined once, in the gateway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color="auto" w:val="clear"/>
            <w:tcMar>
              <w:top w:type="dxa" w:w="160"/>
              <w:left w:type="dxa" w:w="200"/>
              <w:bottom w:type="dxa" w:w="160"/>
              <w:right w:type="dxa" w:w="200"/>
            </w:tcMar>
          </w:tcPr>
          <w:p>
            <w:pPr>
              <w:spacing w:after="40"/>
            </w:pPr>
            <w:r>
              <w:rPr>
                <w:rFonts w:ascii="Consolas" w:cs="Consolas" w:eastAsia="Consolas" w:hAnsi="Consolas"/>
                <w:color w:val="E8E8E8"/>
                <w:sz w:val="18"/>
                <w:szCs w:val="18"/>
              </w:rPr>
              <w:t xml:space="preserve">model_list:</w:t>
            </w:r>
          </w:p>
          <w:p>
            <w:pPr>
              <w:spacing w:after="40"/>
            </w:pPr>
            <w:r>
              <w:rPr>
                <w:rFonts w:ascii="Consolas" w:cs="Consolas" w:eastAsia="Consolas" w:hAnsi="Consolas"/>
                <w:color w:val="E8E8E8"/>
                <w:sz w:val="18"/>
                <w:szCs w:val="18"/>
              </w:rPr>
              <w:t xml:space="preserve">  - model_name: cartly-cheap        # agents call this name, never changes</w:t>
            </w:r>
          </w:p>
          <w:p>
            <w:pPr>
              <w:spacing w:after="40"/>
            </w:pPr>
            <w:r>
              <w:rPr>
                <w:rFonts w:ascii="Consolas" w:cs="Consolas" w:eastAsia="Consolas" w:hAnsi="Consolas"/>
                <w:color w:val="E8E8E8"/>
                <w:sz w:val="18"/>
                <w:szCs w:val="18"/>
              </w:rPr>
              <w:t xml:space="preserve">    litellm_params:</w:t>
            </w:r>
          </w:p>
          <w:p>
            <w:pPr>
              <w:spacing w:after="40"/>
            </w:pPr>
            <w:r>
              <w:rPr>
                <w:rFonts w:ascii="Consolas" w:cs="Consolas" w:eastAsia="Consolas" w:hAnsi="Consolas"/>
                <w:color w:val="E8E8E8"/>
                <w:sz w:val="18"/>
                <w:szCs w:val="18"/>
              </w:rPr>
              <w:t xml:space="preserve">      model: groq/qwen3.6-27b       # swap this line when the tier changes</w:t>
            </w:r>
          </w:p>
          <w:p>
            <w:pPr>
              <w:spacing w:after="40"/>
            </w:pPr>
            <w:r>
              <w:rPr>
                <w:rFonts w:ascii="Consolas" w:cs="Consolas" w:eastAsia="Consolas" w:hAnsi="Consolas"/>
                <w:color w:val="E8E8E8"/>
                <w:sz w:val="18"/>
                <w:szCs w:val="18"/>
              </w:rPr>
              <w:t xml:space="preserve">      api_key: os.environ/GROQ_API_KEY</w:t>
            </w:r>
          </w:p>
          <w:p>
            <w:pPr>
              <w:spacing w:after="40"/>
            </w:pPr>
            <w:r>
              <w:rPr>
                <w:rFonts w:ascii="Consolas" w:cs="Consolas" w:eastAsia="Consolas" w:hAnsi="Consolas"/>
                <w:color w:val="E8E8E8"/>
                <w:sz w:val="18"/>
                <w:szCs w:val="18"/>
              </w:rPr>
              <w:t xml:space="preserve">  - model_name: cartly-medium</w:t>
            </w:r>
          </w:p>
          <w:p>
            <w:pPr>
              <w:spacing w:after="40"/>
            </w:pPr>
            <w:r>
              <w:rPr>
                <w:rFonts w:ascii="Consolas" w:cs="Consolas" w:eastAsia="Consolas" w:hAnsi="Consolas"/>
                <w:color w:val="E8E8E8"/>
                <w:sz w:val="18"/>
                <w:szCs w:val="18"/>
              </w:rPr>
              <w:t xml:space="preserve">    litellm_params:</w:t>
            </w:r>
          </w:p>
          <w:p>
            <w:pPr>
              <w:spacing w:after="40"/>
            </w:pPr>
            <w:r>
              <w:rPr>
                <w:rFonts w:ascii="Consolas" w:cs="Consolas" w:eastAsia="Consolas" w:hAnsi="Consolas"/>
                <w:color w:val="E8E8E8"/>
                <w:sz w:val="18"/>
                <w:szCs w:val="18"/>
              </w:rPr>
              <w:t xml:space="preserve">      model: os.environ/MEDIUM_MODEL</w:t>
            </w:r>
          </w:p>
          <w:p>
            <w:pPr>
              <w:spacing w:after="40"/>
            </w:pPr>
            <w:r>
              <w:rPr>
                <w:rFonts w:ascii="Consolas" w:cs="Consolas" w:eastAsia="Consolas" w:hAnsi="Consolas"/>
                <w:color w:val="E8E8E8"/>
                <w:sz w:val="18"/>
                <w:szCs w:val="18"/>
              </w:rPr>
              <w:t xml:space="preserve">      api_key: os.environ/MEDIUM_MODEL_KEY</w:t>
            </w:r>
          </w:p>
          <w:p>
            <w:pPr>
              <w:spacing w:after="40"/>
            </w:pPr>
            <w:r>
              <w:rPr>
                <w:rFonts w:ascii="Consolas" w:cs="Consolas" w:eastAsia="Consolas" w:hAnsi="Consolas"/>
                <w:color w:val="E8E8E8"/>
                <w:sz w:val="18"/>
                <w:szCs w:val="18"/>
              </w:rPr>
              <w:t xml:space="preserve">  - model_name: cartly-strong</w:t>
            </w:r>
          </w:p>
          <w:p>
            <w:pPr>
              <w:spacing w:after="40"/>
            </w:pPr>
            <w:r>
              <w:rPr>
                <w:rFonts w:ascii="Consolas" w:cs="Consolas" w:eastAsia="Consolas" w:hAnsi="Consolas"/>
                <w:color w:val="E8E8E8"/>
                <w:sz w:val="18"/>
                <w:szCs w:val="18"/>
              </w:rPr>
              <w:t xml:space="preserve">    litellm_params:</w:t>
            </w:r>
          </w:p>
          <w:p>
            <w:pPr>
              <w:spacing w:after="40"/>
            </w:pPr>
            <w:r>
              <w:rPr>
                <w:rFonts w:ascii="Consolas" w:cs="Consolas" w:eastAsia="Consolas" w:hAnsi="Consolas"/>
                <w:color w:val="E8E8E8"/>
                <w:sz w:val="18"/>
                <w:szCs w:val="18"/>
              </w:rPr>
              <w:t xml:space="preserve">      model: os.environ/STRONG_MODEL</w:t>
            </w:r>
          </w:p>
          <w:p>
            <w:pPr>
              <w:spacing w:after="40"/>
            </w:pPr>
            <w:r>
              <w:rPr>
                <w:rFonts w:ascii="Consolas" w:cs="Consolas" w:eastAsia="Consolas" w:hAnsi="Consolas"/>
                <w:color w:val="E8E8E8"/>
                <w:sz w:val="18"/>
                <w:szCs w:val="18"/>
              </w:rPr>
              <w:t xml:space="preserve">      api_key: os.environ/STRONG_MODEL_KEY</w:t>
            </w:r>
          </w:p>
        </w:tc>
      </w:tr>
    </w:tbl>
    <w:p>
      <w:pPr>
        <w:spacing w:after="160" w:line="276"/>
      </w:pPr>
      <w:r>
        <w:rPr>
          <w:sz w:val="21"/>
          <w:szCs w:val="21"/>
        </w:rPr>
        <w:t xml:space="preserve">RefundAgent, PolicyAgent, and every other agent always call litellm.completion(model="cartly-cheap", ...). Moving that tier from free Groq-hosted Qwen to paid Claude later is one YAML line — zero Python touched, zero risk of breaking a Safety Critic contract.</w:t>
      </w:r>
    </w:p>
    <w:p>
      <w:pPr>
        <w:pStyle w:val="Heading2"/>
        <w:spacing w:after="120" w:before="280"/>
      </w:pPr>
      <w:r>
        <w:rPr>
          <w:b/>
          <w:bCs/>
          <w:color w:val="44546A"/>
          <w:sz w:val="24"/>
          <w:szCs w:val="24"/>
        </w:rPr>
        <w:t xml:space="preserve">Everything else follows the same rule</w:t>
      </w:r>
    </w:p>
    <w:p>
      <w:pPr>
        <w:pStyle w:val="ListParagraph"/>
        <w:numPr>
          <w:ilvl w:val="0"/>
          <w:numId w:val="2"/>
        </w:numPr>
        <w:spacing w:after="80" w:line="276"/>
      </w:pPr>
      <w:r>
        <w:rPr>
          <w:sz w:val="21"/>
          <w:szCs w:val="21"/>
        </w:rPr>
        <w:t xml:space="preserve">DATABASE_URL — the same variable whether it points at Supabase free or a paid Postgres instance later; SQLAlchemy doesn't care which.</w:t>
      </w:r>
    </w:p>
    <w:p>
      <w:pPr>
        <w:pStyle w:val="ListParagraph"/>
        <w:numPr>
          <w:ilvl w:val="0"/>
          <w:numId w:val="2"/>
        </w:numPr>
        <w:spacing w:after="80" w:line="276"/>
      </w:pPr>
      <w:r>
        <w:rPr>
          <w:sz w:val="21"/>
          <w:szCs w:val="21"/>
        </w:rPr>
        <w:t xml:space="preserve">REDIS_URL — Upstash free → Upstash paid → self-hosted, all just a connection string.</w:t>
      </w:r>
    </w:p>
    <w:p>
      <w:pPr>
        <w:pStyle w:val="ListParagraph"/>
        <w:numPr>
          <w:ilvl w:val="0"/>
          <w:numId w:val="2"/>
        </w:numPr>
        <w:spacing w:after="80" w:line="276"/>
      </w:pPr>
      <w:r>
        <w:rPr>
          <w:sz w:val="21"/>
          <w:szCs w:val="21"/>
        </w:rPr>
        <w:t xml:space="preserve">QDRANT_URL / QDRANT_API_KEY — free cluster → paid cluster → self-hosted, same client code, same collection schema.</w:t>
      </w:r>
    </w:p>
    <w:p>
      <w:pPr>
        <w:pStyle w:val="ListParagraph"/>
        <w:numPr>
          <w:ilvl w:val="0"/>
          <w:numId w:val="2"/>
        </w:numPr>
        <w:spacing w:after="80" w:line="276"/>
      </w:pPr>
      <w:r>
        <w:rPr>
          <w:sz w:val="21"/>
          <w:szCs w:val="21"/>
        </w:rPr>
        <w:t xml:space="preserve">Embeddings — wrapped behind an EmbeddingProvider interface, so a future swap from bge-small to an API embedding model is a new class behind the same interface, not a retrieval-layer rewrite.</w:t>
      </w:r>
    </w:p>
    <w:p>
      <w:pPr>
        <w:spacing w:after="160" w:line="276"/>
      </w:pPr>
      <w:r>
        <w:rPr>
          <w:sz w:val="21"/>
          <w:szCs w:val="21"/>
        </w:rPr>
        <w:t xml:space="preserve">This is a small amount of extra discipline at build time — one config file and one thin interface per external dependency — that buys the ability to flip a switch when budget becomes available, instead of grepping the codebase for hardcoded model names before a live demo.</w:t>
      </w:r>
    </w:p>
    <w:p>
      <w:r>
        <w:br w:type="page"/>
      </w:r>
    </w:p>
    <w:p>
      <w:pPr>
        <w:pStyle w:val="Heading1"/>
        <w:pBdr>
          <w:bottom w:val="single" w:color="1F3864" w:sz="6" w:space="4"/>
        </w:pBdr>
        <w:spacing w:after="200" w:before="400"/>
      </w:pPr>
      <w:r>
        <w:rPr>
          <w:b/>
          <w:bCs/>
          <w:color w:val="1F3864"/>
          <w:sz w:val="30"/>
          <w:szCs w:val="30"/>
        </w:rPr>
        <w:t xml:space="preserve">Scale-Readiness Design Principles</w:t>
      </w:r>
    </w:p>
    <w:p>
      <w:pPr>
        <w:spacing w:after="160" w:line="276"/>
      </w:pPr>
      <w:r>
        <w:rPr>
          <w:sz w:val="21"/>
          <w:szCs w:val="21"/>
        </w:rPr>
        <w:t xml:space="preserve">These patterns are what let the system go from demo-level traffic to real marketplace traffic by turning dials — replica count, cluster size, provider tier — rather than by re-architecting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3864" w:color="auto" w:val="clear"/>
            <w:tcMar>
              <w:top w:type="dxa" w:w="100"/>
              <w:left w:type="dxa" w:w="120"/>
              <w:bottom w:type="dxa" w:w="100"/>
              <w:right w:type="dxa" w:w="120"/>
            </w:tcMar>
            <w:vAlign w:val="center"/>
          </w:tcPr>
          <w:p>
            <w:pPr>
              <w:jc w:val="left"/>
            </w:pPr>
            <w:r>
              <w:rPr>
                <w:b/>
                <w:bCs/>
                <w:color w:val="FFFFFF"/>
                <w:sz w:val="20"/>
                <w:szCs w:val="20"/>
              </w:rPr>
              <w:t xml:space="preserve">Pattern</w:t>
            </w:r>
          </w:p>
        </w:tc>
        <w:tc>
          <w:tcPr>
            <w:tcW w:type="dxa" w:w="6660"/>
            <w:shd w:fill="1F3864" w:color="auto" w:val="clear"/>
            <w:tcMar>
              <w:top w:type="dxa" w:w="100"/>
              <w:left w:type="dxa" w:w="120"/>
              <w:bottom w:type="dxa" w:w="100"/>
              <w:right w:type="dxa" w:w="120"/>
            </w:tcMar>
            <w:vAlign w:val="center"/>
          </w:tcPr>
          <w:p>
            <w:pPr>
              <w:jc w:val="left"/>
            </w:pPr>
            <w:r>
              <w:rPr>
                <w:b/>
                <w:bCs/>
                <w:color w:val="FFFFFF"/>
                <w:sz w:val="20"/>
                <w:szCs w:val="20"/>
              </w:rPr>
              <w:t xml:space="preserve">What It Buys</w:t>
            </w:r>
          </w:p>
        </w:tc>
      </w:tr>
      <w:tr>
        <w:tc>
          <w:tcPr>
            <w:tcW w:type="dxa" w:w="2700"/>
            <w:shd w:fill="FFFFFF" w:color="auto" w:val="clear"/>
            <w:tcMar>
              <w:top w:type="dxa" w:w="100"/>
              <w:left w:type="dxa" w:w="120"/>
              <w:bottom w:type="dxa" w:w="100"/>
              <w:right w:type="dxa" w:w="120"/>
            </w:tcMar>
            <w:vAlign w:val="center"/>
          </w:tcPr>
          <w:p>
            <w:pPr>
              <w:jc w:val="left"/>
            </w:pPr>
            <w:r>
              <w:rPr>
                <w:b/>
                <w:bCs/>
                <w:color w:val="000000"/>
                <w:sz w:val="20"/>
                <w:szCs w:val="20"/>
              </w:rPr>
              <w:t xml:space="preserve">Statelessness</w:t>
            </w:r>
          </w:p>
        </w:tc>
        <w:tc>
          <w:tcPr>
            <w:tcW w:type="dxa" w:w="66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The API and worker hold no in-memory session or ticket state; every request reads or writes Postgres/Redis. Any number of replicas can run behind a load balancer with zero code change.</w:t>
            </w:r>
          </w:p>
        </w:tc>
      </w:tr>
      <w:tr>
        <w:tc>
          <w:tcPr>
            <w:tcW w:type="dxa" w:w="2700"/>
            <w:shd w:fill="EEF1F6" w:color="auto" w:val="clear"/>
            <w:tcMar>
              <w:top w:type="dxa" w:w="100"/>
              <w:left w:type="dxa" w:w="120"/>
              <w:bottom w:type="dxa" w:w="100"/>
              <w:right w:type="dxa" w:w="120"/>
            </w:tcMar>
            <w:vAlign w:val="center"/>
          </w:tcPr>
          <w:p>
            <w:pPr>
              <w:jc w:val="left"/>
            </w:pPr>
            <w:r>
              <w:rPr>
                <w:b/>
                <w:bCs/>
                <w:color w:val="000000"/>
                <w:sz w:val="20"/>
                <w:szCs w:val="20"/>
              </w:rPr>
              <w:t xml:space="preserve">Ingestion/processing decoupling</w:t>
            </w:r>
          </w:p>
        </w:tc>
        <w:tc>
          <w:tcPr>
            <w:tcW w:type="dxa" w:w="66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Ticket intake (fast, cheap) and ticket processing (slow, LLM-bound) are separated by a queue, so a traffic spike fills the queue instead of taking down the API. Processing throughput scales by adding worker replicas.</w:t>
            </w:r>
          </w:p>
        </w:tc>
      </w:tr>
      <w:tr>
        <w:tc>
          <w:tcPr>
            <w:tcW w:type="dxa" w:w="2700"/>
            <w:shd w:fill="FFFFFF" w:color="auto" w:val="clear"/>
            <w:tcMar>
              <w:top w:type="dxa" w:w="100"/>
              <w:left w:type="dxa" w:w="120"/>
              <w:bottom w:type="dxa" w:w="100"/>
              <w:right w:type="dxa" w:w="120"/>
            </w:tcMar>
            <w:vAlign w:val="center"/>
          </w:tcPr>
          <w:p>
            <w:pPr>
              <w:jc w:val="left"/>
            </w:pPr>
            <w:r>
              <w:rPr>
                <w:b/>
                <w:bCs/>
                <w:color w:val="000000"/>
                <w:sz w:val="20"/>
                <w:szCs w:val="20"/>
              </w:rPr>
              <w:t xml:space="preserve">Schema-level multi-tenancy</w:t>
            </w:r>
          </w:p>
        </w:tc>
        <w:tc>
          <w:tcPr>
            <w:tcW w:type="dxa" w:w="66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Vector store payloads are indexed with seller_id, policy_category, and version_timestamp from day one, even while actual data volume is small — so growth in seller count never requires a re-indexing migration.</w:t>
            </w:r>
          </w:p>
        </w:tc>
      </w:tr>
      <w:tr>
        <w:tc>
          <w:tcPr>
            <w:tcW w:type="dxa" w:w="2700"/>
            <w:shd w:fill="EEF1F6" w:color="auto" w:val="clear"/>
            <w:tcMar>
              <w:top w:type="dxa" w:w="100"/>
              <w:left w:type="dxa" w:w="120"/>
              <w:bottom w:type="dxa" w:w="100"/>
              <w:right w:type="dxa" w:w="120"/>
            </w:tcMar>
            <w:vAlign w:val="center"/>
          </w:tcPr>
          <w:p>
            <w:pPr>
              <w:jc w:val="left"/>
            </w:pPr>
            <w:r>
              <w:rPr>
                <w:b/>
                <w:bCs/>
                <w:color w:val="000000"/>
                <w:sz w:val="20"/>
                <w:szCs w:val="20"/>
              </w:rPr>
              <w:t xml:space="preserve">Connection pooling</w:t>
            </w:r>
          </w:p>
        </w:tc>
        <w:tc>
          <w:tcPr>
            <w:tcW w:type="dxa" w:w="66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Supavisor pooling is used from the start, before it's strictly necessary, because retrofitting it after multiple worker replicas are already exhausting Postgres's connection limit is far more painful than configuring it up front.</w:t>
            </w:r>
          </w:p>
        </w:tc>
      </w:tr>
      <w:tr>
        <w:tc>
          <w:tcPr>
            <w:tcW w:type="dxa" w:w="2700"/>
            <w:shd w:fill="FFFFFF" w:color="auto" w:val="clear"/>
            <w:tcMar>
              <w:top w:type="dxa" w:w="100"/>
              <w:left w:type="dxa" w:w="120"/>
              <w:bottom w:type="dxa" w:w="100"/>
              <w:right w:type="dxa" w:w="120"/>
            </w:tcMar>
            <w:vAlign w:val="center"/>
          </w:tcPr>
          <w:p>
            <w:pPr>
              <w:jc w:val="left"/>
            </w:pPr>
            <w:r>
              <w:rPr>
                <w:b/>
                <w:bCs/>
                <w:color w:val="000000"/>
                <w:sz w:val="20"/>
                <w:szCs w:val="20"/>
              </w:rPr>
              <w:t xml:space="preserve">Backpressure</w:t>
            </w:r>
          </w:p>
        </w:tc>
        <w:tc>
          <w:tcPr>
            <w:tcW w:type="dxa" w:w="66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 Redis token-bucket rate limiter at the API's entry point lets a genuine traffic spike degrade gracefully — queue and fast-ack — rather than let the worker pool collapse under load.</w:t>
            </w:r>
          </w:p>
        </w:tc>
      </w:tr>
    </w:tbl>
    <w:p>
      <w:r>
        <w:br w:type="page"/>
      </w:r>
    </w:p>
    <w:p>
      <w:pPr>
        <w:pStyle w:val="Heading1"/>
        <w:pBdr>
          <w:bottom w:val="single" w:color="1F3864" w:sz="6" w:space="4"/>
        </w:pBdr>
        <w:spacing w:after="200" w:before="400"/>
      </w:pPr>
      <w:r>
        <w:rPr>
          <w:b/>
          <w:bCs/>
          <w:color w:val="1F3864"/>
          <w:sz w:val="30"/>
          <w:szCs w:val="30"/>
        </w:rPr>
        <w:t xml:space="preserve">Final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shd w:fill="1F3864" w:color="auto"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3800"/>
            <w:shd w:fill="1F3864" w:color="auto" w:val="clear"/>
            <w:tcMar>
              <w:top w:type="dxa" w:w="100"/>
              <w:left w:type="dxa" w:w="120"/>
              <w:bottom w:type="dxa" w:w="100"/>
              <w:right w:type="dxa" w:w="120"/>
            </w:tcMar>
            <w:vAlign w:val="center"/>
          </w:tcPr>
          <w:p>
            <w:pPr>
              <w:jc w:val="left"/>
            </w:pPr>
            <w:r>
              <w:rPr>
                <w:b/>
                <w:bCs/>
                <w:color w:val="FFFFFF"/>
                <w:sz w:val="20"/>
                <w:szCs w:val="20"/>
              </w:rPr>
              <w:t xml:space="preserve">Choice</w:t>
            </w:r>
          </w:p>
        </w:tc>
        <w:tc>
          <w:tcPr>
            <w:tcW w:type="dxa" w:w="3860"/>
            <w:shd w:fill="1F3864" w:color="auto" w:val="clear"/>
            <w:tcMar>
              <w:top w:type="dxa" w:w="100"/>
              <w:left w:type="dxa" w:w="120"/>
              <w:bottom w:type="dxa" w:w="100"/>
              <w:right w:type="dxa" w:w="120"/>
            </w:tcMar>
            <w:vAlign w:val="center"/>
          </w:tcPr>
          <w:p>
            <w:pPr>
              <w:jc w:val="left"/>
            </w:pPr>
            <w:r>
              <w:rPr>
                <w:b/>
                <w:bCs/>
                <w:color w:val="FFFFFF"/>
                <w:sz w:val="20"/>
                <w:szCs w:val="20"/>
              </w:rPr>
              <w:t xml:space="preserve">Key Reason</w:t>
            </w:r>
          </w:p>
        </w:tc>
      </w:tr>
      <w:tr>
        <w:tc>
          <w:tcPr>
            <w:tcW w:type="dxa" w:w="1700"/>
            <w:shd w:fill="FFFFFF" w:color="auto" w:val="clear"/>
            <w:tcMar>
              <w:top w:type="dxa" w:w="100"/>
              <w:left w:type="dxa" w:w="120"/>
              <w:bottom w:type="dxa" w:w="100"/>
              <w:right w:type="dxa" w:w="120"/>
            </w:tcMar>
            <w:vAlign w:val="center"/>
          </w:tcPr>
          <w:p>
            <w:pPr>
              <w:jc w:val="left"/>
            </w:pPr>
            <w:r>
              <w:rPr>
                <w:b/>
                <w:bCs/>
                <w:color w:val="000000"/>
                <w:sz w:val="20"/>
                <w:szCs w:val="20"/>
              </w:rPr>
              <w:t xml:space="preserve">Frontend</w:t>
            </w:r>
          </w:p>
        </w:tc>
        <w:tc>
          <w:tcPr>
            <w:tcW w:type="dxa" w:w="38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React + Vite + Tailwind + shadcn/ui + Recharts</w:t>
            </w:r>
          </w:p>
        </w:tc>
        <w:tc>
          <w:tcPr>
            <w:tcW w:type="dxa" w:w="38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Two surfaces, one ecosystem, fast iteration</w:t>
            </w:r>
          </w:p>
        </w:tc>
      </w:tr>
      <w:tr>
        <w:tc>
          <w:tcPr>
            <w:tcW w:type="dxa" w:w="1700"/>
            <w:shd w:fill="EEF1F6" w:color="auto" w:val="clear"/>
            <w:tcMar>
              <w:top w:type="dxa" w:w="100"/>
              <w:left w:type="dxa" w:w="120"/>
              <w:bottom w:type="dxa" w:w="100"/>
              <w:right w:type="dxa" w:w="120"/>
            </w:tcMar>
            <w:vAlign w:val="center"/>
          </w:tcPr>
          <w:p>
            <w:pPr>
              <w:jc w:val="left"/>
            </w:pPr>
            <w:r>
              <w:rPr>
                <w:b/>
                <w:bCs/>
                <w:color w:val="000000"/>
                <w:sz w:val="20"/>
                <w:szCs w:val="20"/>
              </w:rPr>
              <w:t xml:space="preserve">Real-time</w:t>
            </w:r>
          </w:p>
        </w:tc>
        <w:tc>
          <w:tcPr>
            <w:tcW w:type="dxa" w:w="38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FastAPI WebSockets</w:t>
            </w:r>
          </w:p>
        </w:tc>
        <w:tc>
          <w:tcPr>
            <w:tcW w:type="dxa" w:w="38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Native, no extra service, sufficient for scope</w:t>
            </w:r>
          </w:p>
        </w:tc>
      </w:tr>
      <w:tr>
        <w:tc>
          <w:tcPr>
            <w:tcW w:type="dxa" w:w="1700"/>
            <w:shd w:fill="FFFFFF" w:color="auto" w:val="clear"/>
            <w:tcMar>
              <w:top w:type="dxa" w:w="100"/>
              <w:left w:type="dxa" w:w="120"/>
              <w:bottom w:type="dxa" w:w="100"/>
              <w:right w:type="dxa" w:w="120"/>
            </w:tcMar>
            <w:vAlign w:val="center"/>
          </w:tcPr>
          <w:p>
            <w:pPr>
              <w:jc w:val="left"/>
            </w:pPr>
            <w:r>
              <w:rPr>
                <w:b/>
                <w:bCs/>
                <w:color w:val="000000"/>
                <w:sz w:val="20"/>
                <w:szCs w:val="20"/>
              </w:rPr>
              <w:t xml:space="preserve">Backend/API</w:t>
            </w:r>
          </w:p>
        </w:tc>
        <w:tc>
          <w:tcPr>
            <w:tcW w:type="dxa" w:w="38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FastAPI + Pydantic v2 + Uvicorn</w:t>
            </w:r>
          </w:p>
        </w:tc>
        <w:tc>
          <w:tcPr>
            <w:tcW w:type="dxa" w:w="38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Async-native Python, schema-enforced contracts</w:t>
            </w:r>
          </w:p>
        </w:tc>
      </w:tr>
      <w:tr>
        <w:tc>
          <w:tcPr>
            <w:tcW w:type="dxa" w:w="1700"/>
            <w:shd w:fill="EEF1F6" w:color="auto" w:val="clear"/>
            <w:tcMar>
              <w:top w:type="dxa" w:w="100"/>
              <w:left w:type="dxa" w:w="120"/>
              <w:bottom w:type="dxa" w:w="100"/>
              <w:right w:type="dxa" w:w="120"/>
            </w:tcMar>
            <w:vAlign w:val="center"/>
          </w:tcPr>
          <w:p>
            <w:pPr>
              <w:jc w:val="left"/>
            </w:pPr>
            <w:r>
              <w:rPr>
                <w:b/>
                <w:bCs/>
                <w:color w:val="000000"/>
                <w:sz w:val="20"/>
                <w:szCs w:val="20"/>
              </w:rPr>
              <w:t xml:space="preserve">Ingestion</w:t>
            </w:r>
          </w:p>
        </w:tc>
        <w:tc>
          <w:tcPr>
            <w:tcW w:type="dxa" w:w="38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Postgres write + Upstash Redis queue</w:t>
            </w:r>
          </w:p>
        </w:tc>
        <w:tc>
          <w:tcPr>
            <w:tcW w:type="dxa" w:w="38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Decouples request rate from processing time</w:t>
            </w:r>
          </w:p>
        </w:tc>
      </w:tr>
      <w:tr>
        <w:tc>
          <w:tcPr>
            <w:tcW w:type="dxa" w:w="1700"/>
            <w:shd w:fill="FFFFFF" w:color="auto" w:val="clear"/>
            <w:tcMar>
              <w:top w:type="dxa" w:w="100"/>
              <w:left w:type="dxa" w:w="120"/>
              <w:bottom w:type="dxa" w:w="100"/>
              <w:right w:type="dxa" w:w="120"/>
            </w:tcMar>
            <w:vAlign w:val="center"/>
          </w:tcPr>
          <w:p>
            <w:pPr>
              <w:jc w:val="left"/>
            </w:pPr>
            <w:r>
              <w:rPr>
                <w:b/>
                <w:bCs/>
                <w:color w:val="000000"/>
                <w:sz w:val="20"/>
                <w:szCs w:val="20"/>
              </w:rPr>
              <w:t xml:space="preserve">Worker</w:t>
            </w:r>
          </w:p>
        </w:tc>
        <w:tc>
          <w:tcPr>
            <w:tcW w:type="dxa" w:w="38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Python worker consuming the queue</w:t>
            </w:r>
          </w:p>
        </w:tc>
        <w:tc>
          <w:tcPr>
            <w:tcW w:type="dxa" w:w="38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Scales processing throughput via replicas</w:t>
            </w:r>
          </w:p>
        </w:tc>
      </w:tr>
      <w:tr>
        <w:tc>
          <w:tcPr>
            <w:tcW w:type="dxa" w:w="1700"/>
            <w:shd w:fill="EEF1F6" w:color="auto" w:val="clear"/>
            <w:tcMar>
              <w:top w:type="dxa" w:w="100"/>
              <w:left w:type="dxa" w:w="120"/>
              <w:bottom w:type="dxa" w:w="100"/>
              <w:right w:type="dxa" w:w="120"/>
            </w:tcMar>
            <w:vAlign w:val="center"/>
          </w:tcPr>
          <w:p>
            <w:pPr>
              <w:jc w:val="left"/>
            </w:pPr>
            <w:r>
              <w:rPr>
                <w:b/>
                <w:bCs/>
                <w:color w:val="000000"/>
                <w:sz w:val="20"/>
                <w:szCs w:val="20"/>
              </w:rPr>
              <w:t xml:space="preserve">Orchestration</w:t>
            </w:r>
          </w:p>
        </w:tc>
        <w:tc>
          <w:tcPr>
            <w:tcW w:type="dxa" w:w="38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LangGraph</w:t>
            </w:r>
          </w:p>
        </w:tc>
        <w:tc>
          <w:tcPr>
            <w:tcW w:type="dxa" w:w="38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Implements the locked orchestrator-worker + evaluator-optimizer pattern</w:t>
            </w:r>
          </w:p>
        </w:tc>
      </w:tr>
      <w:tr>
        <w:tc>
          <w:tcPr>
            <w:tcW w:type="dxa" w:w="1700"/>
            <w:shd w:fill="FFFFFF" w:color="auto" w:val="clear"/>
            <w:tcMar>
              <w:top w:type="dxa" w:w="100"/>
              <w:left w:type="dxa" w:w="120"/>
              <w:bottom w:type="dxa" w:w="100"/>
              <w:right w:type="dxa" w:w="120"/>
            </w:tcMar>
            <w:vAlign w:val="center"/>
          </w:tcPr>
          <w:p>
            <w:pPr>
              <w:jc w:val="left"/>
            </w:pPr>
            <w:r>
              <w:rPr>
                <w:b/>
                <w:bCs/>
                <w:color w:val="000000"/>
                <w:sz w:val="20"/>
                <w:szCs w:val="20"/>
              </w:rPr>
              <w:t xml:space="preserve">LLM Gateway</w:t>
            </w:r>
          </w:p>
        </w:tc>
        <w:tc>
          <w:tcPr>
            <w:tcW w:type="dxa" w:w="38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LiteLLM, config-driven, tiered, fallback chains</w:t>
            </w:r>
          </w:p>
        </w:tc>
        <w:tc>
          <w:tcPr>
            <w:tcW w:type="dxa" w:w="38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Provider-agnostic, free-to-paid swap via config only</w:t>
            </w:r>
          </w:p>
        </w:tc>
      </w:tr>
      <w:tr>
        <w:tc>
          <w:tcPr>
            <w:tcW w:type="dxa" w:w="1700"/>
            <w:shd w:fill="EEF1F6" w:color="auto" w:val="clear"/>
            <w:tcMar>
              <w:top w:type="dxa" w:w="100"/>
              <w:left w:type="dxa" w:w="120"/>
              <w:bottom w:type="dxa" w:w="100"/>
              <w:right w:type="dxa" w:w="120"/>
            </w:tcMar>
            <w:vAlign w:val="center"/>
          </w:tcPr>
          <w:p>
            <w:pPr>
              <w:jc w:val="left"/>
            </w:pPr>
            <w:r>
              <w:rPr>
                <w:b/>
                <w:bCs/>
                <w:color w:val="000000"/>
                <w:sz w:val="20"/>
                <w:szCs w:val="20"/>
              </w:rPr>
              <w:t xml:space="preserve">Cheap tier</w:t>
            </w:r>
          </w:p>
        </w:tc>
        <w:tc>
          <w:tcPr>
            <w:tcW w:type="dxa" w:w="38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Qwen3.6-27B / DeepSeek V4 Flash (Groq free, multi-key)</w:t>
            </w:r>
          </w:p>
        </w:tc>
        <w:tc>
          <w:tcPr>
            <w:tcW w:type="dxa" w:w="38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High-volume triage and order lookups</w:t>
            </w:r>
          </w:p>
        </w:tc>
      </w:tr>
      <w:tr>
        <w:tc>
          <w:tcPr>
            <w:tcW w:type="dxa" w:w="1700"/>
            <w:shd w:fill="FFFFFF" w:color="auto" w:val="clear"/>
            <w:tcMar>
              <w:top w:type="dxa" w:w="100"/>
              <w:left w:type="dxa" w:w="120"/>
              <w:bottom w:type="dxa" w:w="100"/>
              <w:right w:type="dxa" w:w="120"/>
            </w:tcMar>
            <w:vAlign w:val="center"/>
          </w:tcPr>
          <w:p>
            <w:pPr>
              <w:jc w:val="left"/>
            </w:pPr>
            <w:r>
              <w:rPr>
                <w:b/>
                <w:bCs/>
                <w:color w:val="000000"/>
                <w:sz w:val="20"/>
                <w:szCs w:val="20"/>
              </w:rPr>
              <w:t xml:space="preserve">Medium tier</w:t>
            </w:r>
          </w:p>
        </w:tc>
        <w:tc>
          <w:tcPr>
            <w:tcW w:type="dxa" w:w="38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Mistral Small 4</w:t>
            </w:r>
          </w:p>
        </w:tc>
        <w:tc>
          <w:tcPr>
            <w:tcW w:type="dxa" w:w="38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Policy and refund reasoning, structured output</w:t>
            </w:r>
          </w:p>
        </w:tc>
      </w:tr>
      <w:tr>
        <w:tc>
          <w:tcPr>
            <w:tcW w:type="dxa" w:w="1700"/>
            <w:shd w:fill="EEF1F6" w:color="auto" w:val="clear"/>
            <w:tcMar>
              <w:top w:type="dxa" w:w="100"/>
              <w:left w:type="dxa" w:w="120"/>
              <w:bottom w:type="dxa" w:w="100"/>
              <w:right w:type="dxa" w:w="120"/>
            </w:tcMar>
            <w:vAlign w:val="center"/>
          </w:tcPr>
          <w:p>
            <w:pPr>
              <w:jc w:val="left"/>
            </w:pPr>
            <w:r>
              <w:rPr>
                <w:b/>
                <w:bCs/>
                <w:color w:val="000000"/>
                <w:sz w:val="20"/>
                <w:szCs w:val="20"/>
              </w:rPr>
              <w:t xml:space="preserve">Strong tier</w:t>
            </w:r>
          </w:p>
        </w:tc>
        <w:tc>
          <w:tcPr>
            <w:tcW w:type="dxa" w:w="38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Claude (paid, reserved)</w:t>
            </w:r>
          </w:p>
        </w:tc>
        <w:tc>
          <w:tcPr>
            <w:tcW w:type="dxa" w:w="38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Dispute Agent multi-hop reasoning, synthetic data gen</w:t>
            </w:r>
          </w:p>
        </w:tc>
      </w:tr>
      <w:tr>
        <w:tc>
          <w:tcPr>
            <w:tcW w:type="dxa" w:w="1700"/>
            <w:shd w:fill="FFFFFF" w:color="auto" w:val="clear"/>
            <w:tcMar>
              <w:top w:type="dxa" w:w="100"/>
              <w:left w:type="dxa" w:w="120"/>
              <w:bottom w:type="dxa" w:w="100"/>
              <w:right w:type="dxa" w:w="120"/>
            </w:tcMar>
            <w:vAlign w:val="center"/>
          </w:tcPr>
          <w:p>
            <w:pPr>
              <w:jc w:val="left"/>
            </w:pPr>
            <w:r>
              <w:rPr>
                <w:b/>
                <w:bCs/>
                <w:color w:val="000000"/>
                <w:sz w:val="20"/>
                <w:szCs w:val="20"/>
              </w:rPr>
              <w:t xml:space="preserve">Embeddings</w:t>
            </w:r>
          </w:p>
        </w:tc>
        <w:tc>
          <w:tcPr>
            <w:tcW w:type="dxa" w:w="38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bge-small-en-v1.5, self-hosted</w:t>
            </w:r>
          </w:p>
        </w:tc>
        <w:tc>
          <w:tcPr>
            <w:tcW w:type="dxa" w:w="38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Zero per-call cost, behind a swappable interface</w:t>
            </w:r>
          </w:p>
        </w:tc>
      </w:tr>
      <w:tr>
        <w:tc>
          <w:tcPr>
            <w:tcW w:type="dxa" w:w="1700"/>
            <w:shd w:fill="EEF1F6" w:color="auto" w:val="clear"/>
            <w:tcMar>
              <w:top w:type="dxa" w:w="100"/>
              <w:left w:type="dxa" w:w="120"/>
              <w:bottom w:type="dxa" w:w="100"/>
              <w:right w:type="dxa" w:w="120"/>
            </w:tcMar>
            <w:vAlign w:val="center"/>
          </w:tcPr>
          <w:p>
            <w:pPr>
              <w:jc w:val="left"/>
            </w:pPr>
            <w:r>
              <w:rPr>
                <w:b/>
                <w:bCs/>
                <w:color w:val="000000"/>
                <w:sz w:val="20"/>
                <w:szCs w:val="20"/>
              </w:rPr>
              <w:t xml:space="preserve">Vector store</w:t>
            </w:r>
          </w:p>
        </w:tc>
        <w:tc>
          <w:tcPr>
            <w:tcW w:type="dxa" w:w="38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Qdrant Cloud (free tier)</w:t>
            </w:r>
          </w:p>
        </w:tc>
        <w:tc>
          <w:tcPr>
            <w:tcW w:type="dxa" w:w="38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Rust performance, mature payload filtering for seller-scale growth</w:t>
            </w:r>
          </w:p>
        </w:tc>
      </w:tr>
      <w:tr>
        <w:tc>
          <w:tcPr>
            <w:tcW w:type="dxa" w:w="1700"/>
            <w:shd w:fill="FFFFFF" w:color="auto" w:val="clear"/>
            <w:tcMar>
              <w:top w:type="dxa" w:w="100"/>
              <w:left w:type="dxa" w:w="120"/>
              <w:bottom w:type="dxa" w:w="100"/>
              <w:right w:type="dxa" w:w="120"/>
            </w:tcMar>
            <w:vAlign w:val="center"/>
          </w:tcPr>
          <w:p>
            <w:pPr>
              <w:jc w:val="left"/>
            </w:pPr>
            <w:r>
              <w:rPr>
                <w:b/>
                <w:bCs/>
                <w:color w:val="000000"/>
                <w:sz w:val="20"/>
                <w:szCs w:val="20"/>
              </w:rPr>
              <w:t xml:space="preserve">Relational DB</w:t>
            </w:r>
          </w:p>
        </w:tc>
        <w:tc>
          <w:tcPr>
            <w:tcW w:type="dxa" w:w="38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PostgreSQL on Supabase (free tier) + Supavisor pooling</w:t>
            </w:r>
          </w:p>
        </w:tc>
        <w:tc>
          <w:tcPr>
            <w:tcW w:type="dxa" w:w="38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Durable free tier, no expiry, pooled from day one</w:t>
            </w:r>
          </w:p>
        </w:tc>
      </w:tr>
      <w:tr>
        <w:tc>
          <w:tcPr>
            <w:tcW w:type="dxa" w:w="1700"/>
            <w:shd w:fill="EEF1F6" w:color="auto" w:val="clear"/>
            <w:tcMar>
              <w:top w:type="dxa" w:w="100"/>
              <w:left w:type="dxa" w:w="120"/>
              <w:bottom w:type="dxa" w:w="100"/>
              <w:right w:type="dxa" w:w="120"/>
            </w:tcMar>
            <w:vAlign w:val="center"/>
          </w:tcPr>
          <w:p>
            <w:pPr>
              <w:jc w:val="left"/>
            </w:pPr>
            <w:r>
              <w:rPr>
                <w:b/>
                <w:bCs/>
                <w:color w:val="000000"/>
                <w:sz w:val="20"/>
                <w:szCs w:val="20"/>
              </w:rPr>
              <w:t xml:space="preserve">Auth</w:t>
            </w:r>
          </w:p>
        </w:tc>
        <w:tc>
          <w:tcPr>
            <w:tcW w:type="dxa" w:w="38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Supabase Auth (GoTrue JWT + role claims)</w:t>
            </w:r>
          </w:p>
        </w:tc>
        <w:tc>
          <w:tcPr>
            <w:tcW w:type="dxa" w:w="38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Bundled with the DB, no hand-rolled auth surface</w:t>
            </w:r>
          </w:p>
        </w:tc>
      </w:tr>
      <w:tr>
        <w:tc>
          <w:tcPr>
            <w:tcW w:type="dxa" w:w="1700"/>
            <w:shd w:fill="FFFFFF" w:color="auto" w:val="clear"/>
            <w:tcMar>
              <w:top w:type="dxa" w:w="100"/>
              <w:left w:type="dxa" w:w="120"/>
              <w:bottom w:type="dxa" w:w="100"/>
              <w:right w:type="dxa" w:w="120"/>
            </w:tcMar>
            <w:vAlign w:val="center"/>
          </w:tcPr>
          <w:p>
            <w:pPr>
              <w:jc w:val="left"/>
            </w:pPr>
            <w:r>
              <w:rPr>
                <w:b/>
                <w:bCs/>
                <w:color w:val="000000"/>
                <w:sz w:val="20"/>
                <w:szCs w:val="20"/>
              </w:rPr>
              <w:t xml:space="preserve">Queue/cache</w:t>
            </w:r>
          </w:p>
        </w:tc>
        <w:tc>
          <w:tcPr>
            <w:tcW w:type="dxa" w:w="38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Redis on Upstash (free tier)</w:t>
            </w:r>
          </w:p>
        </w:tc>
        <w:tc>
          <w:tcPr>
            <w:tcW w:type="dxa" w:w="38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Serverless, provider-agnostic, load-bearing for ingestion</w:t>
            </w:r>
          </w:p>
        </w:tc>
      </w:tr>
      <w:tr>
        <w:tc>
          <w:tcPr>
            <w:tcW w:type="dxa" w:w="1700"/>
            <w:shd w:fill="EEF1F6" w:color="auto" w:val="clear"/>
            <w:tcMar>
              <w:top w:type="dxa" w:w="100"/>
              <w:left w:type="dxa" w:w="120"/>
              <w:bottom w:type="dxa" w:w="100"/>
              <w:right w:type="dxa" w:w="120"/>
            </w:tcMar>
            <w:vAlign w:val="center"/>
          </w:tcPr>
          <w:p>
            <w:pPr>
              <w:jc w:val="left"/>
            </w:pPr>
            <w:r>
              <w:rPr>
                <w:b/>
                <w:bCs/>
                <w:color w:val="000000"/>
                <w:sz w:val="20"/>
                <w:szCs w:val="20"/>
              </w:rPr>
              <w:t xml:space="preserve">Observability</w:t>
            </w:r>
          </w:p>
        </w:tc>
        <w:tc>
          <w:tcPr>
            <w:tcW w:type="dxa" w:w="38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Langfuse</w:t>
            </w:r>
          </w:p>
        </w:tc>
        <w:tc>
          <w:tcPr>
            <w:tcW w:type="dxa" w:w="38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Native LangGraph tracing, cost/latency dashboards</w:t>
            </w:r>
          </w:p>
        </w:tc>
      </w:tr>
      <w:tr>
        <w:tc>
          <w:tcPr>
            <w:tcW w:type="dxa" w:w="1700"/>
            <w:shd w:fill="FFFFFF" w:color="auto" w:val="clear"/>
            <w:tcMar>
              <w:top w:type="dxa" w:w="100"/>
              <w:left w:type="dxa" w:w="120"/>
              <w:bottom w:type="dxa" w:w="100"/>
              <w:right w:type="dxa" w:w="120"/>
            </w:tcMar>
            <w:vAlign w:val="center"/>
          </w:tcPr>
          <w:p>
            <w:pPr>
              <w:jc w:val="left"/>
            </w:pPr>
            <w:r>
              <w:rPr>
                <w:b/>
                <w:bCs/>
                <w:color w:val="000000"/>
                <w:sz w:val="20"/>
                <w:szCs w:val="20"/>
              </w:rPr>
              <w:t xml:space="preserve">Evaluation</w:t>
            </w:r>
          </w:p>
        </w:tc>
        <w:tc>
          <w:tcPr>
            <w:tcW w:type="dxa" w:w="38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RAGAS, DSPy, promptfoo</w:t>
            </w:r>
          </w:p>
        </w:tc>
        <w:tc>
          <w:tcPr>
            <w:tcW w:type="dxa" w:w="38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Purpose-built: grounding, optimization, A/B and red-team</w:t>
            </w:r>
          </w:p>
        </w:tc>
      </w:tr>
      <w:tr>
        <w:tc>
          <w:tcPr>
            <w:tcW w:type="dxa" w:w="1700"/>
            <w:shd w:fill="EEF1F6" w:color="auto" w:val="clear"/>
            <w:tcMar>
              <w:top w:type="dxa" w:w="100"/>
              <w:left w:type="dxa" w:w="120"/>
              <w:bottom w:type="dxa" w:w="100"/>
              <w:right w:type="dxa" w:w="120"/>
            </w:tcMar>
            <w:vAlign w:val="center"/>
          </w:tcPr>
          <w:p>
            <w:pPr>
              <w:jc w:val="left"/>
            </w:pPr>
            <w:r>
              <w:rPr>
                <w:b/>
                <w:bCs/>
                <w:color w:val="000000"/>
                <w:sz w:val="20"/>
                <w:szCs w:val="20"/>
              </w:rPr>
              <w:t xml:space="preserve">Safety</w:t>
            </w:r>
          </w:p>
        </w:tc>
        <w:tc>
          <w:tcPr>
            <w:tcW w:type="dxa" w:w="38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Deterministic rules + Llama Guard / NeMo Guardrails</w:t>
            </w:r>
          </w:p>
        </w:tc>
        <w:tc>
          <w:tcPr>
            <w:tcW w:type="dxa" w:w="38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Defense in depth, hard rules first</w:t>
            </w:r>
          </w:p>
        </w:tc>
      </w:tr>
      <w:tr>
        <w:tc>
          <w:tcPr>
            <w:tcW w:type="dxa" w:w="1700"/>
            <w:shd w:fill="FFFFFF" w:color="auto" w:val="clear"/>
            <w:tcMar>
              <w:top w:type="dxa" w:w="100"/>
              <w:left w:type="dxa" w:w="120"/>
              <w:bottom w:type="dxa" w:w="100"/>
              <w:right w:type="dxa" w:w="120"/>
            </w:tcMar>
            <w:vAlign w:val="center"/>
          </w:tcPr>
          <w:p>
            <w:pPr>
              <w:jc w:val="left"/>
            </w:pPr>
            <w:r>
              <w:rPr>
                <w:b/>
                <w:bCs/>
                <w:color w:val="000000"/>
                <w:sz w:val="20"/>
                <w:szCs w:val="20"/>
              </w:rPr>
              <w:t xml:space="preserve">Testing/CI</w:t>
            </w:r>
          </w:p>
        </w:tc>
        <w:tc>
          <w:tcPr>
            <w:tcW w:type="dxa" w:w="38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pytest, pytest-asyncio, GitHub Actions, ruff</w:t>
            </w:r>
          </w:p>
        </w:tc>
        <w:tc>
          <w:tcPr>
            <w:tcW w:type="dxa" w:w="38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Async-native testing, gates every merge</w:t>
            </w:r>
          </w:p>
        </w:tc>
      </w:tr>
      <w:tr>
        <w:tc>
          <w:tcPr>
            <w:tcW w:type="dxa" w:w="1700"/>
            <w:shd w:fill="EEF1F6" w:color="auto" w:val="clear"/>
            <w:tcMar>
              <w:top w:type="dxa" w:w="100"/>
              <w:left w:type="dxa" w:w="120"/>
              <w:bottom w:type="dxa" w:w="100"/>
              <w:right w:type="dxa" w:w="120"/>
            </w:tcMar>
            <w:vAlign w:val="center"/>
          </w:tcPr>
          <w:p>
            <w:pPr>
              <w:jc w:val="left"/>
            </w:pPr>
            <w:r>
              <w:rPr>
                <w:b/>
                <w:bCs/>
                <w:color w:val="000000"/>
                <w:sz w:val="20"/>
                <w:szCs w:val="20"/>
              </w:rPr>
              <w:t xml:space="preserve">Deployment</w:t>
            </w:r>
          </w:p>
        </w:tc>
        <w:tc>
          <w:tcPr>
            <w:tcW w:type="dxa" w:w="38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Docker Compose (local) → Render, two stateless services</w:t>
            </w:r>
          </w:p>
        </w:tc>
        <w:tc>
          <w:tcPr>
            <w:tcW w:type="dxa" w:w="38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API and worker scale independently, no local state risk</w:t>
            </w:r>
          </w:p>
        </w:tc>
      </w:tr>
    </w:tbl>
    <w:p>
      <w:r>
        <w:br w:type="page"/>
      </w:r>
    </w:p>
    <w:p>
      <w:pPr>
        <w:pStyle w:val="Heading1"/>
        <w:pBdr>
          <w:bottom w:val="single" w:color="1F3864" w:sz="6" w:space="4"/>
        </w:pBdr>
        <w:spacing w:after="200" w:before="400"/>
      </w:pPr>
      <w:r>
        <w:rPr>
          <w:b/>
          <w:bCs/>
          <w:color w:val="1F3864"/>
          <w:sz w:val="30"/>
          <w:szCs w:val="30"/>
        </w:rPr>
        <w:t xml:space="preserve">Appendix A — Free-Tier Limits &amp; Keep-Alive Requirements</w:t>
      </w:r>
    </w:p>
    <w:p>
      <w:pPr>
        <w:spacing w:after="160" w:line="276"/>
      </w:pPr>
      <w:r>
        <w:rPr>
          <w:sz w:val="21"/>
          <w:szCs w:val="21"/>
        </w:rPr>
        <w:t xml:space="preserve">Every free tier below is durable for this project, but three of them require a trivial scheduled action to avoid an inactivity pause. A single GitHub Actions cron workflow, running weekly, that pings Supabase and Qdrant Cloud with a lightweight request covers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shd w:fill="1F3864" w:color="auto" w:val="clear"/>
            <w:tcMar>
              <w:top w:type="dxa" w:w="100"/>
              <w:left w:type="dxa" w:w="120"/>
              <w:bottom w:type="dxa" w:w="100"/>
              <w:right w:type="dxa" w:w="120"/>
            </w:tcMar>
            <w:vAlign w:val="center"/>
          </w:tcPr>
          <w:p>
            <w:pPr>
              <w:jc w:val="left"/>
            </w:pPr>
            <w:r>
              <w:rPr>
                <w:b/>
                <w:bCs/>
                <w:color w:val="FFFFFF"/>
                <w:sz w:val="20"/>
                <w:szCs w:val="20"/>
              </w:rPr>
              <w:t xml:space="preserve">Service</w:t>
            </w:r>
          </w:p>
        </w:tc>
        <w:tc>
          <w:tcPr>
            <w:tcW w:type="dxa" w:w="3700"/>
            <w:shd w:fill="1F3864" w:color="auto" w:val="clear"/>
            <w:tcMar>
              <w:top w:type="dxa" w:w="100"/>
              <w:left w:type="dxa" w:w="120"/>
              <w:bottom w:type="dxa" w:w="100"/>
              <w:right w:type="dxa" w:w="120"/>
            </w:tcMar>
            <w:vAlign w:val="center"/>
          </w:tcPr>
          <w:p>
            <w:pPr>
              <w:jc w:val="left"/>
            </w:pPr>
            <w:r>
              <w:rPr>
                <w:b/>
                <w:bCs/>
                <w:color w:val="FFFFFF"/>
                <w:sz w:val="20"/>
                <w:szCs w:val="20"/>
              </w:rPr>
              <w:t xml:space="preserve">Free-Tier Constraint</w:t>
            </w:r>
          </w:p>
        </w:tc>
        <w:tc>
          <w:tcPr>
            <w:tcW w:type="dxa" w:w="3160"/>
            <w:shd w:fill="1F3864" w:color="auto" w:val="clear"/>
            <w:tcMar>
              <w:top w:type="dxa" w:w="100"/>
              <w:left w:type="dxa" w:w="120"/>
              <w:bottom w:type="dxa" w:w="100"/>
              <w:right w:type="dxa" w:w="120"/>
            </w:tcMar>
            <w:vAlign w:val="center"/>
          </w:tcPr>
          <w:p>
            <w:pPr>
              <w:jc w:val="left"/>
            </w:pPr>
            <w:r>
              <w:rPr>
                <w:b/>
                <w:bCs/>
                <w:color w:val="FFFFFF"/>
                <w:sz w:val="20"/>
                <w:szCs w:val="20"/>
              </w:rPr>
              <w:t xml:space="preserve">Mitigation</w:t>
            </w:r>
          </w:p>
        </w:tc>
      </w:tr>
      <w:tr>
        <w:tc>
          <w:tcPr>
            <w:tcW w:type="dxa" w:w="2500"/>
            <w:shd w:fill="FFFFFF" w:color="auto" w:val="clear"/>
            <w:tcMar>
              <w:top w:type="dxa" w:w="100"/>
              <w:left w:type="dxa" w:w="120"/>
              <w:bottom w:type="dxa" w:w="100"/>
              <w:right w:type="dxa" w:w="120"/>
            </w:tcMar>
            <w:vAlign w:val="center"/>
          </w:tcPr>
          <w:p>
            <w:pPr>
              <w:jc w:val="left"/>
            </w:pPr>
            <w:r>
              <w:rPr>
                <w:b/>
                <w:bCs/>
                <w:color w:val="000000"/>
                <w:sz w:val="20"/>
                <w:szCs w:val="20"/>
              </w:rPr>
              <w:t xml:space="preserve">Supabase (Postgres + Auth)</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Free project pauses after 7 days with zero database requests; does not expire or delete</w:t>
            </w:r>
          </w:p>
        </w:tc>
        <w:tc>
          <w:tcPr>
            <w:tcW w:type="dxa" w:w="31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Weekly keep-alive ping via GitHub Actions cron</w:t>
            </w:r>
          </w:p>
        </w:tc>
      </w:tr>
      <w:tr>
        <w:tc>
          <w:tcPr>
            <w:tcW w:type="dxa" w:w="2500"/>
            <w:shd w:fill="EEF1F6" w:color="auto" w:val="clear"/>
            <w:tcMar>
              <w:top w:type="dxa" w:w="100"/>
              <w:left w:type="dxa" w:w="120"/>
              <w:bottom w:type="dxa" w:w="100"/>
              <w:right w:type="dxa" w:w="120"/>
            </w:tcMar>
            <w:vAlign w:val="center"/>
          </w:tcPr>
          <w:p>
            <w:pPr>
              <w:jc w:val="left"/>
            </w:pPr>
            <w:r>
              <w:rPr>
                <w:b/>
                <w:bCs/>
                <w:color w:val="000000"/>
                <w:sz w:val="20"/>
                <w:szCs w:val="20"/>
              </w:rPr>
              <w:t xml:space="preserve">Qdrant Cloud</w:t>
            </w:r>
          </w:p>
        </w:tc>
        <w:tc>
          <w:tcPr>
            <w:tcW w:type="dxa" w:w="37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Free cluster suspends after 1 week of inactivity, deleted after 4 weeks if not reactivated</w:t>
            </w:r>
          </w:p>
        </w:tc>
        <w:tc>
          <w:tcPr>
            <w:tcW w:type="dxa" w:w="31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Same weekly keep-alive cron</w:t>
            </w:r>
          </w:p>
        </w:tc>
      </w:tr>
      <w:tr>
        <w:tc>
          <w:tcPr>
            <w:tcW w:type="dxa" w:w="2500"/>
            <w:shd w:fill="FFFFFF" w:color="auto" w:val="clear"/>
            <w:tcMar>
              <w:top w:type="dxa" w:w="100"/>
              <w:left w:type="dxa" w:w="120"/>
              <w:bottom w:type="dxa" w:w="100"/>
              <w:right w:type="dxa" w:w="120"/>
            </w:tcMar>
            <w:vAlign w:val="center"/>
          </w:tcPr>
          <w:p>
            <w:pPr>
              <w:jc w:val="left"/>
            </w:pPr>
            <w:r>
              <w:rPr>
                <w:b/>
                <w:bCs/>
                <w:color w:val="000000"/>
                <w:sz w:val="20"/>
                <w:szCs w:val="20"/>
              </w:rPr>
              <w:t xml:space="preserve">Render (web service)</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Free service spins down after 15 minutes idle; cold start 30–60 seconds on next request</w:t>
            </w:r>
          </w:p>
        </w:tc>
        <w:tc>
          <w:tcPr>
            <w:tcW w:type="dxa" w:w="31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Acceptable for demo-level traffic; no action needed unless always-on is required</w:t>
            </w:r>
          </w:p>
        </w:tc>
      </w:tr>
      <w:tr>
        <w:tc>
          <w:tcPr>
            <w:tcW w:type="dxa" w:w="2500"/>
            <w:shd w:fill="EEF1F6" w:color="auto" w:val="clear"/>
            <w:tcMar>
              <w:top w:type="dxa" w:w="100"/>
              <w:left w:type="dxa" w:w="120"/>
              <w:bottom w:type="dxa" w:w="100"/>
              <w:right w:type="dxa" w:w="120"/>
            </w:tcMar>
            <w:vAlign w:val="center"/>
          </w:tcPr>
          <w:p>
            <w:pPr>
              <w:jc w:val="left"/>
            </w:pPr>
            <w:r>
              <w:rPr>
                <w:b/>
                <w:bCs/>
                <w:color w:val="000000"/>
                <w:sz w:val="20"/>
                <w:szCs w:val="20"/>
              </w:rPr>
              <w:t xml:space="preserve">Groq (cheap-tier inference)</w:t>
            </w:r>
          </w:p>
        </w:tc>
        <w:tc>
          <w:tcPr>
            <w:tcW w:type="dxa" w:w="370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Free tier caps around 14,400 requests/day per API key</w:t>
            </w:r>
          </w:p>
        </w:tc>
        <w:tc>
          <w:tcPr>
            <w:tcW w:type="dxa" w:w="3160"/>
            <w:shd w:fill="EEF1F6" w:color="auto" w:val="clear"/>
            <w:tcMar>
              <w:top w:type="dxa" w:w="100"/>
              <w:left w:type="dxa" w:w="120"/>
              <w:bottom w:type="dxa" w:w="100"/>
              <w:right w:type="dxa" w:w="120"/>
            </w:tcMar>
            <w:vAlign w:val="center"/>
          </w:tcPr>
          <w:p>
            <w:pPr>
              <w:jc w:val="left"/>
            </w:pPr>
            <w:r>
              <w:rPr>
                <w:b w:val="false"/>
                <w:bCs w:val="false"/>
                <w:color w:val="000000"/>
                <w:sz w:val="20"/>
                <w:szCs w:val="20"/>
              </w:rPr>
              <w:t xml:space="preserve">Multiple keys round-robined in the LiteLLM config to raise the effective ceiling</w:t>
            </w:r>
          </w:p>
        </w:tc>
      </w:tr>
      <w:tr>
        <w:tc>
          <w:tcPr>
            <w:tcW w:type="dxa" w:w="2500"/>
            <w:shd w:fill="FFFFFF" w:color="auto" w:val="clear"/>
            <w:tcMar>
              <w:top w:type="dxa" w:w="100"/>
              <w:left w:type="dxa" w:w="120"/>
              <w:bottom w:type="dxa" w:w="100"/>
              <w:right w:type="dxa" w:w="120"/>
            </w:tcMar>
            <w:vAlign w:val="center"/>
          </w:tcPr>
          <w:p>
            <w:pPr>
              <w:jc w:val="left"/>
            </w:pPr>
            <w:r>
              <w:rPr>
                <w:b/>
                <w:bCs/>
                <w:color w:val="000000"/>
                <w:sz w:val="20"/>
                <w:szCs w:val="20"/>
              </w:rPr>
              <w:t xml:space="preserve">Upstash Redis</w:t>
            </w:r>
          </w:p>
        </w:tc>
        <w:tc>
          <w:tcPr>
            <w:tcW w:type="dxa" w:w="370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Free tier: roughly 256MB storage and 500K commands/month</w:t>
            </w:r>
          </w:p>
        </w:tc>
        <w:tc>
          <w:tcPr>
            <w:tcW w:type="dxa" w:w="3160"/>
            <w:shd w:fill="FFFFFF" w:color="auto" w:val="clear"/>
            <w:tcMar>
              <w:top w:type="dxa" w:w="100"/>
              <w:left w:type="dxa" w:w="120"/>
              <w:bottom w:type="dxa" w:w="100"/>
              <w:right w:type="dxa" w:w="120"/>
            </w:tcMar>
            <w:vAlign w:val="center"/>
          </w:tcPr>
          <w:p>
            <w:pPr>
              <w:jc w:val="left"/>
            </w:pPr>
            <w:r>
              <w:rPr>
                <w:b w:val="false"/>
                <w:bCs w:val="false"/>
                <w:color w:val="000000"/>
                <w:sz w:val="20"/>
                <w:szCs w:val="20"/>
              </w:rPr>
              <w:t xml:space="preserve">Monitor via the Upstash dashboard; upgrade the specific instance if exceeded, no code change required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C2D9" w:sz="4" w:space="4"/>
      </w:pBdr>
      <w:jc w:val="right"/>
    </w:pPr>
    <w:r>
      <w:rPr>
        <w:color w:val="44546A"/>
        <w:sz w:val="16"/>
        <w:szCs w:val="16"/>
      </w:rPr>
      <w:t xml:space="preserve">Cartly | Build Tech Stack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2026-07-03T07:36:30.609Z</dcterms:created>
  <dcterms:modified xsi:type="dcterms:W3CDTF">2026-07-03T07:36:30.609Z</dcterms:modified>
</cp:coreProperties>
</file>

<file path=docProps/custom.xml><?xml version="1.0" encoding="utf-8"?>
<Properties xmlns="http://schemas.openxmlformats.org/officeDocument/2006/custom-properties" xmlns:vt="http://schemas.openxmlformats.org/officeDocument/2006/docPropsVTypes"/>
</file>